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17277ACC" w:rsidR="00632078" w:rsidRPr="00440112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9C2665">
        <w:rPr>
          <w:rFonts w:ascii="Arial" w:hAnsi="Arial" w:cs="Arial"/>
          <w:b/>
          <w:sz w:val="28"/>
          <w:szCs w:val="28"/>
        </w:rPr>
        <w:t>zajištění systémové</w:t>
      </w:r>
      <w:r>
        <w:rPr>
          <w:rFonts w:ascii="Arial" w:hAnsi="Arial" w:cs="Arial"/>
          <w:b/>
          <w:sz w:val="28"/>
          <w:szCs w:val="28"/>
        </w:rPr>
        <w:t xml:space="preserve"> podpory</w:t>
      </w: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26487E13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7DF5E5BB" w14:textId="77777777" w:rsidR="001E7107" w:rsidRPr="00D64B16" w:rsidRDefault="001E7107" w:rsidP="001E7107">
      <w:pPr>
        <w:pStyle w:val="Nadpis1"/>
        <w:rPr>
          <w:rFonts w:ascii="Arial" w:hAnsi="Arial" w:cs="Arial"/>
          <w:i/>
          <w:iCs/>
          <w:sz w:val="20"/>
        </w:rPr>
      </w:pPr>
      <w:r w:rsidRPr="00D64B16">
        <w:rPr>
          <w:rFonts w:ascii="Arial" w:hAnsi="Arial" w:cs="Arial"/>
          <w:i/>
          <w:iCs/>
          <w:sz w:val="20"/>
        </w:rPr>
        <w:t>Karlovarský kraj</w:t>
      </w:r>
    </w:p>
    <w:p w14:paraId="5D7B2F6B" w14:textId="77777777"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Závodní 356/88, 360 06 Karlovy Vary</w:t>
      </w:r>
    </w:p>
    <w:p w14:paraId="59D6F8B5" w14:textId="77777777"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70891168</w:t>
      </w:r>
    </w:p>
    <w:p w14:paraId="2710139E" w14:textId="77777777"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70891168</w:t>
      </w:r>
    </w:p>
    <w:p w14:paraId="2ECD6266" w14:textId="6C7F6B57" w:rsidR="001E7107" w:rsidRDefault="001E7107" w:rsidP="001E710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Komerční banka, a.s., pobočka Karlovy Vary (</w:t>
      </w:r>
      <w:proofErr w:type="spellStart"/>
      <w:r w:rsidR="00CA0E1B">
        <w:rPr>
          <w:rFonts w:ascii="Arial" w:hAnsi="Arial" w:cs="Arial"/>
        </w:rPr>
        <w:t>xxxxxxxxxxxxxxxxxxxxx</w:t>
      </w:r>
      <w:proofErr w:type="spellEnd"/>
      <w:r>
        <w:rPr>
          <w:rFonts w:ascii="Arial" w:hAnsi="Arial" w:cs="Arial"/>
        </w:rPr>
        <w:t>)</w:t>
      </w:r>
    </w:p>
    <w:p w14:paraId="1844C045" w14:textId="5420B256" w:rsidR="001E7107" w:rsidRDefault="001E7107" w:rsidP="001E7107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ČSOB (</w:t>
      </w:r>
      <w:proofErr w:type="spellStart"/>
      <w:r w:rsidR="00CA0E1B">
        <w:rPr>
          <w:rFonts w:ascii="Arial" w:hAnsi="Arial" w:cs="Arial"/>
        </w:rPr>
        <w:t>xxxxxxxxxxxxxxxxxx</w:t>
      </w:r>
      <w:proofErr w:type="spellEnd"/>
      <w:r>
        <w:rPr>
          <w:rFonts w:ascii="Arial" w:hAnsi="Arial" w:cs="Arial"/>
        </w:rPr>
        <w:t>)</w:t>
      </w:r>
    </w:p>
    <w:p w14:paraId="2090C90C" w14:textId="1920E4AB" w:rsidR="001E7107" w:rsidRDefault="001E7107" w:rsidP="001E7107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spořitelna (</w:t>
      </w:r>
      <w:proofErr w:type="spellStart"/>
      <w:r w:rsidR="00CA0E1B">
        <w:rPr>
          <w:rFonts w:ascii="Arial" w:hAnsi="Arial" w:cs="Arial"/>
        </w:rPr>
        <w:t>xxxxxxxxxxxxxxxxx</w:t>
      </w:r>
      <w:proofErr w:type="spellEnd"/>
      <w:r>
        <w:rPr>
          <w:rFonts w:ascii="Arial" w:hAnsi="Arial" w:cs="Arial"/>
        </w:rPr>
        <w:t>)</w:t>
      </w:r>
    </w:p>
    <w:p w14:paraId="6D7D8AC1" w14:textId="0218D64D" w:rsidR="001E7107" w:rsidRDefault="001E7107" w:rsidP="001E7107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PPF Banka (</w:t>
      </w:r>
      <w:proofErr w:type="spellStart"/>
      <w:r w:rsidR="00CA0E1B">
        <w:rPr>
          <w:rFonts w:ascii="Arial" w:hAnsi="Arial" w:cs="Arial"/>
        </w:rPr>
        <w:t>xxxxxxxxxxxxxxxxxxx</w:t>
      </w:r>
      <w:proofErr w:type="spellEnd"/>
      <w:r>
        <w:rPr>
          <w:rFonts w:ascii="Arial" w:hAnsi="Arial" w:cs="Arial"/>
        </w:rPr>
        <w:t>)</w:t>
      </w:r>
    </w:p>
    <w:p w14:paraId="0440ED34" w14:textId="204D1210" w:rsidR="001E7107" w:rsidRPr="00BD69F3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Ing. Jiřím </w:t>
      </w:r>
      <w:proofErr w:type="spellStart"/>
      <w:r w:rsidR="006E46F4">
        <w:rPr>
          <w:rFonts w:ascii="Arial" w:hAnsi="Arial" w:cs="Arial"/>
        </w:rPr>
        <w:t>Heliksem</w:t>
      </w:r>
      <w:proofErr w:type="spellEnd"/>
      <w:r w:rsidR="006E46F4">
        <w:rPr>
          <w:rFonts w:ascii="Arial" w:hAnsi="Arial" w:cs="Arial"/>
        </w:rPr>
        <w:t>, vedoucím odboru informatiky</w:t>
      </w:r>
      <w:r w:rsidR="00BD69F3">
        <w:rPr>
          <w:rFonts w:ascii="Arial" w:hAnsi="Arial" w:cs="Arial"/>
        </w:rPr>
        <w:t xml:space="preserve"> </w:t>
      </w:r>
      <w:r w:rsidR="00BD69F3" w:rsidRPr="00BD69F3">
        <w:rPr>
          <w:rFonts w:ascii="Arial" w:hAnsi="Arial" w:cs="Arial"/>
        </w:rPr>
        <w:t>Krajského úřadu Karlovarského kraje na základě usnesení Rady Karlovarského kraje č. RK  1139/10/18 ze dne 8. 10. 2018 a čl. VII odst. 1 písm. d) Podpisového řádu</w:t>
      </w:r>
      <w:r w:rsidR="006E46F4" w:rsidRPr="00BD69F3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77777777" w:rsidR="00FC724C" w:rsidRPr="00C2244B" w:rsidRDefault="00FC724C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423D25D" w14:textId="7237B4CA" w:rsidR="001E7107" w:rsidRPr="00D64B16" w:rsidRDefault="00D64B16" w:rsidP="001E7107">
      <w:pPr>
        <w:rPr>
          <w:rFonts w:ascii="Arial" w:hAnsi="Arial" w:cs="Arial"/>
          <w:b/>
          <w:i/>
          <w:color w:val="0000FF"/>
        </w:rPr>
      </w:pPr>
      <w:r w:rsidRPr="00D64B16">
        <w:rPr>
          <w:rFonts w:ascii="Arial" w:hAnsi="Arial" w:cs="Arial"/>
          <w:b/>
          <w:i/>
        </w:rPr>
        <w:t>AUTOCONT a.s.</w:t>
      </w:r>
    </w:p>
    <w:p w14:paraId="6D49DEDF" w14:textId="330870C6" w:rsidR="001E7107" w:rsidRPr="00D64B16" w:rsidRDefault="001E7107" w:rsidP="001E7107">
      <w:pPr>
        <w:rPr>
          <w:rFonts w:ascii="Arial" w:hAnsi="Arial" w:cs="Arial"/>
        </w:rPr>
      </w:pPr>
      <w:r w:rsidRPr="00D64B16">
        <w:rPr>
          <w:rFonts w:ascii="Arial" w:hAnsi="Arial" w:cs="Arial"/>
        </w:rPr>
        <w:t xml:space="preserve">se sídlem: </w:t>
      </w:r>
      <w:r w:rsidR="00D64B16" w:rsidRPr="00D64B16">
        <w:rPr>
          <w:rFonts w:ascii="Arial" w:hAnsi="Arial" w:cs="Arial"/>
        </w:rPr>
        <w:tab/>
      </w:r>
      <w:r w:rsidR="00D64B16" w:rsidRPr="00D64B16">
        <w:rPr>
          <w:rFonts w:ascii="Arial" w:hAnsi="Arial" w:cs="Arial"/>
        </w:rPr>
        <w:tab/>
        <w:t>Hornopolní 3322/34, 702 00 Ostrava</w:t>
      </w:r>
    </w:p>
    <w:p w14:paraId="45F80DD8" w14:textId="0FA4EF1A" w:rsidR="001E7107" w:rsidRPr="00D64B16" w:rsidRDefault="001E7107" w:rsidP="001E7107">
      <w:pPr>
        <w:rPr>
          <w:rFonts w:ascii="Arial" w:hAnsi="Arial" w:cs="Arial"/>
        </w:rPr>
      </w:pPr>
      <w:r w:rsidRPr="00D64B16">
        <w:rPr>
          <w:rFonts w:ascii="Arial" w:hAnsi="Arial" w:cs="Arial"/>
        </w:rPr>
        <w:t xml:space="preserve">IČO:                    </w:t>
      </w:r>
      <w:r w:rsidRPr="00D64B16">
        <w:rPr>
          <w:rFonts w:ascii="Arial" w:hAnsi="Arial" w:cs="Arial"/>
        </w:rPr>
        <w:tab/>
      </w:r>
      <w:r w:rsidR="00D64B16" w:rsidRPr="00D64B16">
        <w:rPr>
          <w:rFonts w:ascii="Arial" w:hAnsi="Arial" w:cs="Arial"/>
        </w:rPr>
        <w:t>04308697</w:t>
      </w:r>
      <w:r w:rsidRPr="00D64B16">
        <w:rPr>
          <w:rFonts w:ascii="Arial" w:hAnsi="Arial" w:cs="Arial"/>
        </w:rPr>
        <w:tab/>
      </w:r>
    </w:p>
    <w:p w14:paraId="5837E29F" w14:textId="2245E9A0" w:rsidR="001E7107" w:rsidRPr="004779A3" w:rsidRDefault="001E7107" w:rsidP="001E7107">
      <w:pPr>
        <w:rPr>
          <w:rFonts w:ascii="Arial" w:hAnsi="Arial" w:cs="Arial"/>
        </w:rPr>
      </w:pPr>
      <w:r w:rsidRPr="00D64B16">
        <w:rPr>
          <w:rFonts w:ascii="Arial" w:hAnsi="Arial" w:cs="Arial"/>
        </w:rPr>
        <w:t>DIČ</w:t>
      </w:r>
      <w:r w:rsidRPr="004779A3">
        <w:rPr>
          <w:rFonts w:ascii="Arial" w:hAnsi="Arial" w:cs="Arial"/>
        </w:rPr>
        <w:t xml:space="preserve">: </w:t>
      </w:r>
      <w:r w:rsidR="00D64B16" w:rsidRPr="004779A3">
        <w:rPr>
          <w:rFonts w:ascii="Arial" w:hAnsi="Arial" w:cs="Arial"/>
        </w:rPr>
        <w:tab/>
      </w:r>
      <w:r w:rsidR="00D64B16" w:rsidRPr="004779A3">
        <w:rPr>
          <w:rFonts w:ascii="Arial" w:hAnsi="Arial" w:cs="Arial"/>
        </w:rPr>
        <w:tab/>
      </w:r>
      <w:r w:rsidR="00D64B16" w:rsidRPr="004779A3">
        <w:rPr>
          <w:rFonts w:ascii="Arial" w:hAnsi="Arial" w:cs="Arial"/>
        </w:rPr>
        <w:tab/>
        <w:t>CZ04308697</w:t>
      </w:r>
    </w:p>
    <w:p w14:paraId="72FDCEB7" w14:textId="211C5E56" w:rsidR="001E7107" w:rsidRPr="004779A3" w:rsidRDefault="001E7107" w:rsidP="001E7107">
      <w:pPr>
        <w:ind w:left="2694" w:hanging="2694"/>
        <w:jc w:val="both"/>
        <w:rPr>
          <w:rFonts w:ascii="Arial" w:hAnsi="Arial" w:cs="Arial"/>
        </w:rPr>
      </w:pPr>
      <w:r w:rsidRPr="004779A3">
        <w:rPr>
          <w:rFonts w:ascii="Arial" w:hAnsi="Arial" w:cs="Arial"/>
        </w:rPr>
        <w:t>bankovní spojení:</w:t>
      </w:r>
      <w:r w:rsidR="004779A3" w:rsidRPr="004779A3">
        <w:rPr>
          <w:rFonts w:ascii="Arial" w:hAnsi="Arial" w:cs="Arial"/>
        </w:rPr>
        <w:t xml:space="preserve">          </w:t>
      </w:r>
      <w:r w:rsidR="00D64B16" w:rsidRPr="004779A3">
        <w:rPr>
          <w:rFonts w:ascii="Arial" w:hAnsi="Arial" w:cs="Arial"/>
        </w:rPr>
        <w:t>Česká spořitelna a.s.</w:t>
      </w:r>
    </w:p>
    <w:p w14:paraId="0DF04456" w14:textId="2BDC3D0F" w:rsidR="001E7107" w:rsidRPr="00175A7D" w:rsidRDefault="001E7107" w:rsidP="001E7107">
      <w:pPr>
        <w:ind w:left="2694" w:hanging="2694"/>
        <w:jc w:val="both"/>
        <w:rPr>
          <w:rFonts w:ascii="Arial" w:hAnsi="Arial" w:cs="Arial"/>
        </w:rPr>
      </w:pPr>
      <w:r w:rsidRPr="00175A7D">
        <w:rPr>
          <w:rFonts w:ascii="Arial" w:hAnsi="Arial" w:cs="Arial"/>
        </w:rPr>
        <w:t>číslo účtu:</w:t>
      </w:r>
      <w:r w:rsidR="00175A7D" w:rsidRPr="00175A7D">
        <w:rPr>
          <w:rFonts w:ascii="Arial" w:hAnsi="Arial" w:cs="Arial"/>
        </w:rPr>
        <w:t xml:space="preserve">                      </w:t>
      </w:r>
      <w:r w:rsidR="00CA0E1B">
        <w:rPr>
          <w:rFonts w:ascii="Arial" w:hAnsi="Arial" w:cs="Arial"/>
        </w:rPr>
        <w:t>xxxxxxxxxxxxxxxxxx</w:t>
      </w:r>
    </w:p>
    <w:p w14:paraId="557A427A" w14:textId="44969E71" w:rsidR="001E7107" w:rsidRPr="00C17F91" w:rsidRDefault="001E7107" w:rsidP="001E7107">
      <w:pPr>
        <w:rPr>
          <w:rFonts w:ascii="Arial" w:hAnsi="Arial" w:cs="Arial"/>
        </w:rPr>
      </w:pPr>
      <w:r w:rsidRPr="00C17F91">
        <w:rPr>
          <w:rFonts w:ascii="Arial" w:hAnsi="Arial" w:cs="Arial"/>
        </w:rPr>
        <w:t xml:space="preserve">zastoupený: </w:t>
      </w:r>
      <w:r w:rsidR="00C17F91" w:rsidRPr="00C17F91">
        <w:rPr>
          <w:rFonts w:ascii="Arial" w:hAnsi="Arial" w:cs="Arial"/>
        </w:rPr>
        <w:t xml:space="preserve">                  Ing. Zdeněk Chobot, ředitel regionálního centra, na základě plné moci</w:t>
      </w:r>
    </w:p>
    <w:p w14:paraId="4E5514BE" w14:textId="55DFD2F1" w:rsidR="001E7107" w:rsidRPr="00C2244B" w:rsidRDefault="001E7107" w:rsidP="001E7107">
      <w:pPr>
        <w:jc w:val="both"/>
        <w:rPr>
          <w:rFonts w:ascii="Arial" w:hAnsi="Arial" w:cs="Arial"/>
        </w:rPr>
      </w:pPr>
      <w:r w:rsidRPr="001003CB">
        <w:rPr>
          <w:rFonts w:ascii="Arial" w:hAnsi="Arial" w:cs="Arial"/>
        </w:rPr>
        <w:t xml:space="preserve">zapsaný v obchodním rejstříku vedeném Krajským soudem v </w:t>
      </w:r>
      <w:r w:rsidR="001003CB" w:rsidRPr="001003CB">
        <w:rPr>
          <w:rFonts w:ascii="Arial" w:hAnsi="Arial" w:cs="Arial"/>
        </w:rPr>
        <w:t>Ostravě</w:t>
      </w:r>
      <w:r w:rsidRPr="001003CB">
        <w:rPr>
          <w:rFonts w:ascii="Arial" w:hAnsi="Arial" w:cs="Arial"/>
        </w:rPr>
        <w:t xml:space="preserve"> oddíl </w:t>
      </w:r>
      <w:r w:rsidR="001003CB" w:rsidRPr="001003CB">
        <w:rPr>
          <w:rFonts w:ascii="Arial" w:hAnsi="Arial" w:cs="Arial"/>
        </w:rPr>
        <w:t>B</w:t>
      </w:r>
      <w:r w:rsidRPr="001003CB">
        <w:rPr>
          <w:rFonts w:ascii="Arial" w:hAnsi="Arial" w:cs="Arial"/>
        </w:rPr>
        <w:t xml:space="preserve"> vložka </w:t>
      </w:r>
      <w:r w:rsidR="001003CB" w:rsidRPr="001003CB">
        <w:rPr>
          <w:rFonts w:ascii="Arial" w:hAnsi="Arial" w:cs="Arial"/>
        </w:rPr>
        <w:t>11012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19CAB0F1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0FF2D9FB" w14:textId="77777777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7E8FCE52" w:rsidR="00FC724C" w:rsidRDefault="00D367AC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 w:rsidR="005754BE"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C181F">
        <w:rPr>
          <w:rFonts w:ascii="Arial" w:hAnsi="Arial" w:cs="Arial"/>
          <w:b/>
        </w:rPr>
        <w:t>„</w:t>
      </w:r>
      <w:r w:rsidR="007C181F" w:rsidRPr="007C181F">
        <w:rPr>
          <w:rFonts w:ascii="Arial" w:hAnsi="Arial" w:cs="Arial"/>
          <w:b/>
        </w:rPr>
        <w:t xml:space="preserve">Nákup služeb podpory produktů </w:t>
      </w:r>
      <w:proofErr w:type="spellStart"/>
      <w:r w:rsidR="007C181F" w:rsidRPr="007C181F">
        <w:rPr>
          <w:rFonts w:ascii="Arial" w:hAnsi="Arial" w:cs="Arial"/>
          <w:b/>
        </w:rPr>
        <w:t>VMware</w:t>
      </w:r>
      <w:proofErr w:type="spellEnd"/>
      <w:r w:rsidR="007C181F" w:rsidRPr="007C181F">
        <w:rPr>
          <w:rFonts w:ascii="Arial" w:hAnsi="Arial" w:cs="Arial"/>
          <w:b/>
        </w:rPr>
        <w:t xml:space="preserve"> 5let</w:t>
      </w:r>
      <w:r w:rsidR="00125BF0" w:rsidRPr="007C181F">
        <w:rPr>
          <w:rFonts w:ascii="Arial" w:hAnsi="Arial" w:cs="Arial"/>
          <w:b/>
        </w:rPr>
        <w:t>“</w:t>
      </w:r>
      <w:r w:rsidR="00FC724C" w:rsidRPr="007C181F">
        <w:rPr>
          <w:rFonts w:ascii="Arial" w:hAnsi="Arial" w:cs="Arial"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403ED0">
        <w:rPr>
          <w:rFonts w:ascii="Arial" w:hAnsi="Arial" w:cs="Arial"/>
        </w:rPr>
        <w:t>21. 6. 2022</w:t>
      </w:r>
      <w:r w:rsidR="00FC724C" w:rsidRPr="006840DC">
        <w:rPr>
          <w:rFonts w:ascii="Arial" w:hAnsi="Arial" w:cs="Arial"/>
        </w:rPr>
        <w:t xml:space="preserve"> </w:t>
      </w:r>
      <w:r w:rsidR="00FC724C">
        <w:rPr>
          <w:rFonts w:ascii="Arial" w:hAnsi="Arial" w:cs="Arial"/>
        </w:rPr>
        <w:t>objednatelem</w:t>
      </w:r>
      <w:r w:rsidR="00FC724C" w:rsidRPr="006840DC">
        <w:rPr>
          <w:rFonts w:ascii="Arial" w:hAnsi="Arial" w:cs="Arial"/>
        </w:rPr>
        <w:t xml:space="preserve"> jako zadavatelem veřejné zakázky</w:t>
      </w:r>
      <w:r w:rsidR="00FC724C">
        <w:rPr>
          <w:rFonts w:ascii="Arial" w:hAnsi="Arial" w:cs="Arial"/>
        </w:rPr>
        <w:t xml:space="preserve"> malého rozsahu</w:t>
      </w:r>
      <w:r>
        <w:rPr>
          <w:rFonts w:ascii="Arial" w:hAnsi="Arial" w:cs="Arial"/>
        </w:rPr>
        <w:t xml:space="preserve"> formou otevřeného řízení s výzvou</w:t>
      </w:r>
      <w:r w:rsidR="00FC724C">
        <w:rPr>
          <w:rFonts w:ascii="Arial" w:hAnsi="Arial" w:cs="Arial"/>
        </w:rPr>
        <w:t>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2790DDE2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</w:rPr>
        <w:t>je držitelem potřebného živnostenského oprávnění</w:t>
      </w:r>
      <w:r w:rsidR="00FC724C" w:rsidRPr="00B4787C">
        <w:rPr>
          <w:rFonts w:ascii="Tahoma" w:hAnsi="Tahoma" w:cs="Tahoma"/>
        </w:rPr>
        <w:t xml:space="preserve"> </w:t>
      </w:r>
      <w:r w:rsidR="00FC724C" w:rsidRPr="006840DC">
        <w:rPr>
          <w:rFonts w:ascii="Arial" w:hAnsi="Arial" w:cs="Arial"/>
        </w:rPr>
        <w:t xml:space="preserve">a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6590CA1C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75EA13C9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77777777" w:rsidR="00632078" w:rsidRPr="00C2244B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2BC1526B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O </w:t>
      </w:r>
      <w:r w:rsidR="009C2665">
        <w:rPr>
          <w:rFonts w:ascii="Arial" w:hAnsi="Arial" w:cs="Arial"/>
          <w:sz w:val="28"/>
          <w:szCs w:val="28"/>
        </w:rPr>
        <w:t>ZAJIŠTĚNÍ SYSTÉMOVÉ</w:t>
      </w:r>
      <w:r w:rsidRPr="00E841ED">
        <w:rPr>
          <w:rFonts w:ascii="Arial" w:hAnsi="Arial" w:cs="Arial"/>
          <w:sz w:val="28"/>
          <w:szCs w:val="28"/>
        </w:rPr>
        <w:t xml:space="preserve"> PODPORY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67E657CE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(dále jen „smlouva“)</w:t>
      </w:r>
    </w:p>
    <w:p w14:paraId="0AC369EF" w14:textId="77777777" w:rsidR="009C2665" w:rsidRDefault="009C2665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5FEFD96E" w14:textId="25B48D08" w:rsidR="009C2665" w:rsidRDefault="001715F9" w:rsidP="006E46F4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9C2665">
        <w:rPr>
          <w:rFonts w:cs="Arial"/>
          <w:sz w:val="20"/>
          <w:szCs w:val="20"/>
        </w:rPr>
        <w:t xml:space="preserve">zajistit </w:t>
      </w:r>
      <w:r w:rsidRPr="009C2665">
        <w:rPr>
          <w:rFonts w:cs="Arial"/>
          <w:sz w:val="20"/>
          <w:szCs w:val="20"/>
        </w:rPr>
        <w:t>poskyt</w:t>
      </w:r>
      <w:r w:rsidR="00656D4B" w:rsidRPr="009C2665">
        <w:rPr>
          <w:rFonts w:cs="Arial"/>
          <w:sz w:val="20"/>
          <w:szCs w:val="20"/>
        </w:rPr>
        <w:t>n</w:t>
      </w:r>
      <w:r w:rsidR="009C2665">
        <w:rPr>
          <w:rFonts w:cs="Arial"/>
          <w:sz w:val="20"/>
          <w:szCs w:val="20"/>
        </w:rPr>
        <w:t>u</w:t>
      </w:r>
      <w:r w:rsidR="00656D4B" w:rsidRPr="009C2665">
        <w:rPr>
          <w:rFonts w:cs="Arial"/>
          <w:sz w:val="20"/>
          <w:szCs w:val="20"/>
        </w:rPr>
        <w:t>t</w:t>
      </w:r>
      <w:r w:rsidR="009C2665">
        <w:rPr>
          <w:rFonts w:cs="Arial"/>
          <w:sz w:val="20"/>
          <w:szCs w:val="20"/>
        </w:rPr>
        <w:t>í</w:t>
      </w:r>
      <w:r w:rsidR="009C2665" w:rsidRPr="009C2665">
        <w:rPr>
          <w:rFonts w:cs="Arial"/>
          <w:sz w:val="20"/>
          <w:szCs w:val="20"/>
        </w:rPr>
        <w:t xml:space="preserve"> podpor</w:t>
      </w:r>
      <w:r w:rsidR="009C2665">
        <w:rPr>
          <w:rFonts w:cs="Arial"/>
          <w:sz w:val="20"/>
          <w:szCs w:val="20"/>
        </w:rPr>
        <w:t>y</w:t>
      </w:r>
      <w:r w:rsidR="009C2665" w:rsidRPr="009C2665">
        <w:rPr>
          <w:rFonts w:cs="Arial"/>
          <w:sz w:val="20"/>
          <w:szCs w:val="20"/>
        </w:rPr>
        <w:t xml:space="preserve"> </w:t>
      </w:r>
      <w:r w:rsidR="00A44538">
        <w:rPr>
          <w:rFonts w:cs="Arial"/>
          <w:bCs/>
          <w:iCs/>
          <w:sz w:val="20"/>
          <w:szCs w:val="20"/>
        </w:rPr>
        <w:t xml:space="preserve">produktů </w:t>
      </w:r>
      <w:proofErr w:type="spellStart"/>
      <w:r w:rsidR="00A44538">
        <w:rPr>
          <w:rFonts w:cs="Arial"/>
          <w:bCs/>
          <w:iCs/>
          <w:sz w:val="20"/>
          <w:szCs w:val="20"/>
        </w:rPr>
        <w:t>VMware</w:t>
      </w:r>
      <w:proofErr w:type="spellEnd"/>
      <w:r w:rsidR="00A44538">
        <w:rPr>
          <w:rFonts w:cs="Arial"/>
          <w:bCs/>
          <w:iCs/>
          <w:sz w:val="20"/>
          <w:szCs w:val="20"/>
        </w:rPr>
        <w:t xml:space="preserve">  </w:t>
      </w:r>
      <w:r w:rsidR="00DD736A">
        <w:rPr>
          <w:rFonts w:cs="Arial"/>
          <w:bCs/>
          <w:iCs/>
          <w:sz w:val="20"/>
          <w:szCs w:val="20"/>
        </w:rPr>
        <w:t>od</w:t>
      </w:r>
      <w:r w:rsidR="00614371">
        <w:rPr>
          <w:rFonts w:cs="Arial"/>
          <w:bCs/>
          <w:iCs/>
          <w:sz w:val="20"/>
          <w:szCs w:val="20"/>
        </w:rPr>
        <w:t xml:space="preserve"> </w:t>
      </w:r>
      <w:r w:rsidR="006F2BD0">
        <w:rPr>
          <w:rFonts w:cs="Arial"/>
          <w:bCs/>
          <w:iCs/>
          <w:sz w:val="20"/>
          <w:szCs w:val="20"/>
        </w:rPr>
        <w:t>9</w:t>
      </w:r>
      <w:r w:rsidR="00EE0B5A">
        <w:rPr>
          <w:rFonts w:cs="Arial"/>
          <w:bCs/>
          <w:iCs/>
          <w:sz w:val="20"/>
          <w:szCs w:val="20"/>
        </w:rPr>
        <w:t xml:space="preserve">. 7. </w:t>
      </w:r>
      <w:r w:rsidR="00DD736A">
        <w:rPr>
          <w:rFonts w:cs="Arial"/>
          <w:bCs/>
          <w:iCs/>
          <w:sz w:val="20"/>
          <w:szCs w:val="20"/>
        </w:rPr>
        <w:t>202</w:t>
      </w:r>
      <w:r w:rsidR="00614371">
        <w:rPr>
          <w:rFonts w:cs="Arial"/>
          <w:bCs/>
          <w:iCs/>
          <w:sz w:val="20"/>
          <w:szCs w:val="20"/>
        </w:rPr>
        <w:t>2</w:t>
      </w:r>
      <w:r w:rsidR="00DD736A">
        <w:rPr>
          <w:rFonts w:cs="Arial"/>
          <w:bCs/>
          <w:iCs/>
          <w:sz w:val="20"/>
          <w:szCs w:val="20"/>
        </w:rPr>
        <w:t xml:space="preserve"> do </w:t>
      </w:r>
      <w:r w:rsidR="006F2BD0">
        <w:rPr>
          <w:rFonts w:cs="Arial"/>
          <w:bCs/>
          <w:iCs/>
          <w:sz w:val="20"/>
          <w:szCs w:val="20"/>
        </w:rPr>
        <w:t>8</w:t>
      </w:r>
      <w:r w:rsidR="00EE0B5A">
        <w:rPr>
          <w:rFonts w:cs="Arial"/>
          <w:bCs/>
          <w:iCs/>
          <w:sz w:val="20"/>
          <w:szCs w:val="20"/>
        </w:rPr>
        <w:t xml:space="preserve">. 7. </w:t>
      </w:r>
      <w:r w:rsidR="00DD736A">
        <w:rPr>
          <w:rFonts w:cs="Arial"/>
          <w:bCs/>
          <w:iCs/>
          <w:sz w:val="20"/>
          <w:szCs w:val="20"/>
        </w:rPr>
        <w:t>202</w:t>
      </w:r>
      <w:r w:rsidR="00614371">
        <w:rPr>
          <w:rFonts w:cs="Arial"/>
          <w:bCs/>
          <w:iCs/>
          <w:sz w:val="20"/>
          <w:szCs w:val="20"/>
        </w:rPr>
        <w:t>7</w:t>
      </w:r>
      <w:r w:rsidR="00F70AAF">
        <w:rPr>
          <w:rFonts w:cs="Arial"/>
          <w:bCs/>
          <w:iCs/>
          <w:sz w:val="20"/>
          <w:szCs w:val="20"/>
        </w:rPr>
        <w:t xml:space="preserve"> </w:t>
      </w:r>
      <w:r w:rsidR="004431B3">
        <w:rPr>
          <w:rFonts w:cs="Arial"/>
          <w:bCs/>
          <w:iCs/>
          <w:sz w:val="20"/>
          <w:szCs w:val="20"/>
        </w:rPr>
        <w:t>pro</w:t>
      </w:r>
      <w:r w:rsidR="004431B3" w:rsidRPr="004431B3">
        <w:rPr>
          <w:rFonts w:cs="Arial"/>
          <w:sz w:val="20"/>
          <w:szCs w:val="20"/>
        </w:rPr>
        <w:t xml:space="preserve"> </w:t>
      </w:r>
      <w:r w:rsidR="009C2665" w:rsidRPr="009C2665">
        <w:rPr>
          <w:rFonts w:cs="Arial"/>
          <w:sz w:val="20"/>
          <w:szCs w:val="20"/>
        </w:rPr>
        <w:t>K</w:t>
      </w:r>
      <w:r w:rsidR="004431B3">
        <w:rPr>
          <w:rFonts w:cs="Arial"/>
          <w:sz w:val="20"/>
          <w:szCs w:val="20"/>
        </w:rPr>
        <w:t>rajský úřad</w:t>
      </w:r>
      <w:r w:rsidR="006E46F4">
        <w:rPr>
          <w:rFonts w:cs="Arial"/>
          <w:sz w:val="20"/>
          <w:szCs w:val="20"/>
        </w:rPr>
        <w:t xml:space="preserve"> </w:t>
      </w:r>
      <w:r w:rsidR="009C2665" w:rsidRPr="009C2665">
        <w:rPr>
          <w:rFonts w:cs="Arial"/>
          <w:sz w:val="20"/>
          <w:szCs w:val="20"/>
        </w:rPr>
        <w:t>K</w:t>
      </w:r>
      <w:r w:rsidR="006E46F4">
        <w:rPr>
          <w:rFonts w:cs="Arial"/>
          <w:sz w:val="20"/>
          <w:szCs w:val="20"/>
        </w:rPr>
        <w:t>arlovarského kraje</w:t>
      </w:r>
      <w:r w:rsidR="009C2665" w:rsidRPr="009C2665">
        <w:rPr>
          <w:rFonts w:cs="Arial"/>
          <w:sz w:val="20"/>
          <w:szCs w:val="20"/>
        </w:rPr>
        <w:t xml:space="preserve"> </w:t>
      </w:r>
      <w:r w:rsidR="00656D4B" w:rsidRPr="009C2665">
        <w:rPr>
          <w:rFonts w:cs="Arial"/>
          <w:sz w:val="20"/>
          <w:szCs w:val="20"/>
        </w:rPr>
        <w:t>v</w:t>
      </w:r>
      <w:r w:rsidR="009C2665">
        <w:rPr>
          <w:rFonts w:cs="Arial"/>
          <w:sz w:val="20"/>
          <w:szCs w:val="20"/>
        </w:rPr>
        <w:t> </w:t>
      </w:r>
      <w:r w:rsidR="00656D4B" w:rsidRPr="009C2665">
        <w:rPr>
          <w:rFonts w:cs="Arial"/>
          <w:sz w:val="20"/>
          <w:szCs w:val="20"/>
        </w:rPr>
        <w:t>rozsahu</w:t>
      </w:r>
      <w:r w:rsidR="009C2665">
        <w:rPr>
          <w:rFonts w:cs="Arial"/>
          <w:sz w:val="20"/>
          <w:szCs w:val="20"/>
        </w:rPr>
        <w:t>:</w:t>
      </w:r>
      <w:r w:rsidR="00656D4B" w:rsidRPr="009C2665">
        <w:rPr>
          <w:rFonts w:cs="Arial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635"/>
        <w:gridCol w:w="5954"/>
      </w:tblGrid>
      <w:tr w:rsidR="00E14727" w:rsidRPr="009C2665" w14:paraId="3BCBE395" w14:textId="77777777" w:rsidTr="006E46F4">
        <w:trPr>
          <w:jc w:val="center"/>
        </w:trPr>
        <w:tc>
          <w:tcPr>
            <w:tcW w:w="635" w:type="dxa"/>
          </w:tcPr>
          <w:p w14:paraId="52DD7400" w14:textId="77777777" w:rsidR="00E14727" w:rsidRPr="009C2665" w:rsidRDefault="00E14727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ks</w:t>
            </w:r>
          </w:p>
        </w:tc>
        <w:tc>
          <w:tcPr>
            <w:tcW w:w="5954" w:type="dxa"/>
          </w:tcPr>
          <w:p w14:paraId="7474B18A" w14:textId="77777777" w:rsidR="00E14727" w:rsidRPr="009C2665" w:rsidRDefault="00E14727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popis</w:t>
            </w:r>
          </w:p>
        </w:tc>
      </w:tr>
      <w:tr w:rsidR="00E14727" w:rsidRPr="009C2665" w14:paraId="7B2A0A57" w14:textId="77777777" w:rsidTr="006E46F4">
        <w:trPr>
          <w:jc w:val="center"/>
        </w:trPr>
        <w:tc>
          <w:tcPr>
            <w:tcW w:w="635" w:type="dxa"/>
          </w:tcPr>
          <w:p w14:paraId="17E6AD10" w14:textId="5279B33B" w:rsidR="00E14727" w:rsidRPr="009C2665" w:rsidRDefault="00614371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14:paraId="5473D7C9" w14:textId="08930EBE" w:rsidR="00E14727" w:rsidRPr="009C2665" w:rsidRDefault="00614371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14371">
              <w:t>vSphere</w:t>
            </w:r>
            <w:proofErr w:type="spellEnd"/>
            <w:r w:rsidRPr="00614371">
              <w:t xml:space="preserve"> 7 </w:t>
            </w:r>
            <w:proofErr w:type="spellStart"/>
            <w:r w:rsidRPr="00614371">
              <w:t>Enterprise</w:t>
            </w:r>
            <w:proofErr w:type="spellEnd"/>
            <w:r w:rsidRPr="00614371">
              <w:t xml:space="preserve">+ 16 </w:t>
            </w:r>
            <w:proofErr w:type="spellStart"/>
            <w:r w:rsidRPr="00614371">
              <w:t>CPUs</w:t>
            </w:r>
            <w:proofErr w:type="spellEnd"/>
          </w:p>
        </w:tc>
      </w:tr>
      <w:tr w:rsidR="00E14727" w:rsidRPr="009C2665" w14:paraId="49A79B56" w14:textId="77777777" w:rsidTr="006E46F4">
        <w:trPr>
          <w:jc w:val="center"/>
        </w:trPr>
        <w:tc>
          <w:tcPr>
            <w:tcW w:w="635" w:type="dxa"/>
          </w:tcPr>
          <w:p w14:paraId="16DBA105" w14:textId="77777777"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14:paraId="28FE9505" w14:textId="301FDDCE" w:rsidR="00E14727" w:rsidRPr="009C2665" w:rsidRDefault="00D9573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t>vCenter</w:t>
            </w:r>
            <w:proofErr w:type="spellEnd"/>
            <w:r>
              <w:t xml:space="preserve"> Server 7</w:t>
            </w:r>
            <w:r w:rsidR="00E14727" w:rsidRPr="005D1A3C">
              <w:t xml:space="preserve"> Standard</w:t>
            </w:r>
          </w:p>
        </w:tc>
      </w:tr>
    </w:tbl>
    <w:p w14:paraId="704706CE" w14:textId="227A66E9" w:rsidR="00590122" w:rsidRPr="009C2665" w:rsidRDefault="00E85B2E" w:rsidP="009C2665">
      <w:pPr>
        <w:pStyle w:val="slovn2rove"/>
        <w:ind w:left="567"/>
        <w:rPr>
          <w:rFonts w:cs="Arial"/>
          <w:sz w:val="20"/>
          <w:szCs w:val="20"/>
        </w:rPr>
      </w:pPr>
      <w:r w:rsidRPr="009C2665">
        <w:rPr>
          <w:rFonts w:cs="Arial"/>
          <w:sz w:val="20"/>
          <w:szCs w:val="20"/>
        </w:rPr>
        <w:t>(dále jen „</w:t>
      </w:r>
      <w:r w:rsidR="009C2665">
        <w:rPr>
          <w:rFonts w:cs="Arial"/>
          <w:sz w:val="20"/>
          <w:szCs w:val="20"/>
        </w:rPr>
        <w:t>Podpora</w:t>
      </w:r>
      <w:r w:rsidRPr="009C2665">
        <w:rPr>
          <w:rFonts w:cs="Arial"/>
          <w:sz w:val="20"/>
          <w:szCs w:val="20"/>
        </w:rPr>
        <w:t>“)</w:t>
      </w:r>
      <w:r w:rsidR="00656D4B" w:rsidRPr="009C2665">
        <w:rPr>
          <w:rFonts w:cs="Arial"/>
          <w:sz w:val="20"/>
          <w:szCs w:val="20"/>
        </w:rPr>
        <w:t>.</w:t>
      </w:r>
      <w:r w:rsidR="001715F9" w:rsidRPr="009C2665">
        <w:rPr>
          <w:rFonts w:cs="Arial"/>
          <w:sz w:val="20"/>
          <w:szCs w:val="20"/>
        </w:rPr>
        <w:t xml:space="preserve"> </w:t>
      </w:r>
    </w:p>
    <w:p w14:paraId="39BB59B2" w14:textId="45112D6F" w:rsidR="00DD3459" w:rsidRPr="001E7107" w:rsidRDefault="0010423E" w:rsidP="001E7107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9C2665">
        <w:rPr>
          <w:rFonts w:cs="Arial"/>
          <w:sz w:val="20"/>
          <w:szCs w:val="20"/>
        </w:rPr>
        <w:t>zajištěnou</w:t>
      </w:r>
      <w:r w:rsidRPr="0010423E">
        <w:rPr>
          <w:rFonts w:cs="Arial"/>
          <w:sz w:val="20"/>
          <w:szCs w:val="20"/>
        </w:rPr>
        <w:t xml:space="preserve"> </w:t>
      </w:r>
      <w:r w:rsidR="009C2665">
        <w:rPr>
          <w:rFonts w:cs="Arial"/>
          <w:sz w:val="20"/>
          <w:szCs w:val="20"/>
        </w:rPr>
        <w:t>Podporu</w:t>
      </w:r>
      <w:r w:rsidRPr="0010423E">
        <w:rPr>
          <w:rFonts w:cs="Arial"/>
          <w:sz w:val="20"/>
          <w:szCs w:val="20"/>
        </w:rPr>
        <w:t xml:space="preserve"> 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>
        <w:rPr>
          <w:rFonts w:cs="Arial"/>
          <w:sz w:val="20"/>
          <w:szCs w:val="20"/>
        </w:rPr>
        <w:t>dodavatele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774B1A69" w14:textId="4C6D700E" w:rsidR="00DD3459" w:rsidRDefault="00DD3459" w:rsidP="00DD3459">
      <w:pPr>
        <w:pStyle w:val="slovn2rove"/>
        <w:ind w:left="705"/>
        <w:rPr>
          <w:rFonts w:cs="Arial"/>
          <w:sz w:val="20"/>
          <w:szCs w:val="20"/>
        </w:rPr>
      </w:pPr>
    </w:p>
    <w:p w14:paraId="5126365C" w14:textId="41314583" w:rsidR="00DD3459" w:rsidRDefault="00E85B2E" w:rsidP="00DD345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2DECFEE6" w14:textId="1428646F" w:rsidR="00580554" w:rsidRPr="00CE76FA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 w:rsidRPr="00CE76FA">
        <w:rPr>
          <w:rFonts w:cs="Arial"/>
          <w:sz w:val="20"/>
          <w:szCs w:val="20"/>
        </w:rPr>
        <w:t xml:space="preserve">Poskytovatel je povinen </w:t>
      </w:r>
      <w:r w:rsidR="009C2665" w:rsidRPr="00CE76FA">
        <w:rPr>
          <w:rFonts w:cs="Arial"/>
          <w:sz w:val="20"/>
          <w:szCs w:val="20"/>
        </w:rPr>
        <w:t>zajistit poskytnutí Podpory</w:t>
      </w:r>
      <w:r w:rsidRPr="00CE76FA">
        <w:rPr>
          <w:rFonts w:cs="Arial"/>
          <w:sz w:val="20"/>
          <w:szCs w:val="20"/>
        </w:rPr>
        <w:t xml:space="preserve"> nejpozději do </w:t>
      </w:r>
      <w:r w:rsidR="009C2665" w:rsidRPr="00CE76FA">
        <w:rPr>
          <w:rFonts w:cs="Arial"/>
          <w:sz w:val="20"/>
          <w:szCs w:val="20"/>
        </w:rPr>
        <w:t>10 dnů od účinnosti smlouvy.</w:t>
      </w:r>
    </w:p>
    <w:p w14:paraId="45B48B8E" w14:textId="179F09A1" w:rsidR="00580554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Místem plnění je sídlo objednatele.</w:t>
      </w:r>
    </w:p>
    <w:p w14:paraId="4B412D92" w14:textId="77777777" w:rsidR="0011266D" w:rsidRDefault="0011266D" w:rsidP="0011266D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37E9D085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9C2665">
        <w:rPr>
          <w:rFonts w:cs="Arial"/>
          <w:sz w:val="20"/>
          <w:szCs w:val="20"/>
        </w:rPr>
        <w:t>zajištění Podpory</w:t>
      </w:r>
      <w:r w:rsidRPr="00DD3459">
        <w:rPr>
          <w:rFonts w:cs="Arial"/>
          <w:sz w:val="20"/>
          <w:szCs w:val="20"/>
        </w:rPr>
        <w:t xml:space="preserve"> dle článku čl. </w:t>
      </w:r>
      <w:r w:rsidRPr="00AB2847">
        <w:rPr>
          <w:rFonts w:cs="Arial"/>
          <w:sz w:val="20"/>
          <w:szCs w:val="20"/>
        </w:rPr>
        <w:t>1.1</w:t>
      </w:r>
      <w:r w:rsidR="00D95737">
        <w:rPr>
          <w:rFonts w:cs="Arial"/>
          <w:sz w:val="20"/>
          <w:szCs w:val="20"/>
        </w:rPr>
        <w:t xml:space="preserve"> činí:</w:t>
      </w:r>
    </w:p>
    <w:p w14:paraId="42DC0533" w14:textId="59512147" w:rsidR="00E85B2E" w:rsidRPr="00BC46D8" w:rsidRDefault="00D95737" w:rsidP="00A464B3">
      <w:pPr>
        <w:pStyle w:val="slovn2rove"/>
        <w:tabs>
          <w:tab w:val="clear" w:pos="567"/>
        </w:tabs>
        <w:ind w:firstLine="567"/>
        <w:rPr>
          <w:rFonts w:cs="Arial"/>
          <w:sz w:val="20"/>
          <w:szCs w:val="20"/>
        </w:rPr>
      </w:pPr>
      <w:r w:rsidRPr="00BC46D8">
        <w:rPr>
          <w:rFonts w:cs="Arial"/>
          <w:sz w:val="20"/>
          <w:szCs w:val="20"/>
        </w:rPr>
        <w:t xml:space="preserve">cena bez DPH </w:t>
      </w:r>
      <w:r w:rsidR="00BC46D8" w:rsidRPr="00BC46D8">
        <w:rPr>
          <w:rFonts w:cs="Arial"/>
          <w:sz w:val="20"/>
          <w:szCs w:val="20"/>
        </w:rPr>
        <w:t>1.053.059</w:t>
      </w:r>
      <w:r w:rsidR="00DD3459" w:rsidRPr="00BC46D8">
        <w:rPr>
          <w:rFonts w:cs="Arial"/>
          <w:sz w:val="20"/>
          <w:szCs w:val="20"/>
        </w:rPr>
        <w:t xml:space="preserve"> Kč (slovy: </w:t>
      </w:r>
      <w:r w:rsidR="00BC46D8" w:rsidRPr="00BC46D8">
        <w:rPr>
          <w:rFonts w:cs="Arial"/>
          <w:sz w:val="20"/>
          <w:szCs w:val="20"/>
        </w:rPr>
        <w:t>jeden milion padesát tři tisíc padesát devět korun českých</w:t>
      </w:r>
      <w:r w:rsidRPr="00BC46D8">
        <w:rPr>
          <w:rFonts w:cs="Arial"/>
          <w:sz w:val="20"/>
          <w:szCs w:val="20"/>
        </w:rPr>
        <w:t>)</w:t>
      </w:r>
    </w:p>
    <w:p w14:paraId="18C6D0F5" w14:textId="2E412861" w:rsidR="00E85B2E" w:rsidRPr="00BC46D8" w:rsidRDefault="007736C6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BC46D8">
        <w:rPr>
          <w:rFonts w:cs="Arial"/>
          <w:sz w:val="20"/>
          <w:szCs w:val="20"/>
        </w:rPr>
        <w:t xml:space="preserve">DPH ve výši 21% </w:t>
      </w:r>
      <w:r w:rsidR="00BC46D8" w:rsidRPr="00BC46D8">
        <w:rPr>
          <w:rFonts w:cs="Arial"/>
          <w:sz w:val="20"/>
          <w:szCs w:val="20"/>
        </w:rPr>
        <w:t xml:space="preserve">221.142,39 </w:t>
      </w:r>
      <w:r w:rsidR="00E85B2E" w:rsidRPr="00BC46D8">
        <w:rPr>
          <w:rFonts w:cs="Arial"/>
          <w:sz w:val="20"/>
          <w:szCs w:val="20"/>
        </w:rPr>
        <w:t>Kč</w:t>
      </w:r>
      <w:r w:rsidR="00D95737" w:rsidRPr="00BC46D8">
        <w:rPr>
          <w:rFonts w:cs="Arial"/>
          <w:sz w:val="20"/>
          <w:szCs w:val="20"/>
        </w:rPr>
        <w:t xml:space="preserve"> (slovy: </w:t>
      </w:r>
      <w:r w:rsidR="00BC46D8" w:rsidRPr="00BC46D8">
        <w:rPr>
          <w:rFonts w:cs="Arial"/>
          <w:sz w:val="20"/>
          <w:szCs w:val="20"/>
        </w:rPr>
        <w:t>dvě stě dvacet jedna tisíc jedno sto čtyřicet dva korun českých a třicet devět haléřů</w:t>
      </w:r>
      <w:r w:rsidR="00D95737" w:rsidRPr="00BC46D8">
        <w:rPr>
          <w:rFonts w:cs="Arial"/>
          <w:sz w:val="20"/>
          <w:szCs w:val="20"/>
        </w:rPr>
        <w:t>)</w:t>
      </w:r>
    </w:p>
    <w:p w14:paraId="4200435C" w14:textId="72D6FF97" w:rsidR="00DD3459" w:rsidRDefault="007736C6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9173B7">
        <w:rPr>
          <w:rFonts w:cs="Arial"/>
          <w:sz w:val="20"/>
          <w:szCs w:val="20"/>
        </w:rPr>
        <w:t xml:space="preserve">cena včetně DPH </w:t>
      </w:r>
      <w:r w:rsidR="009173B7" w:rsidRPr="009173B7">
        <w:rPr>
          <w:rFonts w:cs="Arial"/>
          <w:sz w:val="20"/>
          <w:szCs w:val="20"/>
        </w:rPr>
        <w:t xml:space="preserve">1.274.201,39 </w:t>
      </w:r>
      <w:r w:rsidR="00E85B2E" w:rsidRPr="009173B7">
        <w:rPr>
          <w:rFonts w:cs="Arial"/>
          <w:sz w:val="20"/>
          <w:szCs w:val="20"/>
        </w:rPr>
        <w:t>Kč</w:t>
      </w:r>
      <w:r w:rsidR="00580554" w:rsidRPr="009173B7">
        <w:rPr>
          <w:rFonts w:cs="Arial"/>
          <w:sz w:val="20"/>
          <w:szCs w:val="20"/>
        </w:rPr>
        <w:t xml:space="preserve"> (slovy:</w:t>
      </w:r>
      <w:r w:rsidR="009173B7" w:rsidRPr="009173B7">
        <w:rPr>
          <w:rFonts w:cs="Arial"/>
          <w:sz w:val="20"/>
          <w:szCs w:val="20"/>
        </w:rPr>
        <w:t xml:space="preserve"> jeden milion dvě stě sedmdesát čtyři tisíc dvě stě jedna korun českých a třicet devět haléřů</w:t>
      </w:r>
      <w:r w:rsidR="00580554" w:rsidRPr="009173B7">
        <w:rPr>
          <w:rFonts w:cs="Arial"/>
          <w:sz w:val="20"/>
          <w:szCs w:val="20"/>
        </w:rPr>
        <w:t>)</w:t>
      </w:r>
    </w:p>
    <w:p w14:paraId="1EF70419" w14:textId="15E77A7E" w:rsidR="00E85B2E" w:rsidRDefault="00E85B2E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„Cena“)</w:t>
      </w:r>
    </w:p>
    <w:p w14:paraId="067E6569" w14:textId="67FB25A6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>poskytnutí Podpory</w:t>
      </w:r>
      <w:r w:rsidRPr="00AB2847">
        <w:rPr>
          <w:rFonts w:cs="Arial"/>
          <w:sz w:val="20"/>
          <w:szCs w:val="20"/>
        </w:rPr>
        <w:t xml:space="preserve"> dle článku I.</w:t>
      </w:r>
      <w:r w:rsidR="00AB2847" w:rsidRPr="00AB2847">
        <w:rPr>
          <w:rFonts w:cs="Arial"/>
          <w:sz w:val="20"/>
          <w:szCs w:val="20"/>
        </w:rPr>
        <w:t xml:space="preserve"> odst. 1.1</w:t>
      </w:r>
      <w:r w:rsidRPr="00AB2847">
        <w:rPr>
          <w:rFonts w:cs="Arial"/>
          <w:sz w:val="20"/>
          <w:szCs w:val="20"/>
        </w:rPr>
        <w:t xml:space="preserve"> smlouvy</w:t>
      </w:r>
      <w:r w:rsidR="00AB2847">
        <w:rPr>
          <w:rFonts w:cs="Arial"/>
          <w:sz w:val="20"/>
          <w:szCs w:val="20"/>
        </w:rPr>
        <w:t>.</w:t>
      </w:r>
      <w:r w:rsidR="00023BCB">
        <w:rPr>
          <w:rFonts w:cs="Arial"/>
          <w:sz w:val="20"/>
          <w:szCs w:val="20"/>
        </w:rPr>
        <w:t xml:space="preserve"> Cena je stanovena jako nejvýše přípustná.</w:t>
      </w:r>
    </w:p>
    <w:p w14:paraId="071CFDC8" w14:textId="77777777" w:rsidR="00AB2847" w:rsidRDefault="00AB2847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Daň z přidané hodnoty bude připočtena k ceně ve výši dle právní úpravy platné ke dni uskutečnění zdanitelného plnění.</w:t>
      </w:r>
    </w:p>
    <w:p w14:paraId="67E6D66A" w14:textId="0CF3A43B" w:rsidR="00DD3459" w:rsidRPr="00023BCB" w:rsidRDefault="00DD3459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Ce</w:t>
      </w:r>
      <w:r w:rsidR="00456CB4">
        <w:rPr>
          <w:rFonts w:cs="Arial"/>
          <w:sz w:val="20"/>
          <w:szCs w:val="20"/>
        </w:rPr>
        <w:t xml:space="preserve">nu za </w:t>
      </w:r>
      <w:r w:rsidR="00737533">
        <w:rPr>
          <w:rFonts w:cs="Arial"/>
          <w:sz w:val="20"/>
          <w:szCs w:val="20"/>
        </w:rPr>
        <w:t>Podporu</w:t>
      </w:r>
      <w:r w:rsidR="00456CB4">
        <w:rPr>
          <w:rFonts w:cs="Arial"/>
          <w:sz w:val="20"/>
          <w:szCs w:val="20"/>
        </w:rPr>
        <w:t xml:space="preserve"> </w:t>
      </w:r>
      <w:r w:rsidR="00E85B2E">
        <w:rPr>
          <w:rFonts w:cs="Arial"/>
          <w:sz w:val="20"/>
          <w:szCs w:val="20"/>
        </w:rPr>
        <w:t>u</w:t>
      </w:r>
      <w:r w:rsidR="00456CB4">
        <w:rPr>
          <w:rFonts w:cs="Arial"/>
          <w:sz w:val="20"/>
          <w:szCs w:val="20"/>
        </w:rPr>
        <w:t xml:space="preserve">hradí objednatel na základě </w:t>
      </w:r>
      <w:r w:rsidR="00AB2847">
        <w:rPr>
          <w:rFonts w:cs="Arial"/>
          <w:sz w:val="20"/>
          <w:szCs w:val="20"/>
        </w:rPr>
        <w:t>faktur</w:t>
      </w:r>
      <w:r w:rsidR="00656D4B">
        <w:rPr>
          <w:rFonts w:cs="Arial"/>
          <w:sz w:val="20"/>
          <w:szCs w:val="20"/>
        </w:rPr>
        <w:t>y</w:t>
      </w:r>
      <w:r w:rsidR="00AB2847">
        <w:rPr>
          <w:rFonts w:cs="Arial"/>
          <w:sz w:val="20"/>
          <w:szCs w:val="20"/>
        </w:rPr>
        <w:t xml:space="preserve"> vystaven</w:t>
      </w:r>
      <w:r w:rsidR="00737533">
        <w:rPr>
          <w:rFonts w:cs="Arial"/>
          <w:sz w:val="20"/>
          <w:szCs w:val="20"/>
        </w:rPr>
        <w:t>é</w:t>
      </w:r>
      <w:r w:rsidR="00AB2847">
        <w:rPr>
          <w:rFonts w:cs="Arial"/>
          <w:sz w:val="20"/>
          <w:szCs w:val="20"/>
        </w:rPr>
        <w:t xml:space="preserve"> poskytovatelem</w:t>
      </w:r>
      <w:r w:rsidR="00E85B2E">
        <w:rPr>
          <w:rFonts w:cs="Arial"/>
          <w:sz w:val="20"/>
          <w:szCs w:val="20"/>
        </w:rPr>
        <w:t xml:space="preserve"> </w:t>
      </w:r>
      <w:r w:rsidR="00737533">
        <w:rPr>
          <w:rFonts w:cs="Arial"/>
          <w:sz w:val="20"/>
          <w:szCs w:val="20"/>
        </w:rPr>
        <w:t xml:space="preserve">po zajištění Podpory dle čl. </w:t>
      </w:r>
      <w:r w:rsidR="007832F7">
        <w:rPr>
          <w:rFonts w:cs="Arial"/>
          <w:sz w:val="20"/>
          <w:szCs w:val="20"/>
        </w:rPr>
        <w:t>2</w:t>
      </w:r>
      <w:r w:rsidR="00737533">
        <w:rPr>
          <w:rFonts w:cs="Arial"/>
          <w:sz w:val="20"/>
          <w:szCs w:val="20"/>
        </w:rPr>
        <w:t>.1 smlouvy</w:t>
      </w:r>
      <w:r w:rsidR="00AB2847">
        <w:rPr>
          <w:rFonts w:cs="Arial"/>
          <w:sz w:val="20"/>
          <w:szCs w:val="20"/>
        </w:rPr>
        <w:t xml:space="preserve">.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  <w:r w:rsidR="00351C8C">
        <w:rPr>
          <w:rFonts w:cs="Arial"/>
          <w:sz w:val="20"/>
          <w:szCs w:val="20"/>
        </w:rPr>
        <w:t xml:space="preserve"> 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31C783A7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7832F7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 xml:space="preserve">. Zaplacení částky ve výši daně objednatelem správci daně pak bude smluvními stranami </w:t>
      </w:r>
      <w:r w:rsidRPr="00023BCB">
        <w:rPr>
          <w:rFonts w:cs="Arial"/>
          <w:sz w:val="20"/>
          <w:szCs w:val="20"/>
        </w:rPr>
        <w:lastRenderedPageBreak/>
        <w:t>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5863A906" w14:textId="02581F7A" w:rsidR="00546999" w:rsidRDefault="00546999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325C9D3B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737533">
        <w:rPr>
          <w:rFonts w:cs="Arial"/>
          <w:sz w:val="20"/>
          <w:szCs w:val="20"/>
        </w:rPr>
        <w:t>Podporu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7E230758" w14:textId="5FDFF155" w:rsidR="00F706D9" w:rsidRDefault="00F706D9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3352B57B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prodlení </w:t>
      </w:r>
      <w:r w:rsidR="00DA3588" w:rsidRPr="00950B1A">
        <w:rPr>
          <w:rFonts w:ascii="Arial" w:hAnsi="Arial" w:cs="Arial"/>
        </w:rPr>
        <w:t>poskytovatele</w:t>
      </w:r>
      <w:r w:rsidRPr="00950B1A">
        <w:rPr>
          <w:rFonts w:ascii="Arial" w:hAnsi="Arial" w:cs="Arial"/>
        </w:rPr>
        <w:t xml:space="preserve"> s plněním předmětu smlouvy dle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>smlouvy, je objednatel vůči němu oprávněn uplatnit smluvní pokutu ve výši 0,1 % z </w:t>
      </w:r>
      <w:r w:rsidR="00737533"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 xml:space="preserve">eny </w:t>
      </w:r>
      <w:r w:rsidR="00DA3588" w:rsidRPr="00950B1A">
        <w:rPr>
          <w:rFonts w:ascii="Arial" w:hAnsi="Arial" w:cs="Arial"/>
        </w:rPr>
        <w:t>dle čl. III. odst. 3.1 smlouvy</w:t>
      </w:r>
      <w:r w:rsidRPr="00950B1A">
        <w:rPr>
          <w:rFonts w:ascii="Arial" w:hAnsi="Arial" w:cs="Arial"/>
        </w:rPr>
        <w:t xml:space="preserve"> včetně DPH, a to za každý i započatý den prodlení</w:t>
      </w:r>
      <w:r w:rsidR="00950B1A">
        <w:rPr>
          <w:rFonts w:ascii="Arial" w:hAnsi="Arial" w:cs="Arial"/>
        </w:rPr>
        <w:t>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4E125A82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1D15AF5F" w14:textId="3A245D33" w:rsidR="00F409B3" w:rsidRPr="00596632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 xml:space="preserve">uplatnit smluvní pokutu ve výši 10.000,- Kč za každé porušení. </w:t>
      </w:r>
    </w:p>
    <w:p w14:paraId="63F5A381" w14:textId="77777777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51AC7AE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60F363B4" w14:textId="7444D94A" w:rsidR="009E3771" w:rsidRDefault="009E3771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7EA24442" w:rsidR="009E3771" w:rsidRPr="00254504" w:rsidRDefault="009E3771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14:paraId="2D3A30AF" w14:textId="1CF6386F" w:rsidR="00F409B3" w:rsidRP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 w:rsidR="00E66F23">
        <w:rPr>
          <w:rFonts w:ascii="Arial" w:hAnsi="Arial" w:cs="Arial"/>
        </w:rPr>
        <w:t xml:space="preserve">určitou, a to do </w:t>
      </w:r>
      <w:r w:rsidR="006F2BD0">
        <w:rPr>
          <w:rFonts w:ascii="Arial" w:hAnsi="Arial" w:cs="Arial"/>
        </w:rPr>
        <w:t>8</w:t>
      </w:r>
      <w:r w:rsidR="00E66F23">
        <w:rPr>
          <w:rFonts w:ascii="Arial" w:hAnsi="Arial" w:cs="Arial"/>
        </w:rPr>
        <w:t>. 7. 202</w:t>
      </w:r>
      <w:r w:rsidR="00351C8C">
        <w:rPr>
          <w:rFonts w:ascii="Arial" w:hAnsi="Arial" w:cs="Arial"/>
        </w:rPr>
        <w:t>7</w:t>
      </w:r>
      <w:r w:rsidR="00950B1A">
        <w:rPr>
          <w:rFonts w:ascii="Arial" w:hAnsi="Arial" w:cs="Arial"/>
        </w:rPr>
        <w:t>.</w:t>
      </w:r>
      <w:r w:rsidR="00580554">
        <w:rPr>
          <w:rFonts w:ascii="Arial" w:hAnsi="Arial" w:cs="Arial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13E1F3DB" w14:textId="1123F28A" w:rsidR="002909DC" w:rsidRPr="00950B1A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737533">
        <w:rPr>
          <w:rFonts w:cs="Arial"/>
          <w:sz w:val="20"/>
          <w:szCs w:val="20"/>
        </w:rPr>
        <w:t>poskytování Podpory</w:t>
      </w:r>
      <w:r w:rsidR="002909DC" w:rsidRPr="00950B1A">
        <w:rPr>
          <w:rFonts w:cs="Arial"/>
          <w:sz w:val="20"/>
          <w:szCs w:val="20"/>
        </w:rPr>
        <w:t>.</w:t>
      </w:r>
    </w:p>
    <w:p w14:paraId="6F668D06" w14:textId="6244FDF2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336BCE">
        <w:rPr>
          <w:rFonts w:ascii="Arial" w:hAnsi="Arial" w:cs="Arial"/>
        </w:rPr>
        <w:t>poskytnutí Podpory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2951CD4D" w14:textId="7377D842" w:rsidR="00470039" w:rsidRDefault="0047003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57B05489" w14:textId="22A7EFA7" w:rsidR="000267A9" w:rsidRDefault="000267A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24D5C68A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</w:t>
      </w:r>
      <w:r w:rsidR="007832F7">
        <w:rPr>
          <w:rFonts w:ascii="Arial" w:hAnsi="Arial" w:cs="Arial"/>
        </w:rPr>
        <w:t>i zástupci obou smluvních stran</w:t>
      </w:r>
      <w:r w:rsidRPr="0056713C">
        <w:rPr>
          <w:rFonts w:ascii="Arial" w:hAnsi="Arial" w:cs="Arial"/>
        </w:rPr>
        <w:t>.</w:t>
      </w:r>
    </w:p>
    <w:p w14:paraId="4748D9DC" w14:textId="3621212E" w:rsidR="002909DC" w:rsidRPr="001E70A5" w:rsidRDefault="001E70A5" w:rsidP="00C1096D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  <w:b/>
        </w:rPr>
      </w:pPr>
      <w:r w:rsidRPr="001E70A5">
        <w:rPr>
          <w:rFonts w:ascii="Arial" w:hAnsi="Arial" w:cs="Arial"/>
        </w:rPr>
        <w:t xml:space="preserve">Tato je vyhotovena ve třech stejnopisech, z nichž kupující obdrží dva výtisky a prodávající jeden výtisk. Každý stejnopis této smlouvy má právní sílu originálu. </w:t>
      </w:r>
      <w:bookmarkStart w:id="0" w:name="_GoBack"/>
      <w:bookmarkEnd w:id="0"/>
      <w:r w:rsidR="00966FBD" w:rsidRPr="001E70A5">
        <w:rPr>
          <w:rFonts w:ascii="Arial" w:hAnsi="Arial" w:cs="Arial"/>
        </w:rPr>
        <w:t>.</w:t>
      </w:r>
      <w:r w:rsidR="002909DC" w:rsidRPr="001E70A5">
        <w:rPr>
          <w:rFonts w:ascii="Arial" w:hAnsi="Arial" w:cs="Arial"/>
        </w:rPr>
        <w:t xml:space="preserve"> 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271EA54C" w14:textId="4A2970A3" w:rsidR="002909DC" w:rsidRDefault="007E74EF" w:rsidP="00290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AUTOCONT a.s.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Karlovarský kraj</w:t>
      </w:r>
      <w:r w:rsidR="002909DC" w:rsidRPr="000E4CD3">
        <w:rPr>
          <w:rFonts w:ascii="Arial" w:hAnsi="Arial" w:cs="Arial"/>
        </w:rPr>
        <w:t xml:space="preserve">                                       </w:t>
      </w:r>
      <w:r w:rsidR="002909DC">
        <w:rPr>
          <w:rFonts w:ascii="Arial" w:hAnsi="Arial" w:cs="Arial"/>
        </w:rPr>
        <w:t xml:space="preserve">                          </w:t>
      </w:r>
    </w:p>
    <w:p w14:paraId="313B5CA9" w14:textId="7909586F" w:rsidR="00845F49" w:rsidRDefault="00ED0451" w:rsidP="002909D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Ing. Zdeněk Chobot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</w:t>
      </w:r>
      <w:r w:rsidR="00845F49">
        <w:rPr>
          <w:rFonts w:ascii="Arial" w:hAnsi="Arial" w:cs="Arial"/>
        </w:rPr>
        <w:t xml:space="preserve">Ing. Jiří Heliks                                                                                                                       </w:t>
      </w:r>
    </w:p>
    <w:p w14:paraId="6946AEA1" w14:textId="5722FBDD" w:rsidR="00590122" w:rsidRPr="00220283" w:rsidRDefault="00845F49" w:rsidP="00220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A5DF2">
        <w:rPr>
          <w:rFonts w:ascii="Arial" w:hAnsi="Arial" w:cs="Arial"/>
        </w:rPr>
        <w:t>ředitel regionálního centra</w:t>
      </w:r>
      <w:r w:rsidR="00CA5DF2">
        <w:rPr>
          <w:rFonts w:ascii="Arial" w:hAnsi="Arial" w:cs="Arial"/>
        </w:rPr>
        <w:tab/>
      </w:r>
      <w:r w:rsidR="00CA5DF2"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 xml:space="preserve">vedoucí odboru informatiky                                                 </w:t>
      </w:r>
    </w:p>
    <w:sectPr w:rsidR="00590122" w:rsidRPr="002202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27439" w14:textId="77777777" w:rsidR="000E4069" w:rsidRDefault="000E4069" w:rsidP="000E4069">
      <w:r>
        <w:separator/>
      </w:r>
    </w:p>
  </w:endnote>
  <w:endnote w:type="continuationSeparator" w:id="0">
    <w:p w14:paraId="06FA9F01" w14:textId="77777777" w:rsidR="000E4069" w:rsidRDefault="000E4069" w:rsidP="000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06E6" w14:textId="77777777" w:rsidR="000E4069" w:rsidRDefault="000E4069" w:rsidP="000E4069">
      <w:r>
        <w:separator/>
      </w:r>
    </w:p>
  </w:footnote>
  <w:footnote w:type="continuationSeparator" w:id="0">
    <w:p w14:paraId="663BEDEB" w14:textId="77777777" w:rsidR="000E4069" w:rsidRDefault="000E4069" w:rsidP="000E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99AB" w14:textId="5ABECA8A" w:rsidR="000E4069" w:rsidRDefault="000E4069">
    <w:pPr>
      <w:pStyle w:val="Zhlav"/>
    </w:pPr>
    <w:r>
      <w:tab/>
      <w:t xml:space="preserve">                                                                                                                                  KK03037/2022</w:t>
    </w:r>
  </w:p>
  <w:p w14:paraId="5ABCBB02" w14:textId="77777777" w:rsidR="000E4069" w:rsidRDefault="000E4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A45D3D"/>
    <w:multiLevelType w:val="multilevel"/>
    <w:tmpl w:val="E0082EC2"/>
    <w:numStyleLink w:val="Styl1"/>
  </w:abstractNum>
  <w:abstractNum w:abstractNumId="6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311EC5"/>
    <w:multiLevelType w:val="multilevel"/>
    <w:tmpl w:val="DA9E98E4"/>
    <w:numStyleLink w:val="Styl3"/>
  </w:abstractNum>
  <w:abstractNum w:abstractNumId="16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17"/>
  </w:num>
  <w:num w:numId="6">
    <w:abstractNumId w:val="3"/>
  </w:num>
  <w:num w:numId="7">
    <w:abstractNumId w:val="23"/>
  </w:num>
  <w:num w:numId="8">
    <w:abstractNumId w:val="19"/>
  </w:num>
  <w:num w:numId="9">
    <w:abstractNumId w:val="2"/>
  </w:num>
  <w:num w:numId="10">
    <w:abstractNumId w:val="8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22"/>
  </w:num>
  <w:num w:numId="16">
    <w:abstractNumId w:val="7"/>
  </w:num>
  <w:num w:numId="17">
    <w:abstractNumId w:val="24"/>
  </w:num>
  <w:num w:numId="18">
    <w:abstractNumId w:val="20"/>
  </w:num>
  <w:num w:numId="19">
    <w:abstractNumId w:val="8"/>
  </w:num>
  <w:num w:numId="20">
    <w:abstractNumId w:val="21"/>
  </w:num>
  <w:num w:numId="21">
    <w:abstractNumId w:val="8"/>
  </w:num>
  <w:num w:numId="22">
    <w:abstractNumId w:val="8"/>
  </w:num>
  <w:num w:numId="23">
    <w:abstractNumId w:val="8"/>
  </w:num>
  <w:num w:numId="24">
    <w:abstractNumId w:val="9"/>
  </w:num>
  <w:num w:numId="25">
    <w:abstractNumId w:val="6"/>
  </w:num>
  <w:num w:numId="26">
    <w:abstractNumId w:val="12"/>
  </w:num>
  <w:num w:numId="27">
    <w:abstractNumId w:val="25"/>
  </w:num>
  <w:num w:numId="28">
    <w:abstractNumId w:val="8"/>
  </w:num>
  <w:num w:numId="29">
    <w:abstractNumId w:val="8"/>
  </w:num>
  <w:num w:numId="30">
    <w:abstractNumId w:val="14"/>
  </w:num>
  <w:num w:numId="31">
    <w:abstractNumId w:val="8"/>
  </w:num>
  <w:num w:numId="32">
    <w:abstractNumId w:val="4"/>
  </w:num>
  <w:num w:numId="33">
    <w:abstractNumId w:val="8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0919"/>
    <w:rsid w:val="000024DD"/>
    <w:rsid w:val="00023BCB"/>
    <w:rsid w:val="000267A9"/>
    <w:rsid w:val="00044160"/>
    <w:rsid w:val="000D0BF7"/>
    <w:rsid w:val="000E30BD"/>
    <w:rsid w:val="000E4069"/>
    <w:rsid w:val="001003CB"/>
    <w:rsid w:val="0010423E"/>
    <w:rsid w:val="0011266D"/>
    <w:rsid w:val="00125BF0"/>
    <w:rsid w:val="00144C86"/>
    <w:rsid w:val="001715F9"/>
    <w:rsid w:val="00175A7D"/>
    <w:rsid w:val="001E70A5"/>
    <w:rsid w:val="001E7107"/>
    <w:rsid w:val="00220283"/>
    <w:rsid w:val="002909DC"/>
    <w:rsid w:val="002932A3"/>
    <w:rsid w:val="002A20BC"/>
    <w:rsid w:val="002E61D9"/>
    <w:rsid w:val="00307D2F"/>
    <w:rsid w:val="00336BCE"/>
    <w:rsid w:val="00351C8C"/>
    <w:rsid w:val="003A4832"/>
    <w:rsid w:val="00403ED0"/>
    <w:rsid w:val="004431B3"/>
    <w:rsid w:val="00456CB4"/>
    <w:rsid w:val="00470039"/>
    <w:rsid w:val="004779A3"/>
    <w:rsid w:val="004D44D5"/>
    <w:rsid w:val="00507D60"/>
    <w:rsid w:val="00516E53"/>
    <w:rsid w:val="00546999"/>
    <w:rsid w:val="0055266C"/>
    <w:rsid w:val="005754BE"/>
    <w:rsid w:val="00580554"/>
    <w:rsid w:val="00590122"/>
    <w:rsid w:val="00614371"/>
    <w:rsid w:val="00632078"/>
    <w:rsid w:val="0064119E"/>
    <w:rsid w:val="0064491F"/>
    <w:rsid w:val="00656D4B"/>
    <w:rsid w:val="00675D94"/>
    <w:rsid w:val="00682DEE"/>
    <w:rsid w:val="006914A4"/>
    <w:rsid w:val="006E46F4"/>
    <w:rsid w:val="006F2BD0"/>
    <w:rsid w:val="00737533"/>
    <w:rsid w:val="00760986"/>
    <w:rsid w:val="00767C8D"/>
    <w:rsid w:val="007736C6"/>
    <w:rsid w:val="007832F7"/>
    <w:rsid w:val="007C181F"/>
    <w:rsid w:val="007C41FB"/>
    <w:rsid w:val="007D012D"/>
    <w:rsid w:val="007E74EF"/>
    <w:rsid w:val="00845F49"/>
    <w:rsid w:val="008564D2"/>
    <w:rsid w:val="008E1094"/>
    <w:rsid w:val="009173B7"/>
    <w:rsid w:val="00950B1A"/>
    <w:rsid w:val="00966FBD"/>
    <w:rsid w:val="00990B27"/>
    <w:rsid w:val="009C2665"/>
    <w:rsid w:val="009E3771"/>
    <w:rsid w:val="00A44538"/>
    <w:rsid w:val="00A464B3"/>
    <w:rsid w:val="00A54591"/>
    <w:rsid w:val="00A563BB"/>
    <w:rsid w:val="00A57CCA"/>
    <w:rsid w:val="00AB2847"/>
    <w:rsid w:val="00AB41D0"/>
    <w:rsid w:val="00BC46D8"/>
    <w:rsid w:val="00BD69F3"/>
    <w:rsid w:val="00C125A1"/>
    <w:rsid w:val="00C17F91"/>
    <w:rsid w:val="00C424D2"/>
    <w:rsid w:val="00C42849"/>
    <w:rsid w:val="00C618F3"/>
    <w:rsid w:val="00CA0E1B"/>
    <w:rsid w:val="00CA5DF2"/>
    <w:rsid w:val="00CB16EE"/>
    <w:rsid w:val="00CE76FA"/>
    <w:rsid w:val="00D367AC"/>
    <w:rsid w:val="00D527C7"/>
    <w:rsid w:val="00D64B16"/>
    <w:rsid w:val="00D73EBE"/>
    <w:rsid w:val="00D7606D"/>
    <w:rsid w:val="00D95737"/>
    <w:rsid w:val="00DA3588"/>
    <w:rsid w:val="00DC1AB4"/>
    <w:rsid w:val="00DD3459"/>
    <w:rsid w:val="00DD736A"/>
    <w:rsid w:val="00E14727"/>
    <w:rsid w:val="00E66F23"/>
    <w:rsid w:val="00E85B2E"/>
    <w:rsid w:val="00E97616"/>
    <w:rsid w:val="00ED0451"/>
    <w:rsid w:val="00EE0B5A"/>
    <w:rsid w:val="00EF3F00"/>
    <w:rsid w:val="00F268B8"/>
    <w:rsid w:val="00F409B3"/>
    <w:rsid w:val="00F706D9"/>
    <w:rsid w:val="00F70AAF"/>
    <w:rsid w:val="00F91F72"/>
    <w:rsid w:val="00FA5142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Normln"/>
    <w:next w:val="rove2"/>
    <w:rsid w:val="00966FBD"/>
    <w:pPr>
      <w:spacing w:before="480" w:after="360"/>
    </w:pPr>
    <w:rPr>
      <w:b/>
      <w:sz w:val="24"/>
    </w:rPr>
  </w:style>
  <w:style w:type="paragraph" w:customStyle="1" w:styleId="rove2">
    <w:name w:val="úroveň 2"/>
    <w:basedOn w:val="Normln"/>
    <w:rsid w:val="00966FBD"/>
    <w:pPr>
      <w:spacing w:after="120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4BE"/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06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4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06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8617-9C51-40E2-85DF-FE05F947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Korandová Michaela</cp:lastModifiedBy>
  <cp:revision>4</cp:revision>
  <dcterms:created xsi:type="dcterms:W3CDTF">2022-07-18T14:14:00Z</dcterms:created>
  <dcterms:modified xsi:type="dcterms:W3CDTF">2022-07-19T06:51:00Z</dcterms:modified>
</cp:coreProperties>
</file>