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60" w:rsidRPr="002B65FA" w:rsidRDefault="00531D60" w:rsidP="00531D60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7F537D">
        <w:rPr>
          <w:b/>
          <w:color w:val="000000"/>
          <w:sz w:val="44"/>
          <w:szCs w:val="44"/>
        </w:rPr>
        <w:t>08</w:t>
      </w: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 xml:space="preserve">Procesní model – </w:t>
      </w:r>
      <w:r w:rsidR="007F537D">
        <w:rPr>
          <w:b/>
          <w:color w:val="000000"/>
          <w:sz w:val="44"/>
          <w:szCs w:val="44"/>
        </w:rPr>
        <w:t>Podpora řízení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531D60" w:rsidRPr="002B65FA" w:rsidRDefault="00531D60" w:rsidP="00531D60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531D60" w:rsidRPr="002B65FA" w:rsidRDefault="00531D60" w:rsidP="00531D60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2B0A34">
          <w:rPr>
            <w:noProof/>
          </w:rPr>
          <w:t>8</w:t>
        </w:r>
      </w:fldSimple>
    </w:p>
    <w:p w:rsidR="000013A9" w:rsidRPr="00CF2F92" w:rsidRDefault="000013A9" w:rsidP="000013A9">
      <w:pPr>
        <w:jc w:val="left"/>
      </w:pPr>
      <w:r w:rsidRPr="00CF2F92"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644028" w:rsidRDefault="00830985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084852" w:history="1">
        <w:r w:rsidR="00644028" w:rsidRPr="008E48E8">
          <w:rPr>
            <w:rStyle w:val="Hypertextovodkaz"/>
            <w:noProof/>
          </w:rPr>
          <w:t>1</w:t>
        </w:r>
        <w:r w:rsidR="0064402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4028" w:rsidRPr="008E48E8">
          <w:rPr>
            <w:rStyle w:val="Hypertextovodkaz"/>
            <w:noProof/>
          </w:rPr>
          <w:t>PR – podpora řízení</w:t>
        </w:r>
        <w:r w:rsidR="00644028">
          <w:rPr>
            <w:noProof/>
            <w:webHidden/>
          </w:rPr>
          <w:tab/>
        </w:r>
        <w:r w:rsidR="00644028">
          <w:rPr>
            <w:noProof/>
            <w:webHidden/>
          </w:rPr>
          <w:fldChar w:fldCharType="begin"/>
        </w:r>
        <w:r w:rsidR="00644028">
          <w:rPr>
            <w:noProof/>
            <w:webHidden/>
          </w:rPr>
          <w:instrText xml:space="preserve"> PAGEREF _Toc374084852 \h </w:instrText>
        </w:r>
        <w:r w:rsidR="00644028">
          <w:rPr>
            <w:noProof/>
            <w:webHidden/>
          </w:rPr>
        </w:r>
        <w:r w:rsidR="00644028">
          <w:rPr>
            <w:noProof/>
            <w:webHidden/>
          </w:rPr>
          <w:fldChar w:fldCharType="separate"/>
        </w:r>
        <w:r w:rsidR="002B0A34">
          <w:rPr>
            <w:noProof/>
            <w:webHidden/>
          </w:rPr>
          <w:t>3</w:t>
        </w:r>
        <w:r w:rsidR="00644028">
          <w:rPr>
            <w:noProof/>
            <w:webHidden/>
          </w:rPr>
          <w:fldChar w:fldCharType="end"/>
        </w:r>
      </w:hyperlink>
    </w:p>
    <w:p w:rsidR="00644028" w:rsidRDefault="00F15D8A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4853" w:history="1">
        <w:r w:rsidR="00644028" w:rsidRPr="008E48E8">
          <w:rPr>
            <w:rStyle w:val="Hypertextovodkaz"/>
            <w:noProof/>
          </w:rPr>
          <w:t>1.1</w:t>
        </w:r>
        <w:r w:rsidR="0064402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4028" w:rsidRPr="008E48E8">
          <w:rPr>
            <w:rStyle w:val="Hypertextovodkaz"/>
            <w:noProof/>
          </w:rPr>
          <w:t>TAR - Taktické řízení</w:t>
        </w:r>
        <w:r w:rsidR="00644028">
          <w:rPr>
            <w:noProof/>
            <w:webHidden/>
          </w:rPr>
          <w:tab/>
        </w:r>
        <w:r w:rsidR="00644028">
          <w:rPr>
            <w:noProof/>
            <w:webHidden/>
          </w:rPr>
          <w:fldChar w:fldCharType="begin"/>
        </w:r>
        <w:r w:rsidR="00644028">
          <w:rPr>
            <w:noProof/>
            <w:webHidden/>
          </w:rPr>
          <w:instrText xml:space="preserve"> PAGEREF _Toc374084853 \h </w:instrText>
        </w:r>
        <w:r w:rsidR="00644028">
          <w:rPr>
            <w:noProof/>
            <w:webHidden/>
          </w:rPr>
        </w:r>
        <w:r w:rsidR="00644028">
          <w:rPr>
            <w:noProof/>
            <w:webHidden/>
          </w:rPr>
          <w:fldChar w:fldCharType="separate"/>
        </w:r>
        <w:r w:rsidR="002B0A34">
          <w:rPr>
            <w:noProof/>
            <w:webHidden/>
          </w:rPr>
          <w:t>4</w:t>
        </w:r>
        <w:r w:rsidR="00644028">
          <w:rPr>
            <w:noProof/>
            <w:webHidden/>
          </w:rPr>
          <w:fldChar w:fldCharType="end"/>
        </w:r>
      </w:hyperlink>
    </w:p>
    <w:p w:rsidR="00644028" w:rsidRDefault="00F15D8A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854" w:history="1">
        <w:r w:rsidR="00644028" w:rsidRPr="008E48E8">
          <w:rPr>
            <w:rStyle w:val="Hypertextovodkaz"/>
            <w:noProof/>
          </w:rPr>
          <w:t>1.1.1</w:t>
        </w:r>
        <w:r w:rsidR="006440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644028" w:rsidRPr="008E48E8">
          <w:rPr>
            <w:rStyle w:val="Hypertextovodkaz"/>
            <w:noProof/>
          </w:rPr>
          <w:t>PR - Plánování a řízení bilance</w:t>
        </w:r>
        <w:r w:rsidR="00644028">
          <w:rPr>
            <w:noProof/>
            <w:webHidden/>
          </w:rPr>
          <w:tab/>
        </w:r>
        <w:r w:rsidR="00644028">
          <w:rPr>
            <w:noProof/>
            <w:webHidden/>
          </w:rPr>
          <w:fldChar w:fldCharType="begin"/>
        </w:r>
        <w:r w:rsidR="00644028">
          <w:rPr>
            <w:noProof/>
            <w:webHidden/>
          </w:rPr>
          <w:instrText xml:space="preserve"> PAGEREF _Toc374084854 \h </w:instrText>
        </w:r>
        <w:r w:rsidR="00644028">
          <w:rPr>
            <w:noProof/>
            <w:webHidden/>
          </w:rPr>
        </w:r>
        <w:r w:rsidR="00644028">
          <w:rPr>
            <w:noProof/>
            <w:webHidden/>
          </w:rPr>
          <w:fldChar w:fldCharType="separate"/>
        </w:r>
        <w:r w:rsidR="002B0A34">
          <w:rPr>
            <w:noProof/>
            <w:webHidden/>
          </w:rPr>
          <w:t>4</w:t>
        </w:r>
        <w:r w:rsidR="00644028">
          <w:rPr>
            <w:noProof/>
            <w:webHidden/>
          </w:rPr>
          <w:fldChar w:fldCharType="end"/>
        </w:r>
      </w:hyperlink>
    </w:p>
    <w:p w:rsidR="00644028" w:rsidRDefault="00F15D8A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84855" w:history="1">
        <w:r w:rsidR="00644028" w:rsidRPr="008E48E8">
          <w:rPr>
            <w:rStyle w:val="Hypertextovodkaz"/>
            <w:noProof/>
          </w:rPr>
          <w:t>1.1.2</w:t>
        </w:r>
        <w:r w:rsidR="006440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644028" w:rsidRPr="008E48E8">
          <w:rPr>
            <w:rStyle w:val="Hypertextovodkaz"/>
            <w:noProof/>
          </w:rPr>
          <w:t>RV - Řízení vztahu s pojištěncem</w:t>
        </w:r>
        <w:r w:rsidR="00644028">
          <w:rPr>
            <w:noProof/>
            <w:webHidden/>
          </w:rPr>
          <w:tab/>
        </w:r>
        <w:r w:rsidR="00644028">
          <w:rPr>
            <w:noProof/>
            <w:webHidden/>
          </w:rPr>
          <w:fldChar w:fldCharType="begin"/>
        </w:r>
        <w:r w:rsidR="00644028">
          <w:rPr>
            <w:noProof/>
            <w:webHidden/>
          </w:rPr>
          <w:instrText xml:space="preserve"> PAGEREF _Toc374084855 \h </w:instrText>
        </w:r>
        <w:r w:rsidR="00644028">
          <w:rPr>
            <w:noProof/>
            <w:webHidden/>
          </w:rPr>
        </w:r>
        <w:r w:rsidR="00644028">
          <w:rPr>
            <w:noProof/>
            <w:webHidden/>
          </w:rPr>
          <w:fldChar w:fldCharType="separate"/>
        </w:r>
        <w:r w:rsidR="002B0A34">
          <w:rPr>
            <w:noProof/>
            <w:webHidden/>
          </w:rPr>
          <w:t>6</w:t>
        </w:r>
        <w:r w:rsidR="00644028">
          <w:rPr>
            <w:noProof/>
            <w:webHidden/>
          </w:rPr>
          <w:fldChar w:fldCharType="end"/>
        </w:r>
      </w:hyperlink>
    </w:p>
    <w:p w:rsidR="00644028" w:rsidRDefault="00F15D8A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4856" w:history="1">
        <w:r w:rsidR="00644028" w:rsidRPr="008E48E8">
          <w:rPr>
            <w:rStyle w:val="Hypertextovodkaz"/>
            <w:noProof/>
          </w:rPr>
          <w:t>1.2</w:t>
        </w:r>
        <w:r w:rsidR="0064402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44028" w:rsidRPr="008E48E8">
          <w:rPr>
            <w:rStyle w:val="Hypertextovodkaz"/>
            <w:noProof/>
          </w:rPr>
          <w:t>OPR - Operativní řízení</w:t>
        </w:r>
        <w:r w:rsidR="00644028">
          <w:rPr>
            <w:noProof/>
            <w:webHidden/>
          </w:rPr>
          <w:tab/>
        </w:r>
        <w:r w:rsidR="00644028">
          <w:rPr>
            <w:noProof/>
            <w:webHidden/>
          </w:rPr>
          <w:fldChar w:fldCharType="begin"/>
        </w:r>
        <w:r w:rsidR="00644028">
          <w:rPr>
            <w:noProof/>
            <w:webHidden/>
          </w:rPr>
          <w:instrText xml:space="preserve"> PAGEREF _Toc374084856 \h </w:instrText>
        </w:r>
        <w:r w:rsidR="00644028">
          <w:rPr>
            <w:noProof/>
            <w:webHidden/>
          </w:rPr>
        </w:r>
        <w:r w:rsidR="00644028">
          <w:rPr>
            <w:noProof/>
            <w:webHidden/>
          </w:rPr>
          <w:fldChar w:fldCharType="separate"/>
        </w:r>
        <w:r w:rsidR="002B0A34">
          <w:rPr>
            <w:noProof/>
            <w:webHidden/>
          </w:rPr>
          <w:t>8</w:t>
        </w:r>
        <w:r w:rsidR="00644028">
          <w:rPr>
            <w:noProof/>
            <w:webHidden/>
          </w:rPr>
          <w:fldChar w:fldCharType="end"/>
        </w:r>
      </w:hyperlink>
    </w:p>
    <w:p w:rsidR="000013A9" w:rsidRPr="00CF2F92" w:rsidRDefault="00830985" w:rsidP="000013A9">
      <w:r>
        <w:fldChar w:fldCharType="end"/>
      </w:r>
    </w:p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Pr="00CF2F92" w:rsidRDefault="000013A9" w:rsidP="000013A9"/>
    <w:p w:rsidR="000013A9" w:rsidRDefault="007F537D" w:rsidP="00830985">
      <w:pPr>
        <w:pStyle w:val="Nadpis1"/>
      </w:pPr>
      <w:bookmarkStart w:id="1" w:name="_Toc374084852"/>
      <w:r>
        <w:lastRenderedPageBreak/>
        <w:t xml:space="preserve">PR – </w:t>
      </w:r>
      <w:r w:rsidRPr="00830985">
        <w:t>podpora</w:t>
      </w:r>
      <w:r>
        <w:t xml:space="preserve"> řízení</w:t>
      </w:r>
      <w:bookmarkEnd w:id="1"/>
    </w:p>
    <w:p w:rsidR="007F537D" w:rsidRDefault="007F537D" w:rsidP="007F537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Oblast řešení "podpora řízení" je rozdělena na operativní a taktickou úroveň. V rámci řízení ZP má ještě zásadnější význam tzv. strategická úroveň, ale vzhledem k tomu, že se v případě strategického řízení v tuto chvíli nepředpokládá žádná specifická softwarová podpora, není tato oblast procesně popisována.</w:t>
      </w:r>
    </w:p>
    <w:p w:rsidR="007F537D" w:rsidRDefault="007F537D" w:rsidP="007F537D">
      <w:pPr>
        <w:keepNext/>
        <w:tabs>
          <w:tab w:val="left" w:leader="dot" w:pos="360"/>
          <w:tab w:val="left" w:leader="dot" w:pos="1440"/>
        </w:tabs>
      </w:pPr>
    </w:p>
    <w:p w:rsidR="007F537D" w:rsidRDefault="007F537D" w:rsidP="006D12BC">
      <w:pPr>
        <w:keepNext/>
        <w:keepLines/>
        <w:tabs>
          <w:tab w:val="left" w:pos="360"/>
        </w:tabs>
      </w:pPr>
      <w:bookmarkStart w:id="2" w:name="BKM_40FB8C23_D61D_4189_9148_EA0F36F39E14"/>
      <w:r>
        <w:rPr>
          <w:noProof/>
          <w:lang w:eastAsia="cs-CZ"/>
        </w:rPr>
        <w:drawing>
          <wp:inline distT="0" distB="0" distL="0" distR="0" wp14:anchorId="65AD01E8" wp14:editId="392F083C">
            <wp:extent cx="4237200" cy="3582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35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D" w:rsidRDefault="007F537D" w:rsidP="006D12BC">
      <w:pPr>
        <w:keepLines/>
        <w:tabs>
          <w:tab w:val="left" w:pos="360"/>
        </w:tabs>
      </w:pPr>
      <w:r>
        <w:rPr>
          <w:rFonts w:eastAsia="Times New Roman"/>
        </w:rPr>
        <w:t xml:space="preserve">Diagram 1 - Podpora řízení - rozklad oblastí řešení </w:t>
      </w:r>
      <w:bookmarkEnd w:id="2"/>
    </w:p>
    <w:p w:rsidR="006D12BC" w:rsidRDefault="006D12BC">
      <w:pPr>
        <w:spacing w:before="0" w:after="200" w:line="276" w:lineRule="auto"/>
        <w:jc w:val="left"/>
      </w:pPr>
      <w:r>
        <w:br w:type="page"/>
      </w:r>
    </w:p>
    <w:p w:rsidR="007F537D" w:rsidRPr="00830985" w:rsidRDefault="007F537D" w:rsidP="00830985">
      <w:pPr>
        <w:pStyle w:val="Nadpis2"/>
        <w:numPr>
          <w:ilvl w:val="1"/>
          <w:numId w:val="2"/>
        </w:numPr>
      </w:pPr>
      <w:bookmarkStart w:id="3" w:name="_Toc367703638"/>
      <w:bookmarkStart w:id="4" w:name="_Toc374084853"/>
      <w:bookmarkStart w:id="5" w:name="BKM_A3AF2F47_E641_48F1_97B8_D88935765AF2"/>
      <w:bookmarkStart w:id="6" w:name="TAR___TAKTICKÉ_ŘÍZENÍ"/>
      <w:r w:rsidRPr="00830985">
        <w:lastRenderedPageBreak/>
        <w:t>TAR - Taktické řízení</w:t>
      </w:r>
      <w:bookmarkEnd w:id="3"/>
      <w:bookmarkEnd w:id="4"/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rámci oblasti řešení taktického řízení jsou popsány dva klíčové procesy zdravotní pojišťovny, které vycházejí ze strategických cílů. Jedná se o proces Plánování a řízení bilance a o proces Řízení vztahu s pojištěncem.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 xml:space="preserve">Oba tyto "řídící" procesy mají za cíl především zajistit harmonizaci produkčních procesů ZP tak, aby byly v komplexu naplňovány strategické cíle ZP. </w:t>
      </w:r>
    </w:p>
    <w:p w:rsidR="007F537D" w:rsidRDefault="007F537D" w:rsidP="007F537D">
      <w:pPr>
        <w:keepNext/>
        <w:tabs>
          <w:tab w:val="left" w:leader="dot" w:pos="360"/>
          <w:tab w:val="left" w:leader="dot" w:pos="1440"/>
        </w:tabs>
      </w:pPr>
    </w:p>
    <w:p w:rsidR="007F537D" w:rsidRDefault="007F537D" w:rsidP="006D12BC">
      <w:pPr>
        <w:keepNext/>
        <w:keepLines/>
        <w:tabs>
          <w:tab w:val="left" w:pos="360"/>
        </w:tabs>
      </w:pPr>
      <w:bookmarkStart w:id="7" w:name="BKM_0F6FDBE6_FA3F_4554_A39D_DB5582A268E2"/>
      <w:r>
        <w:rPr>
          <w:noProof/>
          <w:lang w:eastAsia="cs-CZ"/>
        </w:rPr>
        <w:drawing>
          <wp:inline distT="0" distB="0" distL="0" distR="0" wp14:anchorId="2AD4CF7E" wp14:editId="4128E88B">
            <wp:extent cx="4237200" cy="3556800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35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D" w:rsidRDefault="007F537D" w:rsidP="006D12BC">
      <w:pPr>
        <w:keepLines/>
        <w:tabs>
          <w:tab w:val="left" w:pos="360"/>
        </w:tabs>
      </w:pPr>
      <w:r>
        <w:rPr>
          <w:rFonts w:eastAsia="Times New Roman"/>
        </w:rPr>
        <w:t xml:space="preserve">Diagram 2 - PR - Taktické řízení - rozklad oblastí řešení </w:t>
      </w:r>
      <w:bookmarkEnd w:id="7"/>
    </w:p>
    <w:p w:rsidR="007F537D" w:rsidRDefault="007F537D" w:rsidP="007F537D">
      <w:pPr>
        <w:keepLines/>
        <w:tabs>
          <w:tab w:val="left" w:pos="360"/>
        </w:tabs>
        <w:ind w:left="360"/>
      </w:pPr>
    </w:p>
    <w:p w:rsidR="007F537D" w:rsidRPr="00830985" w:rsidRDefault="007F537D" w:rsidP="00830985">
      <w:pPr>
        <w:pStyle w:val="Nadpis3"/>
        <w:numPr>
          <w:ilvl w:val="2"/>
          <w:numId w:val="2"/>
        </w:numPr>
      </w:pPr>
      <w:bookmarkStart w:id="8" w:name="_Toc367703639"/>
      <w:bookmarkStart w:id="9" w:name="_Toc374084854"/>
      <w:bookmarkStart w:id="10" w:name="BKM_A63996AC_DC6E_4378_ADDB_CF6DC01E2355"/>
      <w:bookmarkStart w:id="11" w:name="PR___PLÁNOVÁNÍ_A_ŘÍZENÍ_BILANCE"/>
      <w:r w:rsidRPr="00830985">
        <w:t>PR - Plánování a řízení bilance</w:t>
      </w:r>
      <w:bookmarkEnd w:id="8"/>
      <w:bookmarkEnd w:id="9"/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udržení bilance zdravotní pojišťovny v požadovaných parametrech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strategické cíle v oblasti ekonomické bilance ZP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bilance zdravotní pojišťovny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Popis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plánování a řízení bilance je jedním z klíčových procesů, na jehož úspěšném průběhu závisí existence ZP.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Jednotlivé aktivity a subprocesy tohoto procesu mají především plánovací a koordinační charakter a</w:t>
      </w:r>
      <w:r w:rsidR="006D12BC">
        <w:rPr>
          <w:rFonts w:eastAsia="Times New Roman"/>
        </w:rPr>
        <w:t> </w:t>
      </w:r>
      <w:r>
        <w:rPr>
          <w:rFonts w:eastAsia="Times New Roman"/>
        </w:rPr>
        <w:t>na datové i procesní úrovni souvisí s klíčovými aktivitami a rozhodovacími body jiných produkčních procesů (například procesu tvorby CU, procesu zpracování vyúčtování za období/vyrovnání/regulací, apod.). Struktura tohoto řídícího procesu kopíruje časovou linii, kterou ZP obecně replikuje s roční periodou.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Tato časová linie začíná sestavením odhadů výdajů na příští rok.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Následně se toto promítne zdravotně-pojistného plánu.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duchu stanovených pravidel je pak třeba "udržet" tvorbu cenových ujednání.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Během roku je pak nutné provádět průběžné monitorování bilance a korigování predikcí budoucího vývoje. V případě zjištění odchylky je pak třeba vždy rozhodnout, zda se "pouze" příslušně upraví plán nebo je třeba provést nějaké zásadnější opatření směrem k ovlivnění reálného čerpání financí, apod.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Po skončení příslušného období je pak nutné příslušně řídit výdaje vyplývající ze závěrečných vyrovnání a regulací.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se ve své proaktivní roli zaměřuje především na výdaje ZP a to z toho důvodu, že tuto část bilance může pojišťovna více ovlivnit, než je tomu u příjmu z přerozdělení, který závisí prakticky pouze na složení pojistného kmene a jeho výši lze daleko přesněji predikovat.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Radovan Kouřil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Bez podpory.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:rsidR="007F537D" w:rsidRDefault="007F537D" w:rsidP="007F537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U veškerých modelací je třeba umět zpětně vysledovat</w:t>
      </w:r>
      <w:r w:rsidR="006D12BC">
        <w:rPr>
          <w:rFonts w:eastAsia="Times New Roman"/>
        </w:rPr>
        <w:t>,</w:t>
      </w:r>
      <w:r>
        <w:rPr>
          <w:rFonts w:eastAsia="Times New Roman"/>
        </w:rPr>
        <w:t xml:space="preserve"> z kterých dat se vycházelo.</w:t>
      </w:r>
    </w:p>
    <w:p w:rsidR="007F537D" w:rsidRDefault="007F537D" w:rsidP="007F537D">
      <w:pPr>
        <w:keepNext/>
        <w:tabs>
          <w:tab w:val="left" w:leader="dot" w:pos="360"/>
          <w:tab w:val="left" w:leader="dot" w:pos="1440"/>
        </w:tabs>
      </w:pPr>
    </w:p>
    <w:p w:rsidR="007F537D" w:rsidRDefault="007F537D" w:rsidP="006D12BC">
      <w:pPr>
        <w:keepNext/>
        <w:keepLines/>
        <w:tabs>
          <w:tab w:val="left" w:pos="360"/>
        </w:tabs>
      </w:pPr>
      <w:bookmarkStart w:id="12" w:name="BKM_01EB19E3_251F_44C6_9100_C5F193AF3E3C"/>
      <w:r>
        <w:rPr>
          <w:noProof/>
          <w:lang w:eastAsia="cs-CZ"/>
        </w:rPr>
        <w:drawing>
          <wp:inline distT="0" distB="0" distL="0" distR="0" wp14:anchorId="596DF92E" wp14:editId="6AFD4DFF">
            <wp:extent cx="5777106" cy="20034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15" cy="200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D" w:rsidRDefault="007F537D" w:rsidP="007F537D">
      <w:pPr>
        <w:keepLines/>
        <w:tabs>
          <w:tab w:val="left" w:pos="360"/>
        </w:tabs>
        <w:ind w:left="360"/>
      </w:pPr>
      <w:r>
        <w:rPr>
          <w:rFonts w:eastAsia="Times New Roman"/>
        </w:rPr>
        <w:t xml:space="preserve">Diagram 3 - PR-TAR Plánování a řízení bilance - chod procesu   </w:t>
      </w:r>
      <w:bookmarkEnd w:id="10"/>
      <w:bookmarkEnd w:id="11"/>
      <w:bookmarkEnd w:id="12"/>
    </w:p>
    <w:p w:rsidR="007F537D" w:rsidRDefault="007F537D" w:rsidP="00830985">
      <w:pPr>
        <w:pStyle w:val="Nadpis3"/>
        <w:numPr>
          <w:ilvl w:val="2"/>
          <w:numId w:val="2"/>
        </w:numPr>
      </w:pPr>
      <w:bookmarkStart w:id="13" w:name="_Toc367703640"/>
      <w:bookmarkStart w:id="14" w:name="_Toc374084855"/>
      <w:bookmarkStart w:id="15" w:name="BKM_675946D1_5FDA_40C6_8087_E5E90A99FC16"/>
      <w:bookmarkStart w:id="16" w:name="RV___ŘÍZENÍ_VZTAHU_S_POJIŠTĚNCEM"/>
      <w:r>
        <w:lastRenderedPageBreak/>
        <w:t>RV - Řízení vztahu s pojištěncem</w:t>
      </w:r>
      <w:bookmarkEnd w:id="13"/>
      <w:bookmarkEnd w:id="14"/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proaktivní a individuální přístup k pojištěncům, rozvoj kvalitního kmene pojištěnců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strategické cíle v oblasti vztahu k pojištěncům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pojistný kmen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procesů: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řízení vztahu s pojištěncem zastřešuje jednotlivé činnosti ve zdravotní pojišťovně ve vztahu k</w:t>
      </w:r>
      <w:r w:rsidR="006D12BC">
        <w:rPr>
          <w:rFonts w:eastAsia="Times New Roman"/>
        </w:rPr>
        <w:t> </w:t>
      </w:r>
      <w:r>
        <w:rPr>
          <w:rFonts w:eastAsia="Times New Roman"/>
        </w:rPr>
        <w:t>pojištěncům. Dílčí cíle procesu jsou odvozené od strategických cílů zdravotní pojišťovny a patří sem zejména: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posilování dobrého jména (dobré pověsti) zdravotní pojišťovny u svých klientů</w:t>
      </w:r>
    </w:p>
    <w:p w:rsidR="007F537D" w:rsidRDefault="007F537D" w:rsidP="006D12BC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individuální přístup k jednotlivým pojištěncům, ale zajišťovaný nástroji zaměřené na skupiny (důraz na dobré zařazení pojištěnce do skupin v klasifikačních systémech)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aktivní ovlivňování chování pojištěnce směrem k jeho efektivnějšímu využívání produktů OZP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omezení odlivu perspektivních klientů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zaměření náboru na perspektivní klienty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má svou "reaktivní" část (reakce na podněty od klientů), "proaktivní" část (zaměřenou na ovlivňování chování klientů formou nabídky specifických produktů, "stabilizační" část zaměřenou na zjišťování a zmírňování důvodů odchodů pojištěnců.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Návaznou součástí je pak proces náboru pojištěnců, který čerpá ze zkušeností s aktuálními pojištěnci.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Tento proces se zaměřuje především na stanovení, vykonávání a vyhodnocování strategie náboru nových klientů.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Aneta Wolfová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Bez podpory.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 xml:space="preserve">Problémy: </w:t>
      </w:r>
    </w:p>
    <w:p w:rsidR="007F537D" w:rsidRDefault="007F537D" w:rsidP="007F537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:rsidR="007F537D" w:rsidRDefault="007F537D" w:rsidP="006D12BC">
      <w:pPr>
        <w:keepNext/>
        <w:keepLines/>
        <w:tabs>
          <w:tab w:val="left" w:pos="360"/>
        </w:tabs>
      </w:pPr>
      <w:bookmarkStart w:id="17" w:name="BKM_F4154972_941C_4BAA_9E64_878C024B2996"/>
      <w:r>
        <w:rPr>
          <w:noProof/>
          <w:lang w:eastAsia="cs-CZ"/>
        </w:rPr>
        <w:lastRenderedPageBreak/>
        <w:drawing>
          <wp:inline distT="0" distB="0" distL="0" distR="0" wp14:anchorId="12A62C3F" wp14:editId="0BFC2310">
            <wp:extent cx="5771820" cy="297370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67" cy="297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D" w:rsidRDefault="007F537D" w:rsidP="006D12BC">
      <w:pPr>
        <w:keepLines/>
        <w:tabs>
          <w:tab w:val="left" w:pos="360"/>
        </w:tabs>
      </w:pPr>
      <w:r>
        <w:rPr>
          <w:rFonts w:eastAsia="Times New Roman"/>
        </w:rPr>
        <w:t xml:space="preserve">Diagram 4 - PR-TAR - Řízení vztahu s pojištěncem - chod procesu </w:t>
      </w:r>
      <w:bookmarkEnd w:id="17"/>
    </w:p>
    <w:p w:rsidR="007F537D" w:rsidRDefault="007F537D" w:rsidP="007F537D">
      <w:pPr>
        <w:keepLines/>
        <w:tabs>
          <w:tab w:val="left" w:pos="360"/>
        </w:tabs>
        <w:ind w:left="360"/>
      </w:pPr>
    </w:p>
    <w:p w:rsidR="004572DE" w:rsidRDefault="004572DE" w:rsidP="007F537D">
      <w:pPr>
        <w:keepLines/>
        <w:tabs>
          <w:tab w:val="left" w:pos="360"/>
        </w:tabs>
        <w:ind w:left="360"/>
      </w:pPr>
    </w:p>
    <w:p w:rsidR="007F537D" w:rsidRDefault="007F537D" w:rsidP="006D12BC">
      <w:pPr>
        <w:keepNext/>
        <w:keepLines/>
        <w:tabs>
          <w:tab w:val="left" w:pos="360"/>
        </w:tabs>
      </w:pPr>
      <w:bookmarkStart w:id="18" w:name="BKM_24C04174_BB21_49BB_8D6B_FBB551E1A7B3"/>
      <w:r>
        <w:rPr>
          <w:noProof/>
          <w:lang w:eastAsia="cs-CZ"/>
        </w:rPr>
        <w:drawing>
          <wp:inline distT="0" distB="0" distL="0" distR="0" wp14:anchorId="62D9DCCD" wp14:editId="5AF882F5">
            <wp:extent cx="5771178" cy="2595205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92" cy="260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D" w:rsidRDefault="007F537D" w:rsidP="006D12BC">
      <w:pPr>
        <w:keepLines/>
        <w:tabs>
          <w:tab w:val="left" w:pos="360"/>
        </w:tabs>
      </w:pPr>
      <w:r>
        <w:rPr>
          <w:rFonts w:eastAsia="Times New Roman"/>
        </w:rPr>
        <w:t xml:space="preserve">Diagram 5 - PR-TAR - Nábor pojištěnců     </w:t>
      </w:r>
      <w:bookmarkEnd w:id="5"/>
      <w:bookmarkEnd w:id="6"/>
      <w:bookmarkEnd w:id="15"/>
      <w:bookmarkEnd w:id="16"/>
      <w:bookmarkEnd w:id="18"/>
    </w:p>
    <w:p w:rsidR="006D12BC" w:rsidRDefault="006D12BC">
      <w:pPr>
        <w:spacing w:before="0" w:after="200" w:line="276" w:lineRule="auto"/>
        <w:jc w:val="left"/>
      </w:pPr>
      <w:r>
        <w:br w:type="page"/>
      </w:r>
    </w:p>
    <w:p w:rsidR="007F537D" w:rsidRDefault="007F537D" w:rsidP="00830985">
      <w:pPr>
        <w:pStyle w:val="Nadpis2"/>
        <w:numPr>
          <w:ilvl w:val="1"/>
          <w:numId w:val="2"/>
        </w:numPr>
      </w:pPr>
      <w:bookmarkStart w:id="19" w:name="_Toc367703641"/>
      <w:bookmarkStart w:id="20" w:name="_Toc374084856"/>
      <w:bookmarkStart w:id="21" w:name="BKM_C65D2463_E4B7_4933_B539_7B5C8F3A8DD6"/>
      <w:bookmarkStart w:id="22" w:name="OPR___OPERATIVNÍ_ŘÍZENÍ"/>
      <w:r>
        <w:lastRenderedPageBreak/>
        <w:t>OPR - Operativní řízení</w:t>
      </w:r>
      <w:bookmarkEnd w:id="19"/>
      <w:bookmarkEnd w:id="20"/>
    </w:p>
    <w:bookmarkEnd w:id="21"/>
    <w:bookmarkEnd w:id="22"/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V rámci procesů operativního řízení zdravotní pojišťovny identifikujeme především dvě základní komponenty: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podporu řízení toku práce (tzv. workflow)</w:t>
      </w: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- podporu kontrolních činností</w:t>
      </w:r>
    </w:p>
    <w:p w:rsidR="006D12BC" w:rsidRDefault="006D12BC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Workflow je ale obecně součástí vlastních procesů popisovaných v jednotlivých oblastech řešení a</w:t>
      </w:r>
      <w:r w:rsidR="006D12BC">
        <w:rPr>
          <w:rFonts w:eastAsia="Times New Roman"/>
        </w:rPr>
        <w:t> </w:t>
      </w:r>
      <w:r>
        <w:rPr>
          <w:rFonts w:eastAsia="Times New Roman"/>
        </w:rPr>
        <w:t>není pro něj tudíž určen samostatný procesní diagram.</w:t>
      </w:r>
    </w:p>
    <w:p w:rsidR="006D12BC" w:rsidRDefault="006D12BC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Kontrolní mechanismy jsou rovněž součástí samotných produkčních procesů.</w:t>
      </w:r>
    </w:p>
    <w:p w:rsidR="006D12BC" w:rsidRDefault="006D12BC" w:rsidP="007F537D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:rsidR="007F537D" w:rsidRDefault="007F537D" w:rsidP="007F537D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Procesy týkající se práce interního auditora nevyžadují specifickou podporu v ICIS, ale v rámci jejich zpracování se využijí standardní výstupy (zejména výstupy dle §28, odst</w:t>
      </w:r>
      <w:r w:rsidR="00885723">
        <w:rPr>
          <w:rFonts w:eastAsia="Times New Roman"/>
        </w:rPr>
        <w:t>.</w:t>
      </w:r>
      <w:r>
        <w:rPr>
          <w:rFonts w:eastAsia="Times New Roman"/>
        </w:rPr>
        <w:t>, (4), písm. a),</w:t>
      </w:r>
      <w:r w:rsidR="00885723">
        <w:rPr>
          <w:rFonts w:eastAsia="Times New Roman"/>
        </w:rPr>
        <w:t xml:space="preserve"> </w:t>
      </w:r>
      <w:r>
        <w:rPr>
          <w:rFonts w:eastAsia="Times New Roman"/>
        </w:rPr>
        <w:t>b) a c) zákona č.320/2001 Sb.).</w:t>
      </w:r>
    </w:p>
    <w:sectPr w:rsidR="007F537D" w:rsidSect="000013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8A" w:rsidRDefault="00F15D8A" w:rsidP="000013A9">
      <w:pPr>
        <w:spacing w:before="0"/>
      </w:pPr>
      <w:r>
        <w:separator/>
      </w:r>
    </w:p>
  </w:endnote>
  <w:endnote w:type="continuationSeparator" w:id="0">
    <w:p w:rsidR="00F15D8A" w:rsidRDefault="00F15D8A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6B" w:rsidRDefault="00B23E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A9" w:rsidRDefault="000013A9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0013A9" w:rsidRDefault="000013A9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bookmarkStart w:id="23" w:name="_GoBack"/>
    <w:bookmarkEnd w:id="23"/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B23E6B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F15D8A">
      <w:fldChar w:fldCharType="begin"/>
    </w:r>
    <w:r w:rsidR="00F15D8A">
      <w:instrText xml:space="preserve"> NUMPAGES  \* Arabic  \* MERGEFORMAT </w:instrText>
    </w:r>
    <w:r w:rsidR="00F15D8A">
      <w:fldChar w:fldCharType="separate"/>
    </w:r>
    <w:r w:rsidR="00B23E6B" w:rsidRPr="00B23E6B">
      <w:rPr>
        <w:rFonts w:cs="Arial"/>
        <w:noProof/>
        <w:sz w:val="18"/>
        <w:szCs w:val="18"/>
      </w:rPr>
      <w:t>8</w:t>
    </w:r>
    <w:r w:rsidR="00F15D8A">
      <w:rPr>
        <w:rFonts w:cs="Arial"/>
        <w:noProof/>
        <w:sz w:val="18"/>
        <w:szCs w:val="18"/>
      </w:rPr>
      <w:fldChar w:fldCharType="end"/>
    </w:r>
  </w:p>
  <w:p w:rsidR="000013A9" w:rsidRDefault="000013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6B" w:rsidRDefault="00B23E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8A" w:rsidRDefault="00F15D8A" w:rsidP="000013A9">
      <w:pPr>
        <w:spacing w:before="0"/>
      </w:pPr>
      <w:r>
        <w:separator/>
      </w:r>
    </w:p>
  </w:footnote>
  <w:footnote w:type="continuationSeparator" w:id="0">
    <w:p w:rsidR="00F15D8A" w:rsidRDefault="00F15D8A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6B" w:rsidRDefault="00B23E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531D60" w:rsidTr="005237A6">
      <w:trPr>
        <w:trHeight w:val="454"/>
      </w:trPr>
      <w:tc>
        <w:tcPr>
          <w:tcW w:w="1686" w:type="dxa"/>
          <w:vMerge w:val="restart"/>
        </w:tcPr>
        <w:p w:rsidR="00531D60" w:rsidRDefault="00531D60" w:rsidP="005237A6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531D60" w:rsidRPr="00302A9A" w:rsidRDefault="00531D60" w:rsidP="005237A6">
          <w:pPr>
            <w:pStyle w:val="Zhlav"/>
            <w:spacing w:after="60"/>
            <w:jc w:val="right"/>
            <w:rPr>
              <w:sz w:val="16"/>
              <w:szCs w:val="16"/>
            </w:rPr>
          </w:pPr>
          <w:r w:rsidRPr="00302A9A">
            <w:rPr>
              <w:color w:val="7F7F7F" w:themeColor="text1" w:themeTint="80"/>
              <w:sz w:val="16"/>
              <w:szCs w:val="16"/>
            </w:rPr>
            <w:t>.</w:t>
          </w:r>
        </w:p>
      </w:tc>
    </w:tr>
    <w:tr w:rsidR="00531D60" w:rsidTr="005237A6">
      <w:trPr>
        <w:trHeight w:val="780"/>
      </w:trPr>
      <w:tc>
        <w:tcPr>
          <w:tcW w:w="1686" w:type="dxa"/>
          <w:vMerge/>
        </w:tcPr>
        <w:p w:rsidR="00531D60" w:rsidRPr="007F06F7" w:rsidRDefault="00531D60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531D60" w:rsidRPr="00302A9A" w:rsidRDefault="00531D60" w:rsidP="005237A6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531D60" w:rsidTr="005237A6">
      <w:trPr>
        <w:trHeight w:val="431"/>
      </w:trPr>
      <w:tc>
        <w:tcPr>
          <w:tcW w:w="1686" w:type="dxa"/>
          <w:vMerge/>
        </w:tcPr>
        <w:p w:rsidR="00531D60" w:rsidRPr="007F06F7" w:rsidRDefault="00531D60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531D60" w:rsidRPr="007F06F7" w:rsidRDefault="00531D60" w:rsidP="005237A6">
          <w:pPr>
            <w:pStyle w:val="Zhlav"/>
          </w:pPr>
        </w:p>
      </w:tc>
    </w:tr>
  </w:tbl>
  <w:p w:rsidR="000013A9" w:rsidRDefault="000013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6B" w:rsidRDefault="00B23E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77B033C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6530E7F"/>
    <w:multiLevelType w:val="hybridMultilevel"/>
    <w:tmpl w:val="97DA0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7D"/>
    <w:rsid w:val="000013A9"/>
    <w:rsid w:val="00203886"/>
    <w:rsid w:val="002B0A34"/>
    <w:rsid w:val="00425300"/>
    <w:rsid w:val="004572DE"/>
    <w:rsid w:val="00531D60"/>
    <w:rsid w:val="005F3A32"/>
    <w:rsid w:val="00644028"/>
    <w:rsid w:val="006D12BC"/>
    <w:rsid w:val="007C3FE6"/>
    <w:rsid w:val="007F537D"/>
    <w:rsid w:val="00830985"/>
    <w:rsid w:val="00885723"/>
    <w:rsid w:val="009A27F0"/>
    <w:rsid w:val="00A519F2"/>
    <w:rsid w:val="00B23E6B"/>
    <w:rsid w:val="00C313BC"/>
    <w:rsid w:val="00CE471D"/>
    <w:rsid w:val="00D17532"/>
    <w:rsid w:val="00E3368C"/>
    <w:rsid w:val="00EF170B"/>
    <w:rsid w:val="00F1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30985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30985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30985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830985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830985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830985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30985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30985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30985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30985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30985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830985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830985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830985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30985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30985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1A290-3CDA-4A55-8E7F-2936F271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8CD8A-D5DB-454D-B475-6C2ECE0A9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49008-AA88-4877-8667-F590C4F35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22</TotalTime>
  <Pages>8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12</cp:revision>
  <cp:lastPrinted>2013-12-06T08:18:00Z</cp:lastPrinted>
  <dcterms:created xsi:type="dcterms:W3CDTF">2013-09-30T10:18:00Z</dcterms:created>
  <dcterms:modified xsi:type="dcterms:W3CDTF">2014-03-13T12:31:00Z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