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81" w:rsidRPr="00444631" w:rsidRDefault="00CB7581" w:rsidP="00682124">
      <w:pPr>
        <w:pStyle w:val="Nadpis1"/>
        <w:ind w:left="567" w:hanging="567"/>
        <w:rPr>
          <w:rFonts w:ascii="Calibri" w:eastAsia="Calibri" w:hAnsi="Calibri" w:cs="Calibri"/>
        </w:rPr>
      </w:pPr>
      <w:bookmarkStart w:id="0" w:name="_Toc385918702"/>
      <w:r w:rsidRPr="00444631">
        <w:rPr>
          <w:rFonts w:ascii="Calibri" w:hAnsi="Calibri" w:cs="Calibri"/>
        </w:rPr>
        <w:t>Technická</w:t>
      </w:r>
      <w:r w:rsidRPr="00444631">
        <w:rPr>
          <w:rFonts w:ascii="Calibri" w:eastAsia="Calibri" w:hAnsi="Calibri" w:cs="Calibri"/>
        </w:rPr>
        <w:t xml:space="preserve"> a funkční specifikace</w:t>
      </w:r>
      <w:bookmarkEnd w:id="0"/>
    </w:p>
    <w:p w:rsidR="00CB7581" w:rsidRDefault="00CB7581" w:rsidP="00CB7581">
      <w:pPr>
        <w:pStyle w:val="Odstavecseseznamem"/>
        <w:ind w:left="0"/>
        <w:rPr>
          <w:b/>
        </w:rPr>
      </w:pPr>
    </w:p>
    <w:p w:rsidR="00820D04" w:rsidRPr="008F5569" w:rsidRDefault="00820D04" w:rsidP="004A43BF">
      <w:pPr>
        <w:pStyle w:val="Odstavecseseznamem"/>
        <w:spacing w:before="120" w:after="120"/>
        <w:ind w:left="0"/>
        <w:contextualSpacing w:val="0"/>
        <w:rPr>
          <w:u w:val="single"/>
        </w:rPr>
      </w:pPr>
      <w:r w:rsidRPr="00820D04">
        <w:t>Technická a funkční specifikace</w:t>
      </w:r>
      <w:r>
        <w:t xml:space="preserve"> vychází z </w:t>
      </w:r>
      <w:r w:rsidR="00C63810">
        <w:t xml:space="preserve">dokumentu </w:t>
      </w:r>
      <w:r>
        <w:t>Studie proveditelnosti</w:t>
      </w:r>
      <w:r w:rsidR="00C63810">
        <w:t xml:space="preserve"> projektu „Výstavba, implementace a technická podpora ICIS OZP“ (dále jen „</w:t>
      </w:r>
      <w:r w:rsidR="0092040F" w:rsidRPr="003D6811">
        <w:rPr>
          <w:b/>
          <w:i/>
        </w:rPr>
        <w:t>Studie proveditelnosti</w:t>
      </w:r>
      <w:r w:rsidR="00C63810">
        <w:t>“)</w:t>
      </w:r>
      <w:r>
        <w:t xml:space="preserve"> a předkládá souhrn strategických požadavků na dílo. Dále obsahuje popis</w:t>
      </w:r>
      <w:r w:rsidRPr="00820D04">
        <w:t xml:space="preserve"> prostředí (infrastruktury) do něhož bude dílo nasazeno</w:t>
      </w:r>
      <w:r>
        <w:t>.</w:t>
      </w:r>
      <w:r w:rsidR="00C63810">
        <w:t xml:space="preserve"> Studie proveditelnosti včetně všech příloh tvoří přílohu a nedílnou součást této podrobné specifikace předmětu veřejné zakázky.</w:t>
      </w:r>
      <w:r w:rsidR="00BA7E7B">
        <w:t xml:space="preserve"> </w:t>
      </w:r>
      <w:r w:rsidR="00B361D3">
        <w:t xml:space="preserve"> </w:t>
      </w:r>
      <w:r w:rsidR="00B361D3" w:rsidRPr="008F5569">
        <w:rPr>
          <w:u w:val="single"/>
        </w:rPr>
        <w:t xml:space="preserve">Vlastní „tělo“ Studie proveditelnosti (tj. popisná část Studie proveditelnosti bez příloh) je přikládána k zadávacím podmínkám veřejné zakázky </w:t>
      </w:r>
      <w:r w:rsidR="003B227D" w:rsidRPr="008F5569">
        <w:rPr>
          <w:u w:val="single"/>
        </w:rPr>
        <w:t xml:space="preserve">pouze </w:t>
      </w:r>
      <w:r w:rsidR="00B361D3" w:rsidRPr="008F5569">
        <w:rPr>
          <w:u w:val="single"/>
        </w:rPr>
        <w:t>jako „informativní a nezávazná“ příloha.</w:t>
      </w:r>
      <w:r w:rsidR="00DB4A1F" w:rsidRPr="008F5569">
        <w:rPr>
          <w:u w:val="single"/>
        </w:rPr>
        <w:t xml:space="preserve"> Jednotlivé přílohy Studie proveditelnosti však představují závazné požadavky na dílo. </w:t>
      </w:r>
    </w:p>
    <w:p w:rsidR="00820D04" w:rsidRDefault="00820D04" w:rsidP="00CB7581">
      <w:pPr>
        <w:pStyle w:val="Odstavecseseznamem"/>
        <w:ind w:left="0"/>
        <w:rPr>
          <w:b/>
        </w:rPr>
      </w:pPr>
    </w:p>
    <w:p w:rsidR="00CB7581" w:rsidRPr="00221F17" w:rsidRDefault="00CB7581" w:rsidP="00A4749D">
      <w:pPr>
        <w:numPr>
          <w:ilvl w:val="0"/>
          <w:numId w:val="2"/>
        </w:numPr>
        <w:ind w:left="284" w:hanging="284"/>
        <w:jc w:val="both"/>
        <w:rPr>
          <w:rFonts w:eastAsia="Calibri"/>
          <w:b/>
          <w:szCs w:val="22"/>
          <w:lang w:eastAsia="en-US"/>
        </w:rPr>
      </w:pPr>
      <w:r w:rsidRPr="00221F17">
        <w:rPr>
          <w:rFonts w:eastAsia="Calibri"/>
          <w:b/>
          <w:szCs w:val="22"/>
          <w:lang w:eastAsia="en-US"/>
        </w:rPr>
        <w:t>Funkční specifikace</w:t>
      </w:r>
    </w:p>
    <w:p w:rsidR="00CB7581" w:rsidRPr="00221F17" w:rsidRDefault="00CB7581" w:rsidP="00CB7581">
      <w:pPr>
        <w:jc w:val="both"/>
        <w:rPr>
          <w:rFonts w:eastAsia="Calibri"/>
          <w:szCs w:val="22"/>
          <w:lang w:eastAsia="en-US"/>
        </w:rPr>
      </w:pPr>
    </w:p>
    <w:p w:rsidR="00CB7581" w:rsidRPr="00221F17" w:rsidRDefault="00CB7581" w:rsidP="00A4749D">
      <w:pPr>
        <w:numPr>
          <w:ilvl w:val="0"/>
          <w:numId w:val="3"/>
        </w:numPr>
        <w:spacing w:before="120" w:after="120"/>
        <w:ind w:left="284" w:hanging="284"/>
        <w:jc w:val="both"/>
        <w:rPr>
          <w:rFonts w:eastAsia="Calibri"/>
          <w:b/>
          <w:szCs w:val="22"/>
          <w:lang w:eastAsia="en-US"/>
        </w:rPr>
      </w:pPr>
      <w:r w:rsidRPr="00221F17">
        <w:rPr>
          <w:rFonts w:eastAsia="Calibri"/>
          <w:b/>
          <w:szCs w:val="22"/>
          <w:lang w:eastAsia="en-US"/>
        </w:rPr>
        <w:t>Strategické požadavky na ICIS</w:t>
      </w:r>
    </w:p>
    <w:p w:rsidR="00CB7581" w:rsidRPr="00221F17" w:rsidRDefault="00CB7581" w:rsidP="00D101C4">
      <w:pPr>
        <w:spacing w:before="120" w:after="120"/>
        <w:jc w:val="both"/>
        <w:rPr>
          <w:rFonts w:eastAsia="Calibri"/>
          <w:szCs w:val="22"/>
          <w:lang w:eastAsia="en-US"/>
        </w:rPr>
      </w:pPr>
      <w:r w:rsidRPr="00221F17">
        <w:rPr>
          <w:rFonts w:eastAsia="Calibri"/>
          <w:szCs w:val="22"/>
          <w:lang w:eastAsia="en-US"/>
        </w:rPr>
        <w:t>Mezi primární strategické požadavky na ICIS, které zásadním způsobem mění stávající postupy, patří následující požadavky:</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Nový ICIS musí mít minimálně stejný rozsah funkčností a vlastností jako stávající systém OZP. ICIS musí zajistit rozšíření a zefektivnění stávajících funkcionalit a jejich optimalizaci a implementaci nových klíčových podpůrných procesů.</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Návrh datové struktury (DB modelu) ICIS musí být proveden tak, aby bylo zamezeno vzniku duplicit a nekonzistence dat v celém systému s důrazem na registry.</w:t>
      </w:r>
    </w:p>
    <w:p w:rsidR="00CB7581" w:rsidRDefault="00CB7581" w:rsidP="00D101C4">
      <w:pPr>
        <w:numPr>
          <w:ilvl w:val="0"/>
          <w:numId w:val="1"/>
        </w:numPr>
        <w:spacing w:before="120" w:after="120"/>
        <w:ind w:left="714" w:hanging="357"/>
        <w:jc w:val="both"/>
        <w:rPr>
          <w:rFonts w:eastAsia="Calibri"/>
          <w:szCs w:val="22"/>
          <w:lang w:eastAsia="en-US"/>
        </w:rPr>
      </w:pPr>
      <w:r w:rsidRPr="00221F17">
        <w:rPr>
          <w:rFonts w:eastAsia="Calibri"/>
          <w:szCs w:val="22"/>
          <w:lang w:eastAsia="ar-SA"/>
        </w:rPr>
        <w:t xml:space="preserve">Nový ICIS musí být navržen tak, aby byla zajištěna standardizace a prokazatelnost základních procesů </w:t>
      </w:r>
      <w:r w:rsidR="00D101C4">
        <w:rPr>
          <w:rFonts w:eastAsia="Calibri"/>
          <w:szCs w:val="22"/>
          <w:lang w:eastAsia="ar-SA"/>
        </w:rPr>
        <w:t>z</w:t>
      </w:r>
      <w:r w:rsidRPr="00221F17">
        <w:rPr>
          <w:rFonts w:eastAsia="Calibri"/>
          <w:szCs w:val="22"/>
          <w:lang w:eastAsia="ar-SA"/>
        </w:rPr>
        <w:t>dravotní pojišťovny.</w:t>
      </w:r>
    </w:p>
    <w:p w:rsidR="008E5C91" w:rsidRPr="00D8704D" w:rsidRDefault="008E5C91" w:rsidP="00D101C4">
      <w:pPr>
        <w:numPr>
          <w:ilvl w:val="0"/>
          <w:numId w:val="1"/>
        </w:numPr>
        <w:spacing w:before="120" w:after="120"/>
        <w:ind w:left="714" w:hanging="357"/>
        <w:jc w:val="both"/>
        <w:rPr>
          <w:rFonts w:eastAsia="Calibri"/>
          <w:szCs w:val="22"/>
          <w:lang w:eastAsia="en-US"/>
        </w:rPr>
      </w:pPr>
      <w:r w:rsidRPr="00D8704D">
        <w:rPr>
          <w:rFonts w:eastAsia="Calibri"/>
          <w:szCs w:val="22"/>
          <w:lang w:eastAsia="en-US"/>
        </w:rPr>
        <w:t xml:space="preserve">Proces </w:t>
      </w:r>
      <w:r w:rsidRPr="00D8704D">
        <w:t>náhrady stávajícího CIS za nový ICIS nesmí ohrozit ani omezit kvalitu a plynulost činnosti OZP vůči všem typům partnerů</w:t>
      </w:r>
      <w:r w:rsidR="00C63810">
        <w:t>.</w:t>
      </w:r>
    </w:p>
    <w:p w:rsidR="008E5C91" w:rsidRPr="00D8704D" w:rsidRDefault="008E5C91" w:rsidP="00D101C4">
      <w:pPr>
        <w:numPr>
          <w:ilvl w:val="0"/>
          <w:numId w:val="1"/>
        </w:numPr>
        <w:spacing w:before="120" w:after="120"/>
        <w:ind w:left="714" w:hanging="357"/>
        <w:jc w:val="both"/>
        <w:rPr>
          <w:rFonts w:eastAsia="Calibri"/>
          <w:szCs w:val="22"/>
          <w:lang w:eastAsia="en-US"/>
        </w:rPr>
      </w:pPr>
      <w:r w:rsidRPr="00D8704D">
        <w:t>Veškerý vývoj uživatelských rozhraní a výstupů, obsah a uspořádání menu, formát a grafika formulářů, ovládání a navigace, budou řešeny pro každý modul, funkcionalitu či formulář vždy na základě předem odsouhlaseného návrhu</w:t>
      </w:r>
      <w:r w:rsidR="00717CEB" w:rsidRPr="00D8704D">
        <w:t>, pokud to bude např. s ohledem na potřebu ergonomie vhodné, ve formě</w:t>
      </w:r>
      <w:r w:rsidRPr="00D8704D">
        <w:t xml:space="preserve"> funkčního prototypu (v intencích globálně dohodnutých pravidel zohledňujících technické možnosti SW platformy) s naznačením chování ovládacích prvků, popř. výběrem možných variant.</w:t>
      </w:r>
    </w:p>
    <w:p w:rsidR="00CB7581" w:rsidRPr="00221F17" w:rsidRDefault="00CB7581" w:rsidP="00D101C4">
      <w:pPr>
        <w:numPr>
          <w:ilvl w:val="0"/>
          <w:numId w:val="1"/>
        </w:numPr>
        <w:spacing w:before="120" w:after="120"/>
        <w:ind w:left="714" w:hanging="357"/>
        <w:jc w:val="both"/>
        <w:rPr>
          <w:rFonts w:eastAsia="Calibri"/>
          <w:szCs w:val="22"/>
          <w:lang w:eastAsia="en-US"/>
        </w:rPr>
      </w:pPr>
      <w:r w:rsidRPr="00221F17">
        <w:rPr>
          <w:rFonts w:eastAsia="Calibri"/>
          <w:szCs w:val="22"/>
          <w:lang w:eastAsia="ar-SA"/>
        </w:rPr>
        <w:t>Strategické požadavky na oblast Registry</w:t>
      </w:r>
      <w:r w:rsidR="007E2035">
        <w:rPr>
          <w:rFonts w:eastAsia="Calibri"/>
          <w:szCs w:val="22"/>
          <w:lang w:eastAsia="ar-SA"/>
        </w:rPr>
        <w:t xml:space="preserve"> OZP</w:t>
      </w:r>
      <w:r w:rsidRPr="00221F17">
        <w:rPr>
          <w:rFonts w:eastAsia="Calibri"/>
          <w:szCs w:val="22"/>
          <w:lang w:eastAsia="ar-SA"/>
        </w:rPr>
        <w: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 xml:space="preserve">přístup k registrům - do určité úrovně musí být základní evidence subjektu společná – tzv. „Zobecněné registry“ (např. IČ, RČ), od určité úrovně pak mohou existovat specifické evidenční nadstavby v rámci jednotlivých agend, pro specifické role téhož subjektu (např. IČZ-IČP), </w:t>
      </w:r>
    </w:p>
    <w:p w:rsidR="00CB7581" w:rsidRPr="00221F17" w:rsidRDefault="00CB7581" w:rsidP="00A4749D">
      <w:pPr>
        <w:numPr>
          <w:ilvl w:val="0"/>
          <w:numId w:val="18"/>
        </w:numPr>
        <w:spacing w:before="120" w:after="120"/>
        <w:ind w:left="993" w:hanging="284"/>
        <w:jc w:val="both"/>
        <w:rPr>
          <w:rFonts w:eastAsia="Calibri"/>
          <w:szCs w:val="22"/>
          <w:lang w:eastAsia="en-US"/>
        </w:rPr>
      </w:pPr>
      <w:r w:rsidRPr="00221F17">
        <w:rPr>
          <w:rFonts w:eastAsia="Calibri"/>
          <w:szCs w:val="22"/>
          <w:lang w:eastAsia="ar-SA"/>
        </w:rPr>
        <w:t>registr (PZS a i jiné) musí umožnit více odlišných vztahů s různou analytickou a fondovou evidencí.</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požadavky na oblast Výdajová část: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řešení zpracování kontroly vykázané péče, včetně provádění závěrečného vyúčtování a regulací standardizovaným a transparentním způsobem na uživatelské úrovni s protokolováním všech změn a úprav,</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 xml:space="preserve">požaduje se, aby všechny předpisy na pohledávky a závazky související s úhradami zdravotních služeb vznikaly ve výdajové části na základě různého vstupního rozhraní </w:t>
      </w:r>
      <w:r w:rsidRPr="00221F17">
        <w:rPr>
          <w:rFonts w:eastAsia="Calibri"/>
          <w:szCs w:val="22"/>
          <w:lang w:eastAsia="ar-SA"/>
        </w:rPr>
        <w:lastRenderedPageBreak/>
        <w:t>včetně všech smluvních a specifických výdajů např. i na základě ručního zadání (např. faktury za očkovací látky od dodavatele).</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požadavky na oblast Produktová část: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 xml:space="preserve">požaduje se podpora ICIS produktům OZP (např. AS, </w:t>
      </w:r>
      <w:proofErr w:type="spellStart"/>
      <w:r w:rsidRPr="00221F17">
        <w:rPr>
          <w:rFonts w:eastAsia="Calibri"/>
          <w:szCs w:val="22"/>
          <w:lang w:eastAsia="ar-SA"/>
        </w:rPr>
        <w:t>Vitakarta</w:t>
      </w:r>
      <w:proofErr w:type="spellEnd"/>
      <w:r w:rsidRPr="00221F17">
        <w:rPr>
          <w:rFonts w:eastAsia="Calibri"/>
          <w:szCs w:val="22"/>
          <w:lang w:eastAsia="ar-SA"/>
        </w:rPr>
        <w:t>, řízená péče, bonusový systém, preventivní programy, atd.). Pojištěnci mohou mít v daném okamžiku k pojišťovně více vztahů, z nichž mohou vyplývat platební pohledávky nebo úhradové závazky vůči pojištěncům nebo třetím stranám včetně účtovaní zdravotní péče.</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požadavky na oblast Příjmová část: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vytvořit řešení celého procesu kontroly a vymáhání pohledávek za plátci pojistného od vzniku pohledávky až po její zánik,</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řešení by mělo být realizováno nad předpisy vznikajícími v účetní části a mělo by odstranit současná omezení pro realizaci kontrol.</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požadavky na oblast Finanční část: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vznik předpisů na pojistné a příslušenství a s tím souvisejících předpisů v účetní části, tyto předpisy využívá příjmová část,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w:t>
      </w:r>
      <w:r w:rsidR="00BB7C50">
        <w:rPr>
          <w:rFonts w:eastAsia="Calibri"/>
          <w:szCs w:val="22"/>
          <w:lang w:eastAsia="ar-SA"/>
        </w:rPr>
        <w:t>, aby</w:t>
      </w:r>
      <w:r w:rsidRPr="00221F17">
        <w:rPr>
          <w:rFonts w:eastAsia="Calibri"/>
          <w:szCs w:val="22"/>
          <w:lang w:eastAsia="ar-SA"/>
        </w:rPr>
        <w:t xml:space="preserve"> všech</w:t>
      </w:r>
      <w:r w:rsidR="00BB7C50">
        <w:rPr>
          <w:rFonts w:eastAsia="Calibri"/>
          <w:szCs w:val="22"/>
          <w:lang w:eastAsia="ar-SA"/>
        </w:rPr>
        <w:t>ny</w:t>
      </w:r>
      <w:r w:rsidRPr="00221F17">
        <w:rPr>
          <w:rFonts w:eastAsia="Calibri"/>
          <w:szCs w:val="22"/>
          <w:lang w:eastAsia="ar-SA"/>
        </w:rPr>
        <w:t xml:space="preserve"> účetní předpis</w:t>
      </w:r>
      <w:r w:rsidR="00BB7C50">
        <w:rPr>
          <w:rFonts w:eastAsia="Calibri"/>
          <w:szCs w:val="22"/>
          <w:lang w:eastAsia="ar-SA"/>
        </w:rPr>
        <w:t>y pohledávek a závazků</w:t>
      </w:r>
      <w:r w:rsidRPr="00221F17">
        <w:rPr>
          <w:rFonts w:eastAsia="Calibri"/>
          <w:szCs w:val="22"/>
          <w:lang w:eastAsia="ar-SA"/>
        </w:rPr>
        <w:t xml:space="preserve"> související</w:t>
      </w:r>
      <w:r w:rsidR="00BB7C50">
        <w:rPr>
          <w:rFonts w:eastAsia="Calibri"/>
          <w:szCs w:val="22"/>
          <w:lang w:eastAsia="ar-SA"/>
        </w:rPr>
        <w:t xml:space="preserve"> </w:t>
      </w:r>
      <w:r w:rsidRPr="00221F17">
        <w:rPr>
          <w:rFonts w:eastAsia="Calibri"/>
          <w:szCs w:val="22"/>
          <w:lang w:eastAsia="ar-SA"/>
        </w:rPr>
        <w:t>s </w:t>
      </w:r>
      <w:r w:rsidR="00BB7C50">
        <w:rPr>
          <w:rFonts w:eastAsia="Calibri"/>
          <w:szCs w:val="22"/>
          <w:lang w:eastAsia="ar-SA"/>
        </w:rPr>
        <w:t>úhradami zdravotních služeb</w:t>
      </w:r>
      <w:r w:rsidRPr="00221F17">
        <w:rPr>
          <w:rFonts w:eastAsia="Calibri"/>
          <w:szCs w:val="22"/>
          <w:lang w:eastAsia="ar-SA"/>
        </w:rPr>
        <w:t xml:space="preserve"> (ZFZP, </w:t>
      </w:r>
      <w:proofErr w:type="spellStart"/>
      <w:r w:rsidRPr="00221F17">
        <w:rPr>
          <w:rFonts w:eastAsia="Calibri"/>
          <w:szCs w:val="22"/>
          <w:lang w:eastAsia="ar-SA"/>
        </w:rPr>
        <w:t>FPrev</w:t>
      </w:r>
      <w:proofErr w:type="spellEnd"/>
      <w:r w:rsidRPr="00221F17">
        <w:rPr>
          <w:rFonts w:eastAsia="Calibri"/>
          <w:szCs w:val="22"/>
          <w:lang w:eastAsia="ar-SA"/>
        </w:rPr>
        <w:t xml:space="preserve">) </w:t>
      </w:r>
      <w:r w:rsidR="00BB7C50">
        <w:rPr>
          <w:rFonts w:eastAsia="Calibri"/>
          <w:szCs w:val="22"/>
          <w:lang w:eastAsia="ar-SA"/>
        </w:rPr>
        <w:t>vznikaly ve výdajové</w:t>
      </w:r>
      <w:r w:rsidR="00BB7C50" w:rsidRPr="00221F17">
        <w:rPr>
          <w:rFonts w:eastAsia="Calibri"/>
          <w:szCs w:val="22"/>
          <w:lang w:eastAsia="ar-SA"/>
        </w:rPr>
        <w:t xml:space="preserve"> </w:t>
      </w:r>
      <w:r w:rsidRPr="00221F17">
        <w:rPr>
          <w:rFonts w:eastAsia="Calibri"/>
          <w:szCs w:val="22"/>
          <w:lang w:eastAsia="ar-SA"/>
        </w:rPr>
        <w:t>části,</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dále se požaduje finanční účetnictví, zajištění bankovního styku a hotovostních plateb (např. ČS, Česká pošta, Poštovní spořitelna), tvorba souborů pro export,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 xml:space="preserve">požaduje se vytvoření </w:t>
      </w:r>
      <w:proofErr w:type="spellStart"/>
      <w:r w:rsidRPr="00221F17">
        <w:rPr>
          <w:rFonts w:eastAsia="Calibri"/>
          <w:szCs w:val="22"/>
          <w:lang w:eastAsia="ar-SA"/>
        </w:rPr>
        <w:t>workflow</w:t>
      </w:r>
      <w:proofErr w:type="spellEnd"/>
      <w:r w:rsidRPr="00221F17">
        <w:rPr>
          <w:rFonts w:eastAsia="Calibri"/>
          <w:szCs w:val="22"/>
          <w:lang w:eastAsia="ar-SA"/>
        </w:rPr>
        <w:t xml:space="preserve"> účetních dokladů,</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aby implementace požadavků finanční části byla v souladu se zákonem o účetnictví a zákonem o finanční kontrole.</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požadavky na oblast Řízení vztahu s pojištěncem:</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nový proces řízení vztahu s pojištěncem - bude vytvořen sjednocující proces, který umožní sjednocenou kontrolu a řízení vztahu s pojištěnci napříč všemi agendami,</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možnost periodických procesů zpřesňujících očekávanou nákladovou rizikovost pojištěnců s vazbou na eliminace rizik a nákladové prognózy skupin pojištěnců, regionů a OZP.</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požadavky na oblast Podpora řízení (BI):</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nový proces plánování a řízení bilance - bude vytvořen podpůrný mechanismus umožňující plánování a řízení bilance pojišťovny. Za tím účelem budou vytvořeny obousměrné vazby do ostatních "provozních" procesů,</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podpora pro identifikaci „nežádoucích“ vazeb a procesů včetně chybně vykazovaných zdravotních služeb a identifikace pojistných podvodů s využitím prvků umělé inteligence</w:t>
      </w:r>
      <w:r w:rsidR="00E31B19">
        <w:rPr>
          <w:rFonts w:eastAsia="Calibri"/>
          <w:szCs w:val="22"/>
          <w:lang w:eastAsia="ar-SA"/>
        </w:rPr>
        <w:t>,</w:t>
      </w:r>
    </w:p>
    <w:p w:rsidR="00E31B19"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podpora modelování a predikce pro plánování a reporting</w:t>
      </w:r>
      <w:r w:rsidR="00E31B19">
        <w:rPr>
          <w:rFonts w:eastAsia="Calibri"/>
          <w:szCs w:val="22"/>
          <w:lang w:eastAsia="ar-SA"/>
        </w:rPr>
        <w:t>,</w:t>
      </w:r>
    </w:p>
    <w:p w:rsidR="00CB7581" w:rsidRPr="00221F17" w:rsidRDefault="00E31B19" w:rsidP="00A4749D">
      <w:pPr>
        <w:numPr>
          <w:ilvl w:val="0"/>
          <w:numId w:val="18"/>
        </w:numPr>
        <w:spacing w:before="120" w:after="120"/>
        <w:ind w:left="993" w:hanging="284"/>
        <w:jc w:val="both"/>
        <w:rPr>
          <w:rFonts w:eastAsia="Calibri"/>
          <w:szCs w:val="22"/>
          <w:lang w:eastAsia="ar-SA"/>
        </w:rPr>
      </w:pPr>
      <w:r>
        <w:rPr>
          <w:rFonts w:eastAsia="Calibri"/>
          <w:szCs w:val="22"/>
          <w:lang w:eastAsia="ar-SA"/>
        </w:rPr>
        <w:t xml:space="preserve">v rámci analytického systému je požadováno mít i možnost pro ad hoc výběry dat </w:t>
      </w:r>
      <w:r w:rsidR="00F06D29">
        <w:rPr>
          <w:rFonts w:eastAsia="Calibri"/>
          <w:szCs w:val="22"/>
          <w:lang w:eastAsia="ar-SA"/>
        </w:rPr>
        <w:t>zadavatelem</w:t>
      </w:r>
      <w:r w:rsidR="00CB7581" w:rsidRPr="00221F17">
        <w:rPr>
          <w:rFonts w:eastAsia="Calibri"/>
          <w:szCs w:val="22"/>
          <w:lang w:eastAsia="ar-SA"/>
        </w:rPr>
        <w:t>.</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požadavky společné pro všechny oblasti:</w:t>
      </w:r>
    </w:p>
    <w:p w:rsidR="00A41CC9"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požaduje se implementace schvalovací procedury a vazby požadavků dle zákona o finanční kontrole</w:t>
      </w:r>
      <w:r w:rsidR="00A41CC9">
        <w:rPr>
          <w:rFonts w:eastAsia="Calibri"/>
          <w:szCs w:val="22"/>
          <w:lang w:eastAsia="ar-SA"/>
        </w:rPr>
        <w:t>,</w:t>
      </w:r>
    </w:p>
    <w:p w:rsidR="00CB7581" w:rsidRPr="00221F17" w:rsidRDefault="00A41CC9" w:rsidP="00A4749D">
      <w:pPr>
        <w:numPr>
          <w:ilvl w:val="0"/>
          <w:numId w:val="18"/>
        </w:numPr>
        <w:spacing w:before="120" w:after="120"/>
        <w:ind w:left="993" w:hanging="284"/>
        <w:jc w:val="both"/>
        <w:rPr>
          <w:rFonts w:eastAsia="Calibri"/>
          <w:szCs w:val="22"/>
          <w:lang w:eastAsia="ar-SA"/>
        </w:rPr>
      </w:pPr>
      <w:r>
        <w:lastRenderedPageBreak/>
        <w:t>i když není po právní stránce zřejmé, zda zadavatel musí tyto podmínky plnit, požaduje se, aby technické vlastnosti systému plnily podmínky stanovené právními předpisy o kybernetické bezpečnosti, a to nejméně v rozsahu významného informačního systému.</w:t>
      </w:r>
    </w:p>
    <w:p w:rsidR="00CB7581" w:rsidRPr="00221F17" w:rsidRDefault="00CB7581" w:rsidP="00D101C4">
      <w:pPr>
        <w:numPr>
          <w:ilvl w:val="0"/>
          <w:numId w:val="1"/>
        </w:numPr>
        <w:spacing w:before="120" w:after="120"/>
        <w:ind w:left="714" w:hanging="357"/>
        <w:jc w:val="both"/>
        <w:rPr>
          <w:rFonts w:eastAsia="Calibri"/>
          <w:szCs w:val="22"/>
          <w:lang w:eastAsia="ar-SA"/>
        </w:rPr>
      </w:pPr>
      <w:r w:rsidRPr="00221F17">
        <w:rPr>
          <w:rFonts w:eastAsia="Calibri"/>
          <w:szCs w:val="22"/>
          <w:lang w:eastAsia="ar-SA"/>
        </w:rPr>
        <w:t>Strategické nefunkční požadavky na ICIS:</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Strategie nasazení nového ICIS musí zohlednit také potřebu tzv. nefunkčních požadavků na systém (</w:t>
      </w:r>
      <w:proofErr w:type="spellStart"/>
      <w:r w:rsidRPr="00221F17">
        <w:rPr>
          <w:rFonts w:eastAsia="Calibri"/>
          <w:szCs w:val="22"/>
          <w:lang w:eastAsia="ar-SA"/>
        </w:rPr>
        <w:t>Service</w:t>
      </w:r>
      <w:proofErr w:type="spellEnd"/>
      <w:r w:rsidRPr="00221F17">
        <w:rPr>
          <w:rFonts w:eastAsia="Calibri"/>
          <w:szCs w:val="22"/>
          <w:lang w:eastAsia="ar-SA"/>
        </w:rPr>
        <w:t xml:space="preserve"> </w:t>
      </w:r>
      <w:proofErr w:type="spellStart"/>
      <w:r w:rsidRPr="007A3186">
        <w:rPr>
          <w:rFonts w:eastAsia="Calibri"/>
          <w:szCs w:val="22"/>
          <w:lang w:eastAsia="ar-SA"/>
        </w:rPr>
        <w:t>Level</w:t>
      </w:r>
      <w:proofErr w:type="spellEnd"/>
      <w:r w:rsidRPr="007A3186">
        <w:rPr>
          <w:rFonts w:eastAsia="Calibri"/>
          <w:szCs w:val="22"/>
          <w:lang w:eastAsia="ar-SA"/>
        </w:rPr>
        <w:t xml:space="preserve"> </w:t>
      </w:r>
      <w:proofErr w:type="spellStart"/>
      <w:r w:rsidRPr="007A3186">
        <w:rPr>
          <w:rFonts w:eastAsia="Calibri"/>
          <w:szCs w:val="22"/>
          <w:lang w:eastAsia="ar-SA"/>
        </w:rPr>
        <w:t>Requirements</w:t>
      </w:r>
      <w:proofErr w:type="spellEnd"/>
      <w:r w:rsidRPr="00221F17">
        <w:rPr>
          <w:rFonts w:eastAsia="Calibri"/>
          <w:szCs w:val="22"/>
          <w:lang w:eastAsia="ar-SA"/>
        </w:rPr>
        <w:t>), které mohou mít také kritický vliv na systém, ale jejich samotným úkolem však není podpořit věcnou náplň činnosti a procesy OZP, ale vyvinout kvalitní stabilní systém a jeho kvalitu měřit podle kritérií,</w:t>
      </w:r>
    </w:p>
    <w:p w:rsidR="00CB7581" w:rsidRPr="00221F17" w:rsidRDefault="00CB7581" w:rsidP="00A4749D">
      <w:pPr>
        <w:numPr>
          <w:ilvl w:val="0"/>
          <w:numId w:val="18"/>
        </w:numPr>
        <w:spacing w:before="120" w:after="60"/>
        <w:ind w:left="993" w:hanging="284"/>
        <w:jc w:val="both"/>
        <w:rPr>
          <w:rFonts w:eastAsia="Calibri"/>
          <w:szCs w:val="22"/>
          <w:lang w:eastAsia="ar-SA"/>
        </w:rPr>
      </w:pPr>
      <w:r w:rsidRPr="00221F17">
        <w:rPr>
          <w:rFonts w:eastAsia="Calibri"/>
          <w:szCs w:val="22"/>
          <w:lang w:eastAsia="ar-SA"/>
        </w:rPr>
        <w:t>Mezi základní nefunkční požadavky, které nový ICIS musí zohledňovat, jsou:</w:t>
      </w:r>
    </w:p>
    <w:p w:rsidR="00CB7581" w:rsidRPr="00221F17" w:rsidRDefault="00CB7581" w:rsidP="00A4749D">
      <w:pPr>
        <w:numPr>
          <w:ilvl w:val="0"/>
          <w:numId w:val="19"/>
        </w:numPr>
        <w:spacing w:before="60"/>
        <w:ind w:left="1276" w:hanging="283"/>
        <w:jc w:val="both"/>
        <w:rPr>
          <w:rFonts w:eastAsia="Calibri"/>
          <w:szCs w:val="22"/>
          <w:lang w:eastAsia="en-US"/>
        </w:rPr>
      </w:pPr>
      <w:r w:rsidRPr="00221F17">
        <w:rPr>
          <w:rFonts w:eastAsia="Calibri"/>
          <w:szCs w:val="22"/>
          <w:lang w:eastAsia="en-US"/>
        </w:rPr>
        <w:t xml:space="preserve">výkon, </w:t>
      </w:r>
    </w:p>
    <w:p w:rsidR="00CB7581" w:rsidRPr="00221F17" w:rsidRDefault="00CB7581" w:rsidP="00A4749D">
      <w:pPr>
        <w:numPr>
          <w:ilvl w:val="0"/>
          <w:numId w:val="19"/>
        </w:numPr>
        <w:spacing w:before="60"/>
        <w:ind w:left="1276" w:hanging="283"/>
        <w:jc w:val="both"/>
        <w:rPr>
          <w:rFonts w:eastAsia="Calibri"/>
          <w:szCs w:val="22"/>
          <w:lang w:eastAsia="en-US"/>
        </w:rPr>
      </w:pPr>
      <w:r w:rsidRPr="00221F17">
        <w:rPr>
          <w:rFonts w:eastAsia="Calibri"/>
          <w:szCs w:val="22"/>
          <w:lang w:eastAsia="en-US"/>
        </w:rPr>
        <w:t xml:space="preserve">škálovatelnost, </w:t>
      </w:r>
    </w:p>
    <w:p w:rsidR="00CB7581" w:rsidRPr="00221F17" w:rsidRDefault="00CB7581" w:rsidP="00A4749D">
      <w:pPr>
        <w:numPr>
          <w:ilvl w:val="0"/>
          <w:numId w:val="19"/>
        </w:numPr>
        <w:spacing w:before="60"/>
        <w:ind w:left="1276" w:hanging="283"/>
        <w:jc w:val="both"/>
        <w:rPr>
          <w:rFonts w:eastAsia="Calibri"/>
          <w:szCs w:val="22"/>
          <w:lang w:eastAsia="en-US"/>
        </w:rPr>
      </w:pPr>
      <w:r w:rsidRPr="00221F17">
        <w:rPr>
          <w:rFonts w:eastAsia="Calibri"/>
          <w:szCs w:val="22"/>
          <w:lang w:eastAsia="en-US"/>
        </w:rPr>
        <w:t xml:space="preserve">spolehlivost, </w:t>
      </w:r>
    </w:p>
    <w:p w:rsidR="00CB7581" w:rsidRPr="00221F17" w:rsidRDefault="00CB7581" w:rsidP="00A4749D">
      <w:pPr>
        <w:numPr>
          <w:ilvl w:val="0"/>
          <w:numId w:val="19"/>
        </w:numPr>
        <w:spacing w:before="60"/>
        <w:ind w:left="1276" w:hanging="283"/>
        <w:jc w:val="both"/>
        <w:rPr>
          <w:rFonts w:eastAsia="Calibri"/>
          <w:szCs w:val="22"/>
          <w:lang w:eastAsia="en-US"/>
        </w:rPr>
      </w:pPr>
      <w:r w:rsidRPr="00221F17">
        <w:rPr>
          <w:rFonts w:eastAsia="Calibri"/>
          <w:szCs w:val="22"/>
          <w:lang w:eastAsia="en-US"/>
        </w:rPr>
        <w:t xml:space="preserve">rozšiřitelnost, </w:t>
      </w:r>
    </w:p>
    <w:p w:rsidR="00CB7581" w:rsidRPr="00221F17" w:rsidRDefault="00CB7581" w:rsidP="00A4749D">
      <w:pPr>
        <w:numPr>
          <w:ilvl w:val="0"/>
          <w:numId w:val="19"/>
        </w:numPr>
        <w:spacing w:before="60"/>
        <w:ind w:left="1276" w:hanging="283"/>
        <w:jc w:val="both"/>
        <w:rPr>
          <w:rFonts w:eastAsia="Calibri"/>
          <w:szCs w:val="22"/>
          <w:lang w:eastAsia="en-US"/>
        </w:rPr>
      </w:pPr>
      <w:r w:rsidRPr="00221F17">
        <w:rPr>
          <w:rFonts w:eastAsia="Calibri"/>
          <w:szCs w:val="22"/>
          <w:lang w:eastAsia="en-US"/>
        </w:rPr>
        <w:t>kompaktnost</w:t>
      </w:r>
    </w:p>
    <w:p w:rsidR="00CB7581" w:rsidRPr="00221F17" w:rsidRDefault="00CB7581" w:rsidP="00A4749D">
      <w:pPr>
        <w:numPr>
          <w:ilvl w:val="0"/>
          <w:numId w:val="19"/>
        </w:numPr>
        <w:spacing w:before="60"/>
        <w:ind w:left="1276" w:hanging="283"/>
        <w:jc w:val="both"/>
        <w:rPr>
          <w:rFonts w:eastAsia="Calibri"/>
          <w:szCs w:val="22"/>
          <w:lang w:eastAsia="en-US"/>
        </w:rPr>
      </w:pPr>
      <w:r w:rsidRPr="00221F17">
        <w:rPr>
          <w:rFonts w:eastAsia="Calibri"/>
          <w:szCs w:val="22"/>
          <w:lang w:eastAsia="en-US"/>
        </w:rPr>
        <w:t xml:space="preserve">udržitelnost, </w:t>
      </w:r>
    </w:p>
    <w:p w:rsidR="00CB7581" w:rsidRPr="00221F17" w:rsidRDefault="00CB7581" w:rsidP="00A4749D">
      <w:pPr>
        <w:numPr>
          <w:ilvl w:val="0"/>
          <w:numId w:val="19"/>
        </w:numPr>
        <w:spacing w:before="60"/>
        <w:ind w:left="1276" w:hanging="283"/>
        <w:jc w:val="both"/>
        <w:rPr>
          <w:rFonts w:eastAsia="Calibri"/>
          <w:szCs w:val="22"/>
          <w:lang w:eastAsia="en-US"/>
        </w:rPr>
      </w:pPr>
      <w:proofErr w:type="spellStart"/>
      <w:r w:rsidRPr="00221F17">
        <w:rPr>
          <w:rFonts w:eastAsia="Calibri"/>
          <w:szCs w:val="22"/>
          <w:lang w:eastAsia="en-US"/>
        </w:rPr>
        <w:t>parametrizovatelnost</w:t>
      </w:r>
      <w:proofErr w:type="spellEnd"/>
      <w:r w:rsidRPr="00221F17">
        <w:rPr>
          <w:rFonts w:eastAsia="Calibri"/>
          <w:szCs w:val="22"/>
          <w:lang w:eastAsia="en-US"/>
        </w:rPr>
        <w:t xml:space="preserve"> a </w:t>
      </w:r>
      <w:proofErr w:type="spellStart"/>
      <w:r w:rsidRPr="00221F17">
        <w:rPr>
          <w:rFonts w:eastAsia="Calibri"/>
          <w:szCs w:val="22"/>
          <w:lang w:eastAsia="en-US"/>
        </w:rPr>
        <w:t>administrovatelnost</w:t>
      </w:r>
      <w:proofErr w:type="spellEnd"/>
      <w:r w:rsidRPr="00221F17">
        <w:rPr>
          <w:rFonts w:eastAsia="Calibri"/>
          <w:szCs w:val="22"/>
          <w:lang w:eastAsia="en-US"/>
        </w:rPr>
        <w:t xml:space="preserve"> </w:t>
      </w:r>
      <w:r w:rsidR="00F06D29">
        <w:rPr>
          <w:rFonts w:eastAsia="Calibri"/>
          <w:szCs w:val="22"/>
          <w:lang w:eastAsia="en-US"/>
        </w:rPr>
        <w:t>zadavatel</w:t>
      </w:r>
      <w:r w:rsidR="00F06D29" w:rsidRPr="00221F17">
        <w:rPr>
          <w:rFonts w:eastAsia="Calibri"/>
          <w:szCs w:val="22"/>
          <w:lang w:eastAsia="en-US"/>
        </w:rPr>
        <w:t>em</w:t>
      </w:r>
      <w:r w:rsidR="007A3186">
        <w:rPr>
          <w:rFonts w:eastAsia="Calibri"/>
          <w:szCs w:val="22"/>
          <w:lang w:eastAsia="en-US"/>
        </w:rPr>
        <w:t>,</w:t>
      </w:r>
    </w:p>
    <w:p w:rsidR="00CB7581" w:rsidRPr="00221F17" w:rsidRDefault="00CB7581" w:rsidP="00A4749D">
      <w:pPr>
        <w:numPr>
          <w:ilvl w:val="0"/>
          <w:numId w:val="19"/>
        </w:numPr>
        <w:spacing w:before="60"/>
        <w:ind w:left="1276" w:hanging="283"/>
        <w:jc w:val="both"/>
        <w:rPr>
          <w:rFonts w:eastAsia="Calibri"/>
          <w:szCs w:val="22"/>
          <w:lang w:eastAsia="en-US"/>
        </w:rPr>
      </w:pPr>
      <w:proofErr w:type="spellStart"/>
      <w:r w:rsidRPr="00221F17">
        <w:rPr>
          <w:rFonts w:eastAsia="Calibri"/>
          <w:szCs w:val="22"/>
          <w:lang w:eastAsia="en-US"/>
        </w:rPr>
        <w:t>spravovatelnost</w:t>
      </w:r>
      <w:proofErr w:type="spellEnd"/>
      <w:r w:rsidRPr="00221F17">
        <w:rPr>
          <w:rFonts w:eastAsia="Calibri"/>
          <w:szCs w:val="22"/>
          <w:lang w:eastAsia="en-US"/>
        </w:rPr>
        <w:t xml:space="preserve"> tj. schopnost řídit systém a zajistit tak jeho bezproblémový běh,</w:t>
      </w:r>
    </w:p>
    <w:p w:rsidR="00CB7581" w:rsidRPr="00221F17" w:rsidRDefault="00CB7581" w:rsidP="00A4749D">
      <w:pPr>
        <w:numPr>
          <w:ilvl w:val="0"/>
          <w:numId w:val="19"/>
        </w:numPr>
        <w:spacing w:before="60"/>
        <w:ind w:left="1276" w:hanging="283"/>
        <w:jc w:val="both"/>
        <w:rPr>
          <w:rFonts w:eastAsia="Calibri"/>
          <w:szCs w:val="22"/>
          <w:lang w:eastAsia="en-US"/>
        </w:rPr>
      </w:pPr>
      <w:r w:rsidRPr="00221F17">
        <w:rPr>
          <w:rFonts w:eastAsia="Calibri"/>
          <w:szCs w:val="22"/>
          <w:lang w:eastAsia="en-US"/>
        </w:rPr>
        <w:t>bezpečnost.</w:t>
      </w:r>
    </w:p>
    <w:p w:rsidR="00CB7581" w:rsidRPr="00D101C4" w:rsidRDefault="00CB7581" w:rsidP="007A3186">
      <w:pPr>
        <w:spacing w:before="120"/>
        <w:ind w:left="992"/>
        <w:jc w:val="both"/>
        <w:rPr>
          <w:rFonts w:eastAsia="Calibri"/>
          <w:szCs w:val="22"/>
          <w:lang w:eastAsia="ar-SA"/>
        </w:rPr>
      </w:pPr>
      <w:r w:rsidRPr="00D101C4">
        <w:rPr>
          <w:rFonts w:eastAsia="Calibri"/>
          <w:szCs w:val="22"/>
          <w:lang w:eastAsia="ar-SA"/>
        </w:rPr>
        <w:t>Konkrétní seznam nefunkčních požadavků je uveden v</w:t>
      </w:r>
      <w:r w:rsidR="00C63810">
        <w:rPr>
          <w:rFonts w:eastAsia="Calibri"/>
          <w:szCs w:val="22"/>
          <w:lang w:eastAsia="ar-SA"/>
        </w:rPr>
        <w:t> </w:t>
      </w:r>
      <w:r w:rsidRPr="00D101C4">
        <w:rPr>
          <w:rFonts w:eastAsia="Calibri"/>
          <w:szCs w:val="22"/>
          <w:lang w:eastAsia="ar-SA"/>
        </w:rPr>
        <w:t>příloze</w:t>
      </w:r>
      <w:r w:rsidR="00C63810">
        <w:rPr>
          <w:rFonts w:eastAsia="Calibri"/>
          <w:szCs w:val="22"/>
          <w:lang w:eastAsia="ar-SA"/>
        </w:rPr>
        <w:t xml:space="preserve"> Studie proveditelnosti,</w:t>
      </w:r>
      <w:r w:rsidRPr="00D101C4">
        <w:rPr>
          <w:rFonts w:eastAsia="Calibri"/>
          <w:szCs w:val="22"/>
          <w:lang w:eastAsia="ar-SA"/>
        </w:rPr>
        <w:t xml:space="preserve"> v dokumentu OZP-ICIS-Studie-P20-Seznam-nefunkčních-požadavků.xlsx.</w:t>
      </w:r>
    </w:p>
    <w:p w:rsidR="00CB7581" w:rsidRPr="00221F17" w:rsidRDefault="00CB7581" w:rsidP="00CB7581">
      <w:pPr>
        <w:ind w:left="709"/>
        <w:jc w:val="both"/>
        <w:rPr>
          <w:rFonts w:eastAsia="Calibri"/>
          <w:szCs w:val="22"/>
          <w:lang w:eastAsia="ar-SA"/>
        </w:rPr>
      </w:pPr>
    </w:p>
    <w:p w:rsidR="00CB7581" w:rsidRPr="00221F17" w:rsidRDefault="00CB7581" w:rsidP="00A4749D">
      <w:pPr>
        <w:numPr>
          <w:ilvl w:val="0"/>
          <w:numId w:val="3"/>
        </w:numPr>
        <w:ind w:left="284" w:hanging="284"/>
        <w:jc w:val="both"/>
        <w:rPr>
          <w:rFonts w:eastAsia="Calibri"/>
          <w:b/>
          <w:szCs w:val="22"/>
          <w:lang w:eastAsia="en-US"/>
        </w:rPr>
      </w:pPr>
      <w:r w:rsidRPr="00221F17">
        <w:rPr>
          <w:rFonts w:eastAsia="Calibri"/>
          <w:b/>
          <w:szCs w:val="22"/>
          <w:lang w:eastAsia="en-US"/>
        </w:rPr>
        <w:t>Seznam požadavků na funkce ICIS</w:t>
      </w:r>
    </w:p>
    <w:p w:rsidR="00CB7581" w:rsidRPr="00221F17" w:rsidRDefault="00CB7581" w:rsidP="00A4749D">
      <w:pPr>
        <w:numPr>
          <w:ilvl w:val="0"/>
          <w:numId w:val="20"/>
        </w:numPr>
        <w:spacing w:before="120" w:after="120"/>
        <w:jc w:val="both"/>
        <w:rPr>
          <w:rFonts w:eastAsia="Calibri"/>
          <w:szCs w:val="22"/>
          <w:lang w:eastAsia="ar-SA"/>
        </w:rPr>
      </w:pPr>
      <w:r w:rsidRPr="00221F17">
        <w:rPr>
          <w:rFonts w:eastAsia="Calibri"/>
          <w:szCs w:val="22"/>
          <w:lang w:eastAsia="ar-SA"/>
        </w:rPr>
        <w:t>Požadavky jsou pro přehlednost a zachování čitelnosti informací uloženy v</w:t>
      </w:r>
      <w:r w:rsidR="00481B1D">
        <w:rPr>
          <w:rFonts w:eastAsia="Calibri"/>
          <w:szCs w:val="22"/>
          <w:lang w:eastAsia="ar-SA"/>
        </w:rPr>
        <w:t> </w:t>
      </w:r>
      <w:r w:rsidRPr="00221F17">
        <w:rPr>
          <w:rFonts w:eastAsia="Calibri"/>
          <w:szCs w:val="22"/>
          <w:lang w:eastAsia="ar-SA"/>
        </w:rPr>
        <w:t>přílohách</w:t>
      </w:r>
      <w:r w:rsidR="00481B1D">
        <w:rPr>
          <w:rFonts w:eastAsia="Calibri"/>
          <w:szCs w:val="22"/>
          <w:lang w:eastAsia="ar-SA"/>
        </w:rPr>
        <w:t xml:space="preserve"> Studie proveditelnosti</w:t>
      </w:r>
      <w:r w:rsidRPr="00221F17">
        <w:rPr>
          <w:rFonts w:eastAsia="Calibri"/>
          <w:szCs w:val="22"/>
          <w:lang w:eastAsia="ar-SA"/>
        </w:rPr>
        <w:t xml:space="preserve"> ve zdrojových souborech XLSX.</w:t>
      </w:r>
    </w:p>
    <w:p w:rsidR="00CB7581" w:rsidRDefault="00CB7581" w:rsidP="00A4749D">
      <w:pPr>
        <w:numPr>
          <w:ilvl w:val="0"/>
          <w:numId w:val="20"/>
        </w:numPr>
        <w:spacing w:before="120" w:after="120"/>
        <w:jc w:val="both"/>
        <w:rPr>
          <w:rFonts w:eastAsia="Calibri"/>
          <w:szCs w:val="22"/>
          <w:lang w:eastAsia="ar-SA"/>
        </w:rPr>
      </w:pPr>
      <w:r w:rsidRPr="00221F17">
        <w:rPr>
          <w:rFonts w:eastAsia="Calibri"/>
          <w:szCs w:val="22"/>
          <w:lang w:eastAsia="ar-SA"/>
        </w:rPr>
        <w:t>Požadavky jsou rozděleny podle oblastí řešení do jednotlivých samostatných příloh podle následujícího schématu:</w:t>
      </w:r>
    </w:p>
    <w:p w:rsidR="00CB7581" w:rsidRPr="00221F17" w:rsidRDefault="00CB7581" w:rsidP="00CB7581">
      <w:pPr>
        <w:ind w:left="714"/>
        <w:jc w:val="both"/>
        <w:rPr>
          <w:rFonts w:eastAsia="Calibr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612"/>
        <w:gridCol w:w="923"/>
        <w:gridCol w:w="7763"/>
      </w:tblGrid>
      <w:tr w:rsidR="00682124" w:rsidRPr="00221F17" w:rsidTr="004240F2">
        <w:trPr>
          <w:trHeight w:val="345"/>
        </w:trPr>
        <w:tc>
          <w:tcPr>
            <w:tcW w:w="567" w:type="dxa"/>
            <w:shd w:val="clear" w:color="auto" w:fill="A50021"/>
            <w:vAlign w:val="center"/>
          </w:tcPr>
          <w:p w:rsidR="00CB7581" w:rsidRPr="004240F2" w:rsidRDefault="00CB7581" w:rsidP="00CB7581">
            <w:pPr>
              <w:rPr>
                <w:rFonts w:ascii="Arial" w:hAnsi="Arial"/>
                <w:b/>
                <w:sz w:val="16"/>
                <w:szCs w:val="16"/>
              </w:rPr>
            </w:pPr>
          </w:p>
        </w:tc>
        <w:tc>
          <w:tcPr>
            <w:tcW w:w="856" w:type="dxa"/>
            <w:shd w:val="clear" w:color="auto" w:fill="A50021"/>
            <w:vAlign w:val="center"/>
            <w:hideMark/>
          </w:tcPr>
          <w:p w:rsidR="00CB7581" w:rsidRPr="004240F2" w:rsidRDefault="00CB7581" w:rsidP="00CB7581">
            <w:pPr>
              <w:rPr>
                <w:rFonts w:ascii="Arial" w:hAnsi="Arial"/>
                <w:b/>
                <w:sz w:val="16"/>
                <w:szCs w:val="16"/>
              </w:rPr>
            </w:pPr>
            <w:r w:rsidRPr="004240F2">
              <w:rPr>
                <w:rFonts w:ascii="Arial" w:hAnsi="Arial"/>
                <w:b/>
                <w:sz w:val="16"/>
                <w:szCs w:val="16"/>
              </w:rPr>
              <w:t>Kód</w:t>
            </w:r>
          </w:p>
        </w:tc>
        <w:tc>
          <w:tcPr>
            <w:tcW w:w="7199" w:type="dxa"/>
            <w:shd w:val="clear" w:color="auto" w:fill="A50021"/>
            <w:vAlign w:val="center"/>
            <w:hideMark/>
          </w:tcPr>
          <w:p w:rsidR="00CB7581" w:rsidRPr="004240F2" w:rsidRDefault="00CB7581" w:rsidP="00CB7581">
            <w:pPr>
              <w:rPr>
                <w:rFonts w:ascii="Arial" w:hAnsi="Arial"/>
                <w:b/>
                <w:sz w:val="16"/>
                <w:szCs w:val="16"/>
              </w:rPr>
            </w:pPr>
            <w:r w:rsidRPr="004240F2">
              <w:rPr>
                <w:rFonts w:ascii="Arial" w:hAnsi="Arial"/>
                <w:b/>
                <w:sz w:val="16"/>
                <w:szCs w:val="16"/>
              </w:rPr>
              <w:t>Oblast / Název přílohy</w:t>
            </w:r>
          </w:p>
        </w:tc>
      </w:tr>
      <w:tr w:rsidR="00682124" w:rsidRPr="00221F17" w:rsidTr="004240F2">
        <w:trPr>
          <w:trHeight w:val="170"/>
        </w:trPr>
        <w:tc>
          <w:tcPr>
            <w:tcW w:w="567" w:type="dxa"/>
            <w:vMerge w:val="restart"/>
            <w:shd w:val="clear" w:color="auto" w:fill="FFFFFF"/>
            <w:textDirection w:val="btLr"/>
            <w:vAlign w:val="center"/>
          </w:tcPr>
          <w:p w:rsidR="00CB7581" w:rsidRPr="004240F2" w:rsidRDefault="00CB7581" w:rsidP="004240F2">
            <w:pPr>
              <w:ind w:left="113" w:right="113"/>
              <w:jc w:val="center"/>
              <w:rPr>
                <w:rFonts w:ascii="Arial" w:hAnsi="Arial"/>
                <w:b/>
                <w:sz w:val="16"/>
                <w:szCs w:val="16"/>
              </w:rPr>
            </w:pPr>
            <w:r w:rsidRPr="004240F2">
              <w:rPr>
                <w:rFonts w:ascii="Arial" w:hAnsi="Arial"/>
                <w:b/>
                <w:sz w:val="16"/>
                <w:szCs w:val="16"/>
              </w:rPr>
              <w:t>Zdravotní pojišťovna</w:t>
            </w:r>
          </w:p>
        </w:tc>
        <w:tc>
          <w:tcPr>
            <w:tcW w:w="856" w:type="dxa"/>
            <w:shd w:val="clear" w:color="auto" w:fill="FFFFFF"/>
            <w:vAlign w:val="center"/>
            <w:hideMark/>
          </w:tcPr>
          <w:p w:rsidR="00CB7581" w:rsidRPr="004240F2" w:rsidRDefault="00CB7581" w:rsidP="00CB7581">
            <w:pPr>
              <w:rPr>
                <w:rFonts w:ascii="Arial" w:hAnsi="Arial"/>
                <w:b/>
                <w:sz w:val="16"/>
                <w:szCs w:val="16"/>
              </w:rPr>
            </w:pPr>
            <w:r w:rsidRPr="004240F2">
              <w:rPr>
                <w:rFonts w:ascii="Arial" w:hAnsi="Arial"/>
                <w:b/>
                <w:sz w:val="16"/>
                <w:szCs w:val="16"/>
              </w:rPr>
              <w:t>P01</w:t>
            </w:r>
          </w:p>
        </w:tc>
        <w:tc>
          <w:tcPr>
            <w:tcW w:w="7199" w:type="dxa"/>
            <w:shd w:val="clear" w:color="auto" w:fill="FFFFFF"/>
            <w:vAlign w:val="center"/>
          </w:tcPr>
          <w:p w:rsidR="00CB7581" w:rsidRPr="004240F2" w:rsidRDefault="00CB7581" w:rsidP="00CB7581">
            <w:pPr>
              <w:rPr>
                <w:rFonts w:ascii="Arial" w:hAnsi="Arial"/>
                <w:b/>
                <w:sz w:val="16"/>
                <w:szCs w:val="16"/>
              </w:rPr>
            </w:pPr>
            <w:r w:rsidRPr="004240F2">
              <w:rPr>
                <w:rFonts w:ascii="Arial" w:hAnsi="Arial"/>
                <w:b/>
                <w:sz w:val="16"/>
                <w:szCs w:val="16"/>
              </w:rPr>
              <w:t>Finance</w:t>
            </w:r>
          </w:p>
          <w:p w:rsidR="00CB7581" w:rsidRPr="00FD1C45" w:rsidRDefault="00CB7581" w:rsidP="00CB7581">
            <w:pPr>
              <w:rPr>
                <w:rFonts w:ascii="Arial" w:hAnsi="Arial"/>
                <w:sz w:val="16"/>
                <w:szCs w:val="16"/>
              </w:rPr>
            </w:pPr>
            <w:r w:rsidRPr="00FD1C45">
              <w:rPr>
                <w:rFonts w:ascii="Arial" w:hAnsi="Arial"/>
                <w:sz w:val="16"/>
                <w:szCs w:val="16"/>
              </w:rPr>
              <w:t>OZP-ICIS-Studie-P01-Seznam-požadavků-Finance.xlsx</w:t>
            </w:r>
          </w:p>
        </w:tc>
      </w:tr>
      <w:tr w:rsidR="00682124" w:rsidRPr="00221F17" w:rsidTr="004240F2">
        <w:trPr>
          <w:trHeight w:val="170"/>
        </w:trPr>
        <w:tc>
          <w:tcPr>
            <w:tcW w:w="567" w:type="dxa"/>
            <w:vMerge/>
            <w:shd w:val="clear" w:color="auto" w:fill="F2DBDB"/>
            <w:vAlign w:val="center"/>
          </w:tcPr>
          <w:p w:rsidR="00CB7581" w:rsidRPr="004240F2" w:rsidRDefault="00CB7581" w:rsidP="00CB7581">
            <w:pPr>
              <w:rPr>
                <w:rFonts w:ascii="Arial" w:hAnsi="Arial"/>
                <w:b/>
                <w:sz w:val="16"/>
                <w:szCs w:val="16"/>
              </w:rPr>
            </w:pPr>
          </w:p>
        </w:tc>
        <w:tc>
          <w:tcPr>
            <w:tcW w:w="856" w:type="dxa"/>
            <w:shd w:val="clear" w:color="auto" w:fill="F2DBDB"/>
            <w:vAlign w:val="center"/>
            <w:hideMark/>
          </w:tcPr>
          <w:p w:rsidR="00CB7581" w:rsidRPr="004240F2" w:rsidRDefault="00CB7581" w:rsidP="00CB7581">
            <w:pPr>
              <w:rPr>
                <w:rFonts w:ascii="Arial" w:hAnsi="Arial"/>
                <w:b/>
                <w:sz w:val="16"/>
                <w:szCs w:val="16"/>
              </w:rPr>
            </w:pPr>
            <w:r w:rsidRPr="004240F2">
              <w:rPr>
                <w:rFonts w:ascii="Arial" w:hAnsi="Arial"/>
                <w:b/>
                <w:sz w:val="16"/>
                <w:szCs w:val="16"/>
              </w:rPr>
              <w:t>P02</w:t>
            </w:r>
          </w:p>
        </w:tc>
        <w:tc>
          <w:tcPr>
            <w:tcW w:w="7199" w:type="dxa"/>
            <w:shd w:val="clear" w:color="auto" w:fill="F2DBDB"/>
            <w:vAlign w:val="center"/>
          </w:tcPr>
          <w:p w:rsidR="00CB7581" w:rsidRPr="004240F2" w:rsidRDefault="00CB7581" w:rsidP="00CB7581">
            <w:pPr>
              <w:rPr>
                <w:rFonts w:ascii="Arial" w:hAnsi="Arial"/>
                <w:b/>
                <w:sz w:val="16"/>
                <w:szCs w:val="16"/>
              </w:rPr>
            </w:pPr>
            <w:r w:rsidRPr="004240F2">
              <w:rPr>
                <w:rFonts w:ascii="Arial" w:hAnsi="Arial"/>
                <w:b/>
                <w:sz w:val="16"/>
                <w:szCs w:val="16"/>
              </w:rPr>
              <w:t>Podpora řízení</w:t>
            </w:r>
          </w:p>
          <w:p w:rsidR="00CB7581" w:rsidRPr="00D101C4" w:rsidRDefault="00CB7581" w:rsidP="00CB7581">
            <w:pPr>
              <w:rPr>
                <w:rFonts w:ascii="Arial" w:hAnsi="Arial"/>
                <w:sz w:val="16"/>
                <w:szCs w:val="16"/>
              </w:rPr>
            </w:pPr>
            <w:r w:rsidRPr="00D101C4">
              <w:rPr>
                <w:rFonts w:ascii="Arial" w:hAnsi="Arial"/>
                <w:sz w:val="16"/>
                <w:szCs w:val="16"/>
              </w:rPr>
              <w:t>OZP-ICIS-Studie-P02-Seznam-požadavků-Podpora-řízení.xlsx</w:t>
            </w:r>
          </w:p>
        </w:tc>
      </w:tr>
      <w:tr w:rsidR="00682124" w:rsidRPr="00221F17" w:rsidTr="004240F2">
        <w:trPr>
          <w:trHeight w:val="170"/>
        </w:trPr>
        <w:tc>
          <w:tcPr>
            <w:tcW w:w="567" w:type="dxa"/>
            <w:vMerge/>
            <w:shd w:val="clear" w:color="auto" w:fill="FFFFFF"/>
            <w:vAlign w:val="center"/>
          </w:tcPr>
          <w:p w:rsidR="00CB7581" w:rsidRPr="004240F2" w:rsidRDefault="00CB7581" w:rsidP="00CB7581">
            <w:pPr>
              <w:rPr>
                <w:rFonts w:ascii="Arial" w:hAnsi="Arial"/>
                <w:b/>
                <w:sz w:val="16"/>
                <w:szCs w:val="16"/>
              </w:rPr>
            </w:pPr>
          </w:p>
        </w:tc>
        <w:tc>
          <w:tcPr>
            <w:tcW w:w="856" w:type="dxa"/>
            <w:shd w:val="clear" w:color="auto" w:fill="FFFFFF"/>
            <w:vAlign w:val="center"/>
            <w:hideMark/>
          </w:tcPr>
          <w:p w:rsidR="00CB7581" w:rsidRPr="004240F2" w:rsidRDefault="00CB7581" w:rsidP="00CB7581">
            <w:pPr>
              <w:rPr>
                <w:rFonts w:ascii="Arial" w:hAnsi="Arial"/>
                <w:b/>
                <w:sz w:val="16"/>
                <w:szCs w:val="16"/>
              </w:rPr>
            </w:pPr>
            <w:r w:rsidRPr="004240F2">
              <w:rPr>
                <w:rFonts w:ascii="Arial" w:hAnsi="Arial"/>
                <w:b/>
                <w:sz w:val="16"/>
                <w:szCs w:val="16"/>
              </w:rPr>
              <w:t>P03A</w:t>
            </w:r>
          </w:p>
        </w:tc>
        <w:tc>
          <w:tcPr>
            <w:tcW w:w="7199" w:type="dxa"/>
            <w:shd w:val="clear" w:color="auto" w:fill="FFFFFF"/>
            <w:vAlign w:val="center"/>
          </w:tcPr>
          <w:p w:rsidR="00CB7581" w:rsidRPr="004240F2" w:rsidRDefault="00CB7581" w:rsidP="00CB7581">
            <w:pPr>
              <w:rPr>
                <w:rFonts w:ascii="Arial" w:hAnsi="Arial"/>
                <w:b/>
                <w:sz w:val="16"/>
                <w:szCs w:val="16"/>
              </w:rPr>
            </w:pPr>
            <w:r w:rsidRPr="004240F2">
              <w:rPr>
                <w:rFonts w:ascii="Arial" w:hAnsi="Arial"/>
                <w:b/>
                <w:sz w:val="16"/>
                <w:szCs w:val="16"/>
              </w:rPr>
              <w:t>Produktová část</w:t>
            </w:r>
          </w:p>
          <w:p w:rsidR="00CB7581" w:rsidRPr="004240F2" w:rsidRDefault="00CB7581" w:rsidP="00CB7581">
            <w:pPr>
              <w:rPr>
                <w:rFonts w:ascii="Arial" w:hAnsi="Arial"/>
                <w:b/>
                <w:sz w:val="16"/>
                <w:szCs w:val="16"/>
              </w:rPr>
            </w:pPr>
            <w:r w:rsidRPr="004240F2">
              <w:rPr>
                <w:rFonts w:ascii="Arial" w:hAnsi="Arial"/>
                <w:b/>
                <w:sz w:val="16"/>
                <w:szCs w:val="16"/>
              </w:rPr>
              <w:t>OZP-ICIS-Studie-P03A-Seznam-požadavků-Produktová-část.xlsx</w:t>
            </w:r>
          </w:p>
        </w:tc>
      </w:tr>
      <w:tr w:rsidR="00682124" w:rsidRPr="00221F17" w:rsidTr="004240F2">
        <w:trPr>
          <w:trHeight w:val="170"/>
        </w:trPr>
        <w:tc>
          <w:tcPr>
            <w:tcW w:w="567" w:type="dxa"/>
            <w:vMerge/>
            <w:shd w:val="clear" w:color="auto" w:fill="F2DBDB"/>
            <w:vAlign w:val="center"/>
          </w:tcPr>
          <w:p w:rsidR="00CB7581" w:rsidRPr="004240F2" w:rsidRDefault="00CB7581" w:rsidP="00CB7581">
            <w:pPr>
              <w:rPr>
                <w:rFonts w:ascii="Arial" w:hAnsi="Arial"/>
                <w:b/>
                <w:sz w:val="16"/>
                <w:szCs w:val="16"/>
              </w:rPr>
            </w:pPr>
          </w:p>
        </w:tc>
        <w:tc>
          <w:tcPr>
            <w:tcW w:w="856" w:type="dxa"/>
            <w:shd w:val="clear" w:color="auto" w:fill="F2DBDB"/>
            <w:vAlign w:val="center"/>
          </w:tcPr>
          <w:p w:rsidR="00CB7581" w:rsidRPr="004240F2" w:rsidRDefault="00CB7581" w:rsidP="00CB7581">
            <w:pPr>
              <w:rPr>
                <w:rFonts w:ascii="Arial" w:hAnsi="Arial"/>
                <w:b/>
                <w:sz w:val="16"/>
                <w:szCs w:val="16"/>
              </w:rPr>
            </w:pPr>
            <w:r w:rsidRPr="004240F2">
              <w:rPr>
                <w:rFonts w:ascii="Arial" w:hAnsi="Arial"/>
                <w:b/>
                <w:sz w:val="16"/>
                <w:szCs w:val="16"/>
              </w:rPr>
              <w:t>P03B</w:t>
            </w:r>
          </w:p>
        </w:tc>
        <w:tc>
          <w:tcPr>
            <w:tcW w:w="7199" w:type="dxa"/>
            <w:shd w:val="clear" w:color="auto" w:fill="F2DBDB"/>
            <w:vAlign w:val="center"/>
          </w:tcPr>
          <w:p w:rsidR="00CB7581" w:rsidRPr="004240F2" w:rsidRDefault="00CB7581" w:rsidP="00CB7581">
            <w:pPr>
              <w:rPr>
                <w:rFonts w:ascii="Arial" w:hAnsi="Arial"/>
                <w:b/>
                <w:sz w:val="16"/>
                <w:szCs w:val="16"/>
              </w:rPr>
            </w:pPr>
            <w:r w:rsidRPr="004240F2">
              <w:rPr>
                <w:rFonts w:ascii="Arial" w:hAnsi="Arial"/>
                <w:b/>
                <w:sz w:val="16"/>
                <w:szCs w:val="16"/>
              </w:rPr>
              <w:t>Výdajová část</w:t>
            </w:r>
          </w:p>
          <w:p w:rsidR="00CB7581" w:rsidRPr="00D101C4" w:rsidRDefault="00CB7581" w:rsidP="00CB7581">
            <w:pPr>
              <w:rPr>
                <w:rFonts w:ascii="Arial" w:hAnsi="Arial"/>
                <w:sz w:val="16"/>
                <w:szCs w:val="16"/>
              </w:rPr>
            </w:pPr>
            <w:r w:rsidRPr="00D101C4">
              <w:rPr>
                <w:rFonts w:ascii="Arial" w:hAnsi="Arial"/>
                <w:sz w:val="16"/>
                <w:szCs w:val="16"/>
              </w:rPr>
              <w:t>OZP-ICIS-Studie-P03B-Seznam-požadavků-Výdajová-část.xlsx</w:t>
            </w:r>
          </w:p>
        </w:tc>
      </w:tr>
      <w:tr w:rsidR="00682124" w:rsidRPr="00221F17" w:rsidTr="004240F2">
        <w:trPr>
          <w:trHeight w:val="170"/>
        </w:trPr>
        <w:tc>
          <w:tcPr>
            <w:tcW w:w="567" w:type="dxa"/>
            <w:vMerge/>
            <w:shd w:val="clear" w:color="auto" w:fill="FFFFFF"/>
            <w:vAlign w:val="center"/>
          </w:tcPr>
          <w:p w:rsidR="00CB7581" w:rsidRPr="004240F2" w:rsidRDefault="00CB7581" w:rsidP="00CB7581">
            <w:pPr>
              <w:rPr>
                <w:rFonts w:ascii="Arial" w:hAnsi="Arial"/>
                <w:b/>
                <w:sz w:val="16"/>
                <w:szCs w:val="16"/>
              </w:rPr>
            </w:pPr>
          </w:p>
        </w:tc>
        <w:tc>
          <w:tcPr>
            <w:tcW w:w="856" w:type="dxa"/>
            <w:shd w:val="clear" w:color="auto" w:fill="FFFFFF"/>
            <w:vAlign w:val="center"/>
          </w:tcPr>
          <w:p w:rsidR="00CB7581" w:rsidRPr="004240F2" w:rsidRDefault="00CB7581" w:rsidP="00CB7581">
            <w:pPr>
              <w:rPr>
                <w:rFonts w:ascii="Arial" w:hAnsi="Arial"/>
                <w:b/>
                <w:sz w:val="16"/>
                <w:szCs w:val="16"/>
              </w:rPr>
            </w:pPr>
            <w:r w:rsidRPr="004240F2">
              <w:rPr>
                <w:rFonts w:ascii="Arial" w:hAnsi="Arial"/>
                <w:b/>
                <w:sz w:val="16"/>
                <w:szCs w:val="16"/>
              </w:rPr>
              <w:t>P04</w:t>
            </w:r>
          </w:p>
        </w:tc>
        <w:tc>
          <w:tcPr>
            <w:tcW w:w="7199" w:type="dxa"/>
            <w:shd w:val="clear" w:color="auto" w:fill="FFFFFF"/>
            <w:vAlign w:val="center"/>
          </w:tcPr>
          <w:p w:rsidR="00CB7581" w:rsidRPr="004240F2" w:rsidRDefault="00CB7581" w:rsidP="00CB7581">
            <w:pPr>
              <w:rPr>
                <w:rFonts w:ascii="Arial" w:hAnsi="Arial"/>
                <w:b/>
                <w:sz w:val="16"/>
                <w:szCs w:val="16"/>
              </w:rPr>
            </w:pPr>
            <w:r w:rsidRPr="004240F2">
              <w:rPr>
                <w:rFonts w:ascii="Arial" w:hAnsi="Arial"/>
                <w:b/>
                <w:sz w:val="16"/>
                <w:szCs w:val="16"/>
              </w:rPr>
              <w:t>Registry</w:t>
            </w:r>
          </w:p>
          <w:p w:rsidR="00CB7581" w:rsidRPr="00D101C4" w:rsidRDefault="00CB7581" w:rsidP="00CB7581">
            <w:pPr>
              <w:rPr>
                <w:rFonts w:ascii="Arial" w:hAnsi="Arial" w:cs="Arial"/>
                <w:color w:val="000000"/>
                <w:sz w:val="16"/>
                <w:szCs w:val="16"/>
              </w:rPr>
            </w:pPr>
            <w:r w:rsidRPr="00D101C4">
              <w:rPr>
                <w:rFonts w:ascii="Arial" w:hAnsi="Arial"/>
                <w:sz w:val="16"/>
                <w:szCs w:val="16"/>
              </w:rPr>
              <w:t>OZP-ICIS-Studie-P04-Seznam-požadavků-Registry.xlsx</w:t>
            </w:r>
          </w:p>
        </w:tc>
      </w:tr>
      <w:tr w:rsidR="00682124" w:rsidRPr="00221F17" w:rsidTr="004240F2">
        <w:trPr>
          <w:trHeight w:val="170"/>
        </w:trPr>
        <w:tc>
          <w:tcPr>
            <w:tcW w:w="567" w:type="dxa"/>
            <w:vMerge/>
            <w:shd w:val="clear" w:color="auto" w:fill="F2DBDB"/>
            <w:vAlign w:val="center"/>
          </w:tcPr>
          <w:p w:rsidR="00CB7581" w:rsidRPr="004240F2" w:rsidRDefault="00CB7581" w:rsidP="00CB7581">
            <w:pPr>
              <w:rPr>
                <w:rFonts w:ascii="Arial" w:hAnsi="Arial"/>
                <w:b/>
                <w:sz w:val="16"/>
                <w:szCs w:val="16"/>
              </w:rPr>
            </w:pPr>
          </w:p>
        </w:tc>
        <w:tc>
          <w:tcPr>
            <w:tcW w:w="856" w:type="dxa"/>
            <w:shd w:val="clear" w:color="auto" w:fill="F2DBDB"/>
            <w:vAlign w:val="center"/>
          </w:tcPr>
          <w:p w:rsidR="00CB7581" w:rsidRPr="004240F2" w:rsidRDefault="00CB7581" w:rsidP="00CB7581">
            <w:pPr>
              <w:rPr>
                <w:rFonts w:ascii="Arial" w:hAnsi="Arial"/>
                <w:b/>
                <w:sz w:val="16"/>
                <w:szCs w:val="16"/>
              </w:rPr>
            </w:pPr>
            <w:r w:rsidRPr="004240F2">
              <w:rPr>
                <w:rFonts w:ascii="Arial" w:hAnsi="Arial"/>
                <w:b/>
                <w:sz w:val="16"/>
                <w:szCs w:val="16"/>
              </w:rPr>
              <w:t>P05A</w:t>
            </w:r>
          </w:p>
        </w:tc>
        <w:tc>
          <w:tcPr>
            <w:tcW w:w="7199" w:type="dxa"/>
            <w:shd w:val="clear" w:color="auto" w:fill="F2DBDB"/>
            <w:vAlign w:val="center"/>
          </w:tcPr>
          <w:p w:rsidR="00CB7581" w:rsidRPr="004240F2" w:rsidRDefault="00CB7581" w:rsidP="00CB7581">
            <w:pPr>
              <w:rPr>
                <w:rFonts w:ascii="Arial" w:hAnsi="Arial"/>
                <w:b/>
                <w:sz w:val="16"/>
                <w:szCs w:val="16"/>
              </w:rPr>
            </w:pPr>
            <w:r w:rsidRPr="004240F2">
              <w:rPr>
                <w:rFonts w:ascii="Arial" w:hAnsi="Arial"/>
                <w:b/>
                <w:sz w:val="16"/>
                <w:szCs w:val="16"/>
              </w:rPr>
              <w:t>Servis – Agendy</w:t>
            </w:r>
          </w:p>
          <w:p w:rsidR="00CB7581" w:rsidRPr="00D101C4" w:rsidRDefault="00CB7581" w:rsidP="00CB7581">
            <w:pPr>
              <w:rPr>
                <w:rFonts w:ascii="Arial" w:hAnsi="Arial"/>
                <w:sz w:val="16"/>
                <w:szCs w:val="16"/>
              </w:rPr>
            </w:pPr>
            <w:r w:rsidRPr="00D101C4">
              <w:rPr>
                <w:rFonts w:ascii="Arial" w:hAnsi="Arial"/>
                <w:sz w:val="16"/>
                <w:szCs w:val="16"/>
              </w:rPr>
              <w:t>OZP-ICIS-Studie-P05A-Seznam-požadavků-Servis-Agendy.xlsx</w:t>
            </w:r>
          </w:p>
        </w:tc>
      </w:tr>
      <w:tr w:rsidR="00682124" w:rsidRPr="00221F17" w:rsidTr="004240F2">
        <w:trPr>
          <w:trHeight w:val="170"/>
        </w:trPr>
        <w:tc>
          <w:tcPr>
            <w:tcW w:w="567" w:type="dxa"/>
            <w:vMerge/>
            <w:shd w:val="clear" w:color="auto" w:fill="FFFFFF"/>
            <w:vAlign w:val="center"/>
          </w:tcPr>
          <w:p w:rsidR="00CB7581" w:rsidRPr="004240F2" w:rsidRDefault="00CB7581" w:rsidP="00CB7581">
            <w:pPr>
              <w:rPr>
                <w:rFonts w:ascii="Arial" w:hAnsi="Arial"/>
                <w:b/>
                <w:sz w:val="16"/>
                <w:szCs w:val="16"/>
              </w:rPr>
            </w:pPr>
          </w:p>
        </w:tc>
        <w:tc>
          <w:tcPr>
            <w:tcW w:w="856" w:type="dxa"/>
            <w:shd w:val="clear" w:color="auto" w:fill="FFFFFF"/>
            <w:vAlign w:val="center"/>
          </w:tcPr>
          <w:p w:rsidR="00CB7581" w:rsidRPr="004240F2" w:rsidRDefault="00CB7581" w:rsidP="00CB7581">
            <w:pPr>
              <w:rPr>
                <w:rFonts w:ascii="Arial" w:hAnsi="Arial"/>
                <w:b/>
                <w:sz w:val="16"/>
                <w:szCs w:val="16"/>
              </w:rPr>
            </w:pPr>
            <w:r w:rsidRPr="004240F2">
              <w:rPr>
                <w:rFonts w:ascii="Arial" w:hAnsi="Arial"/>
                <w:b/>
                <w:sz w:val="16"/>
                <w:szCs w:val="16"/>
              </w:rPr>
              <w:t>P05B</w:t>
            </w:r>
          </w:p>
        </w:tc>
        <w:tc>
          <w:tcPr>
            <w:tcW w:w="7199" w:type="dxa"/>
            <w:shd w:val="clear" w:color="auto" w:fill="FFFFFF"/>
            <w:vAlign w:val="center"/>
          </w:tcPr>
          <w:p w:rsidR="00CB7581" w:rsidRPr="004240F2" w:rsidRDefault="00CB7581" w:rsidP="00CB7581">
            <w:pPr>
              <w:rPr>
                <w:rFonts w:ascii="Arial" w:hAnsi="Arial"/>
                <w:b/>
                <w:sz w:val="16"/>
                <w:szCs w:val="16"/>
              </w:rPr>
            </w:pPr>
            <w:r w:rsidRPr="004240F2">
              <w:rPr>
                <w:rFonts w:ascii="Arial" w:hAnsi="Arial"/>
                <w:b/>
                <w:sz w:val="16"/>
                <w:szCs w:val="16"/>
              </w:rPr>
              <w:t>Servis – Technologie</w:t>
            </w:r>
          </w:p>
          <w:p w:rsidR="00CB7581" w:rsidRPr="00D101C4" w:rsidRDefault="00CB7581" w:rsidP="00CB7581">
            <w:pPr>
              <w:rPr>
                <w:rFonts w:ascii="Arial" w:hAnsi="Arial"/>
                <w:sz w:val="16"/>
                <w:szCs w:val="16"/>
              </w:rPr>
            </w:pPr>
            <w:r w:rsidRPr="00D101C4">
              <w:rPr>
                <w:rFonts w:ascii="Arial" w:hAnsi="Arial"/>
                <w:sz w:val="16"/>
                <w:szCs w:val="16"/>
              </w:rPr>
              <w:t>OZP-ICIS-Studie-P05B-Seznam-požadavků-Servis-Technologie.xlsx</w:t>
            </w:r>
          </w:p>
        </w:tc>
      </w:tr>
      <w:tr w:rsidR="00682124" w:rsidRPr="00221F17" w:rsidTr="004240F2">
        <w:trPr>
          <w:trHeight w:val="170"/>
        </w:trPr>
        <w:tc>
          <w:tcPr>
            <w:tcW w:w="567" w:type="dxa"/>
            <w:vMerge/>
            <w:shd w:val="clear" w:color="auto" w:fill="F2DBDB"/>
            <w:vAlign w:val="center"/>
          </w:tcPr>
          <w:p w:rsidR="00CB7581" w:rsidRPr="004240F2" w:rsidRDefault="00CB7581" w:rsidP="00CB7581">
            <w:pPr>
              <w:rPr>
                <w:rFonts w:ascii="Arial" w:hAnsi="Arial"/>
                <w:b/>
                <w:sz w:val="16"/>
                <w:szCs w:val="16"/>
              </w:rPr>
            </w:pPr>
          </w:p>
        </w:tc>
        <w:tc>
          <w:tcPr>
            <w:tcW w:w="856" w:type="dxa"/>
            <w:shd w:val="clear" w:color="auto" w:fill="F2DBDB"/>
            <w:vAlign w:val="center"/>
          </w:tcPr>
          <w:p w:rsidR="00CB7581" w:rsidRPr="004240F2" w:rsidRDefault="00CB7581" w:rsidP="00CB7581">
            <w:pPr>
              <w:rPr>
                <w:rFonts w:ascii="Arial" w:hAnsi="Arial"/>
                <w:b/>
                <w:sz w:val="16"/>
                <w:szCs w:val="16"/>
              </w:rPr>
            </w:pPr>
            <w:r w:rsidRPr="004240F2">
              <w:rPr>
                <w:rFonts w:ascii="Arial" w:hAnsi="Arial"/>
                <w:b/>
                <w:sz w:val="16"/>
                <w:szCs w:val="16"/>
              </w:rPr>
              <w:t>P06</w:t>
            </w:r>
          </w:p>
        </w:tc>
        <w:tc>
          <w:tcPr>
            <w:tcW w:w="7199" w:type="dxa"/>
            <w:shd w:val="clear" w:color="auto" w:fill="F2DBDB"/>
            <w:vAlign w:val="center"/>
          </w:tcPr>
          <w:p w:rsidR="00CB7581" w:rsidRPr="004240F2" w:rsidRDefault="00CB7581" w:rsidP="00CB7581">
            <w:pPr>
              <w:rPr>
                <w:rFonts w:ascii="Arial" w:hAnsi="Arial"/>
                <w:b/>
                <w:sz w:val="16"/>
                <w:szCs w:val="16"/>
              </w:rPr>
            </w:pPr>
            <w:r w:rsidRPr="004240F2">
              <w:rPr>
                <w:rFonts w:ascii="Arial" w:hAnsi="Arial"/>
                <w:b/>
                <w:sz w:val="16"/>
                <w:szCs w:val="16"/>
              </w:rPr>
              <w:t>Výběr pojistného</w:t>
            </w:r>
          </w:p>
          <w:p w:rsidR="00CB7581" w:rsidRPr="00D101C4" w:rsidRDefault="00CB7581" w:rsidP="00CB7581">
            <w:pPr>
              <w:rPr>
                <w:rFonts w:ascii="Arial" w:hAnsi="Arial"/>
                <w:sz w:val="16"/>
                <w:szCs w:val="16"/>
              </w:rPr>
            </w:pPr>
            <w:r w:rsidRPr="00D101C4">
              <w:rPr>
                <w:rFonts w:ascii="Arial" w:hAnsi="Arial"/>
                <w:sz w:val="16"/>
                <w:szCs w:val="16"/>
              </w:rPr>
              <w:t>OZP-ICIS-Studie-P06-Seznam-požadavků-Výběr-pojistného.xlsx</w:t>
            </w:r>
          </w:p>
        </w:tc>
      </w:tr>
    </w:tbl>
    <w:p w:rsidR="00CB7581" w:rsidRPr="00221F17" w:rsidRDefault="00CB7581" w:rsidP="00CB7581">
      <w:pPr>
        <w:rPr>
          <w:rFonts w:eastAsia="Calibri"/>
          <w:szCs w:val="22"/>
          <w:lang w:eastAsia="en-US"/>
        </w:rPr>
      </w:pPr>
    </w:p>
    <w:p w:rsidR="00CB7581" w:rsidRPr="00221F17" w:rsidRDefault="00CB7581" w:rsidP="00A4749D">
      <w:pPr>
        <w:numPr>
          <w:ilvl w:val="0"/>
          <w:numId w:val="3"/>
        </w:numPr>
        <w:ind w:left="284" w:hanging="284"/>
        <w:jc w:val="both"/>
        <w:rPr>
          <w:rFonts w:eastAsia="Calibri"/>
          <w:b/>
          <w:szCs w:val="22"/>
          <w:lang w:eastAsia="en-US"/>
        </w:rPr>
      </w:pPr>
      <w:r w:rsidRPr="00221F17">
        <w:rPr>
          <w:rFonts w:eastAsia="Calibri"/>
          <w:b/>
          <w:szCs w:val="22"/>
          <w:lang w:eastAsia="en-US"/>
        </w:rPr>
        <w:t>Specifikace požadovaných procesů realizovaných systémem ICIS</w:t>
      </w:r>
    </w:p>
    <w:p w:rsidR="00CB7581" w:rsidRPr="00221F17" w:rsidRDefault="00CB7581" w:rsidP="00A4749D">
      <w:pPr>
        <w:numPr>
          <w:ilvl w:val="0"/>
          <w:numId w:val="21"/>
        </w:numPr>
        <w:spacing w:before="120" w:after="120"/>
        <w:jc w:val="both"/>
        <w:rPr>
          <w:rFonts w:eastAsia="Calibri"/>
          <w:szCs w:val="22"/>
          <w:lang w:eastAsia="ar-SA"/>
        </w:rPr>
      </w:pPr>
      <w:r w:rsidRPr="00221F17">
        <w:rPr>
          <w:rFonts w:eastAsia="Calibri"/>
          <w:szCs w:val="22"/>
          <w:lang w:eastAsia="ar-SA"/>
        </w:rPr>
        <w:lastRenderedPageBreak/>
        <w:t xml:space="preserve">V rámci zpracování analýzy procesů byla využita notace BPMN (Business </w:t>
      </w:r>
      <w:proofErr w:type="spellStart"/>
      <w:r w:rsidRPr="00221F17">
        <w:rPr>
          <w:rFonts w:eastAsia="Calibri"/>
          <w:szCs w:val="22"/>
          <w:lang w:eastAsia="ar-SA"/>
        </w:rPr>
        <w:t>Process</w:t>
      </w:r>
      <w:proofErr w:type="spellEnd"/>
      <w:r w:rsidRPr="00221F17">
        <w:rPr>
          <w:rFonts w:eastAsia="Calibri"/>
          <w:szCs w:val="22"/>
          <w:lang w:eastAsia="ar-SA"/>
        </w:rPr>
        <w:t xml:space="preserve"> Model and </w:t>
      </w:r>
      <w:proofErr w:type="spellStart"/>
      <w:r w:rsidRPr="00221F17">
        <w:rPr>
          <w:rFonts w:eastAsia="Calibri"/>
          <w:szCs w:val="22"/>
          <w:lang w:eastAsia="ar-SA"/>
        </w:rPr>
        <w:t>Notation</w:t>
      </w:r>
      <w:proofErr w:type="spellEnd"/>
      <w:r w:rsidRPr="00221F17">
        <w:rPr>
          <w:rFonts w:eastAsia="Calibri"/>
          <w:szCs w:val="22"/>
          <w:lang w:eastAsia="ar-SA"/>
        </w:rPr>
        <w:t>) včetně doporučené metodiky přístupu k této analýze. Na nosiči dat dle bodu 1 této přílohy jsou uvedena jednotlivá schémata spolu s popisy roztříděné podle základních oblastí, které jsou v rámci činnosti zdravotní pojišťovny požadovány.</w:t>
      </w:r>
    </w:p>
    <w:p w:rsidR="00CB7581" w:rsidRPr="00221F17" w:rsidRDefault="00CB7581" w:rsidP="00A4749D">
      <w:pPr>
        <w:numPr>
          <w:ilvl w:val="0"/>
          <w:numId w:val="21"/>
        </w:numPr>
        <w:spacing w:before="120" w:after="120"/>
        <w:jc w:val="both"/>
        <w:rPr>
          <w:rFonts w:eastAsia="Calibri"/>
          <w:szCs w:val="22"/>
          <w:lang w:eastAsia="ar-SA"/>
        </w:rPr>
      </w:pPr>
      <w:r w:rsidRPr="00221F17">
        <w:rPr>
          <w:rFonts w:eastAsia="Calibri"/>
          <w:szCs w:val="22"/>
          <w:lang w:eastAsia="ar-SA"/>
        </w:rPr>
        <w:t>Podle syntaxe BPMN existuje hierarchie v procesech, tj. existují tzv. vyšší procesy a nižší procesy v tom smyslu, že vyšší procesy se skládají z nižších procesů, resp. obráceně nižší procesy se skládají do vyšších procesů. Z terminologického hlediska je vedle pojmu „rozklad procesů“ používán také pojem „rozklad oblastí řešení“. Jedná se o dva typy diagramů:</w:t>
      </w:r>
    </w:p>
    <w:p w:rsidR="00CB7581" w:rsidRPr="00221F17" w:rsidRDefault="007A3186" w:rsidP="00A4749D">
      <w:pPr>
        <w:numPr>
          <w:ilvl w:val="0"/>
          <w:numId w:val="18"/>
        </w:numPr>
        <w:spacing w:before="120" w:after="120"/>
        <w:ind w:left="993" w:hanging="284"/>
        <w:jc w:val="both"/>
        <w:rPr>
          <w:rFonts w:eastAsia="Calibri"/>
          <w:szCs w:val="22"/>
          <w:lang w:eastAsia="ar-SA"/>
        </w:rPr>
      </w:pPr>
      <w:r>
        <w:rPr>
          <w:rFonts w:eastAsia="Calibri"/>
          <w:szCs w:val="22"/>
          <w:lang w:eastAsia="ar-SA"/>
        </w:rPr>
        <w:t>d</w:t>
      </w:r>
      <w:r w:rsidR="00CB7581" w:rsidRPr="00221F17">
        <w:rPr>
          <w:rFonts w:eastAsia="Calibri"/>
          <w:szCs w:val="22"/>
          <w:lang w:eastAsia="ar-SA"/>
        </w:rPr>
        <w:t>iagram rozkladu oblastí řešení (v této úrovni ještě neobsahuje procesní schéma)</w:t>
      </w:r>
      <w:r>
        <w:rPr>
          <w:rFonts w:eastAsia="Calibri"/>
          <w:szCs w:val="22"/>
          <w:lang w:eastAsia="ar-SA"/>
        </w:rPr>
        <w:t>,</w:t>
      </w:r>
    </w:p>
    <w:p w:rsidR="00CB7581" w:rsidRPr="00221F17" w:rsidRDefault="007A3186" w:rsidP="00A4749D">
      <w:pPr>
        <w:numPr>
          <w:ilvl w:val="0"/>
          <w:numId w:val="18"/>
        </w:numPr>
        <w:spacing w:before="120" w:after="120"/>
        <w:ind w:left="993" w:hanging="284"/>
        <w:jc w:val="both"/>
        <w:rPr>
          <w:rFonts w:eastAsia="Calibri"/>
          <w:szCs w:val="22"/>
          <w:lang w:eastAsia="ar-SA"/>
        </w:rPr>
      </w:pPr>
      <w:r>
        <w:rPr>
          <w:rFonts w:eastAsia="Calibri"/>
          <w:szCs w:val="22"/>
          <w:lang w:eastAsia="ar-SA"/>
        </w:rPr>
        <w:t>d</w:t>
      </w:r>
      <w:r w:rsidR="00CB7581" w:rsidRPr="00221F17">
        <w:rPr>
          <w:rFonts w:eastAsia="Calibri"/>
          <w:szCs w:val="22"/>
          <w:lang w:eastAsia="ar-SA"/>
        </w:rPr>
        <w:t>iagram popisu procesu</w:t>
      </w:r>
      <w:r>
        <w:rPr>
          <w:rFonts w:eastAsia="Calibri"/>
          <w:szCs w:val="22"/>
          <w:lang w:eastAsia="ar-SA"/>
        </w:rPr>
        <w:t>.</w:t>
      </w:r>
    </w:p>
    <w:p w:rsidR="00CB7581" w:rsidRPr="007A3186" w:rsidRDefault="00CB7581" w:rsidP="00A4749D">
      <w:pPr>
        <w:numPr>
          <w:ilvl w:val="0"/>
          <w:numId w:val="21"/>
        </w:numPr>
        <w:spacing w:before="120" w:after="120"/>
        <w:jc w:val="both"/>
        <w:rPr>
          <w:rFonts w:eastAsia="Calibri"/>
          <w:szCs w:val="22"/>
          <w:lang w:eastAsia="ar-SA"/>
        </w:rPr>
      </w:pPr>
      <w:r w:rsidRPr="007A3186">
        <w:rPr>
          <w:rFonts w:eastAsia="Calibri"/>
          <w:szCs w:val="22"/>
          <w:lang w:eastAsia="ar-SA"/>
        </w:rPr>
        <w:t xml:space="preserve">Metodika zpracování procesního modelu je uvedena </w:t>
      </w:r>
      <w:r w:rsidR="003B5162">
        <w:rPr>
          <w:rFonts w:eastAsia="Calibri"/>
          <w:szCs w:val="22"/>
          <w:lang w:eastAsia="ar-SA"/>
        </w:rPr>
        <w:t>v</w:t>
      </w:r>
      <w:r w:rsidR="00444631">
        <w:rPr>
          <w:rFonts w:eastAsia="Calibri"/>
          <w:szCs w:val="22"/>
          <w:lang w:eastAsia="ar-SA"/>
        </w:rPr>
        <w:t> bodu C</w:t>
      </w:r>
      <w:r w:rsidR="0019085B">
        <w:rPr>
          <w:rFonts w:eastAsia="Calibri"/>
          <w:szCs w:val="22"/>
          <w:lang w:eastAsia="ar-SA"/>
        </w:rPr>
        <w:t xml:space="preserve"> této přílohy</w:t>
      </w:r>
      <w:r w:rsidR="003B5162">
        <w:rPr>
          <w:rFonts w:eastAsia="Calibri"/>
          <w:szCs w:val="22"/>
          <w:lang w:eastAsia="ar-SA"/>
        </w:rPr>
        <w:t xml:space="preserve"> s názvem „Studie proveditelnosti“</w:t>
      </w:r>
      <w:r w:rsidR="00444631">
        <w:rPr>
          <w:rFonts w:eastAsia="Calibri"/>
          <w:szCs w:val="22"/>
          <w:lang w:eastAsia="ar-SA"/>
        </w:rPr>
        <w:t>.</w:t>
      </w:r>
    </w:p>
    <w:p w:rsidR="00CB7581" w:rsidRPr="00221F17" w:rsidRDefault="00CB7581" w:rsidP="00A4749D">
      <w:pPr>
        <w:numPr>
          <w:ilvl w:val="0"/>
          <w:numId w:val="21"/>
        </w:numPr>
        <w:spacing w:before="120" w:after="120"/>
        <w:jc w:val="both"/>
        <w:rPr>
          <w:rFonts w:eastAsia="Calibri"/>
          <w:szCs w:val="22"/>
          <w:lang w:eastAsia="ar-SA"/>
        </w:rPr>
      </w:pPr>
      <w:r w:rsidRPr="00221F17">
        <w:rPr>
          <w:rFonts w:eastAsia="Calibri"/>
          <w:szCs w:val="22"/>
          <w:lang w:eastAsia="ar-SA"/>
        </w:rPr>
        <w:t xml:space="preserve">Procesní model je vytvořen v nástroji </w:t>
      </w:r>
      <w:proofErr w:type="spellStart"/>
      <w:r w:rsidRPr="00221F17">
        <w:rPr>
          <w:rFonts w:eastAsia="Calibri"/>
          <w:szCs w:val="22"/>
          <w:lang w:eastAsia="ar-SA"/>
        </w:rPr>
        <w:t>Enterprise</w:t>
      </w:r>
      <w:proofErr w:type="spellEnd"/>
      <w:r w:rsidRPr="00221F17">
        <w:rPr>
          <w:rFonts w:eastAsia="Calibri"/>
          <w:szCs w:val="22"/>
          <w:lang w:eastAsia="ar-SA"/>
        </w:rPr>
        <w:t xml:space="preserve"> </w:t>
      </w:r>
      <w:proofErr w:type="spellStart"/>
      <w:r w:rsidRPr="00221F17">
        <w:rPr>
          <w:rFonts w:eastAsia="Calibri"/>
          <w:szCs w:val="22"/>
          <w:lang w:eastAsia="ar-SA"/>
        </w:rPr>
        <w:t>Architect</w:t>
      </w:r>
      <w:proofErr w:type="spellEnd"/>
      <w:r w:rsidRPr="00221F17">
        <w:rPr>
          <w:rFonts w:eastAsia="Calibri"/>
          <w:szCs w:val="22"/>
          <w:lang w:eastAsia="ar-SA"/>
        </w:rPr>
        <w:t xml:space="preserve"> a schémata na uvedeném nosiči jsou ve formátu DOCX.</w:t>
      </w:r>
    </w:p>
    <w:p w:rsidR="00CB7581" w:rsidRDefault="00CB7581" w:rsidP="00A4749D">
      <w:pPr>
        <w:numPr>
          <w:ilvl w:val="0"/>
          <w:numId w:val="21"/>
        </w:numPr>
        <w:spacing w:before="120" w:after="120"/>
        <w:jc w:val="both"/>
        <w:rPr>
          <w:rFonts w:eastAsia="Calibri"/>
          <w:szCs w:val="22"/>
          <w:lang w:eastAsia="ar-SA"/>
        </w:rPr>
      </w:pPr>
      <w:r w:rsidRPr="00221F17">
        <w:rPr>
          <w:rFonts w:eastAsia="Calibri"/>
          <w:szCs w:val="22"/>
          <w:lang w:eastAsia="ar-SA"/>
        </w:rPr>
        <w:t>Procesní model je rozdělen podle první úrovně rozkladu oblastí řešení do jednotlivých samostatných příloh podle následujícího schématu:</w:t>
      </w:r>
    </w:p>
    <w:p w:rsidR="00CB7581" w:rsidRDefault="00CB7581" w:rsidP="00CB7581">
      <w:pPr>
        <w:ind w:left="720"/>
        <w:jc w:val="both"/>
        <w:rPr>
          <w:rFonts w:eastAsia="Calibri"/>
          <w:szCs w:val="22"/>
          <w:lang w:eastAsia="en-US"/>
        </w:rPr>
      </w:pPr>
    </w:p>
    <w:p w:rsidR="007A3186" w:rsidRDefault="007A3186" w:rsidP="00CB7581">
      <w:pPr>
        <w:ind w:left="720"/>
        <w:jc w:val="both"/>
        <w:rPr>
          <w:rFonts w:eastAsia="Calibri"/>
          <w:szCs w:val="22"/>
          <w:lang w:eastAsia="en-US"/>
        </w:rPr>
      </w:pPr>
    </w:p>
    <w:p w:rsidR="007A3186" w:rsidRDefault="007A3186" w:rsidP="00CB7581">
      <w:pPr>
        <w:ind w:left="720"/>
        <w:jc w:val="both"/>
        <w:rPr>
          <w:rFonts w:eastAsia="Calibri"/>
          <w:szCs w:val="22"/>
          <w:lang w:eastAsia="en-US"/>
        </w:rPr>
      </w:pPr>
    </w:p>
    <w:p w:rsidR="007A3186" w:rsidRPr="00221F17" w:rsidRDefault="007A3186" w:rsidP="00CB7581">
      <w:pPr>
        <w:ind w:left="720"/>
        <w:jc w:val="both"/>
        <w:rPr>
          <w:rFonts w:eastAsia="Calibri"/>
          <w:szCs w:val="22"/>
          <w:lang w:eastAsia="en-US"/>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612"/>
        <w:gridCol w:w="918"/>
        <w:gridCol w:w="7768"/>
      </w:tblGrid>
      <w:tr w:rsidR="00682124" w:rsidRPr="00221F17" w:rsidTr="00CB7581">
        <w:trPr>
          <w:trHeight w:val="345"/>
        </w:trPr>
        <w:tc>
          <w:tcPr>
            <w:tcW w:w="567" w:type="dxa"/>
            <w:shd w:val="clear" w:color="auto" w:fill="A50021"/>
            <w:vAlign w:val="center"/>
          </w:tcPr>
          <w:p w:rsidR="00CB7581" w:rsidRPr="00CB7581" w:rsidRDefault="00CB7581" w:rsidP="00CB7581">
            <w:pPr>
              <w:jc w:val="center"/>
              <w:rPr>
                <w:b/>
                <w:sz w:val="16"/>
                <w:szCs w:val="16"/>
              </w:rPr>
            </w:pPr>
          </w:p>
        </w:tc>
        <w:tc>
          <w:tcPr>
            <w:tcW w:w="851" w:type="dxa"/>
            <w:shd w:val="clear" w:color="auto" w:fill="A50021"/>
            <w:vAlign w:val="center"/>
            <w:hideMark/>
          </w:tcPr>
          <w:p w:rsidR="00CB7581" w:rsidRPr="00CB7581" w:rsidRDefault="00CB7581" w:rsidP="00CB7581">
            <w:pPr>
              <w:rPr>
                <w:b/>
                <w:sz w:val="16"/>
                <w:szCs w:val="16"/>
              </w:rPr>
            </w:pPr>
            <w:r w:rsidRPr="00CB7581">
              <w:rPr>
                <w:b/>
                <w:sz w:val="16"/>
                <w:szCs w:val="16"/>
              </w:rPr>
              <w:t>Kód</w:t>
            </w:r>
          </w:p>
        </w:tc>
        <w:tc>
          <w:tcPr>
            <w:tcW w:w="7199" w:type="dxa"/>
            <w:shd w:val="clear" w:color="auto" w:fill="A50021"/>
            <w:vAlign w:val="center"/>
            <w:hideMark/>
          </w:tcPr>
          <w:p w:rsidR="00CB7581" w:rsidRPr="00CB7581" w:rsidRDefault="00CB7581" w:rsidP="00CB7581">
            <w:pPr>
              <w:rPr>
                <w:b/>
                <w:sz w:val="16"/>
                <w:szCs w:val="16"/>
              </w:rPr>
            </w:pPr>
            <w:r w:rsidRPr="00CB7581">
              <w:rPr>
                <w:b/>
                <w:sz w:val="16"/>
                <w:szCs w:val="16"/>
              </w:rPr>
              <w:t xml:space="preserve">Oblast / Název přílohy </w:t>
            </w:r>
          </w:p>
        </w:tc>
      </w:tr>
      <w:tr w:rsidR="00682124" w:rsidRPr="00221F17" w:rsidTr="00CB7581">
        <w:trPr>
          <w:trHeight w:val="170"/>
        </w:trPr>
        <w:tc>
          <w:tcPr>
            <w:tcW w:w="567" w:type="dxa"/>
            <w:vMerge w:val="restart"/>
            <w:shd w:val="clear" w:color="auto" w:fill="E5B8B7"/>
            <w:textDirection w:val="btLr"/>
            <w:vAlign w:val="center"/>
          </w:tcPr>
          <w:p w:rsidR="00CB7581" w:rsidRPr="00CB7581" w:rsidRDefault="00CB7581" w:rsidP="00CB7581">
            <w:pPr>
              <w:ind w:left="113" w:right="113"/>
              <w:jc w:val="center"/>
              <w:rPr>
                <w:sz w:val="16"/>
                <w:szCs w:val="16"/>
              </w:rPr>
            </w:pPr>
            <w:r w:rsidRPr="00CB7581">
              <w:rPr>
                <w:b/>
                <w:sz w:val="16"/>
                <w:szCs w:val="16"/>
              </w:rPr>
              <w:t>Zdravotní pojišťovna</w:t>
            </w:r>
          </w:p>
        </w:tc>
        <w:tc>
          <w:tcPr>
            <w:tcW w:w="851" w:type="dxa"/>
            <w:shd w:val="clear" w:color="auto" w:fill="FFFFFF"/>
            <w:vAlign w:val="center"/>
          </w:tcPr>
          <w:p w:rsidR="00CB7581" w:rsidRPr="00CB7581" w:rsidRDefault="00CB7581" w:rsidP="00CB7581">
            <w:pPr>
              <w:rPr>
                <w:sz w:val="16"/>
                <w:szCs w:val="16"/>
              </w:rPr>
            </w:pPr>
            <w:r w:rsidRPr="00CB7581">
              <w:rPr>
                <w:sz w:val="16"/>
                <w:szCs w:val="16"/>
              </w:rPr>
              <w:t>P07</w:t>
            </w:r>
          </w:p>
        </w:tc>
        <w:tc>
          <w:tcPr>
            <w:tcW w:w="7199" w:type="dxa"/>
            <w:shd w:val="clear" w:color="auto" w:fill="FFFFFF"/>
            <w:vAlign w:val="center"/>
          </w:tcPr>
          <w:p w:rsidR="00CB7581" w:rsidRPr="00CB7581" w:rsidRDefault="00CB7581" w:rsidP="00CB7581">
            <w:pPr>
              <w:rPr>
                <w:b/>
                <w:sz w:val="16"/>
                <w:szCs w:val="16"/>
              </w:rPr>
            </w:pPr>
            <w:r w:rsidRPr="00CB7581">
              <w:rPr>
                <w:b/>
                <w:sz w:val="16"/>
                <w:szCs w:val="16"/>
              </w:rPr>
              <w:t>Finance</w:t>
            </w:r>
          </w:p>
          <w:p w:rsidR="00CB7581" w:rsidRPr="00CB7581" w:rsidRDefault="00CB7581" w:rsidP="00CB7581">
            <w:pPr>
              <w:rPr>
                <w:sz w:val="16"/>
                <w:szCs w:val="16"/>
              </w:rPr>
            </w:pPr>
            <w:r w:rsidRPr="00CB7581">
              <w:rPr>
                <w:sz w:val="16"/>
                <w:szCs w:val="16"/>
              </w:rPr>
              <w:t>OZP-ICIS-Studie-P07-Procesní-model-Finance.docx</w:t>
            </w:r>
          </w:p>
        </w:tc>
      </w:tr>
      <w:tr w:rsidR="00682124" w:rsidRPr="00221F17" w:rsidTr="00CB7581">
        <w:trPr>
          <w:trHeight w:val="170"/>
        </w:trPr>
        <w:tc>
          <w:tcPr>
            <w:tcW w:w="567" w:type="dxa"/>
            <w:vMerge/>
            <w:shd w:val="clear" w:color="auto" w:fill="E5B8B7"/>
            <w:vAlign w:val="center"/>
          </w:tcPr>
          <w:p w:rsidR="00CB7581" w:rsidRPr="00CB7581" w:rsidRDefault="00CB7581" w:rsidP="00CB7581">
            <w:pPr>
              <w:rPr>
                <w:sz w:val="16"/>
                <w:szCs w:val="16"/>
              </w:rPr>
            </w:pPr>
          </w:p>
        </w:tc>
        <w:tc>
          <w:tcPr>
            <w:tcW w:w="851" w:type="dxa"/>
            <w:shd w:val="clear" w:color="auto" w:fill="F2DBDB"/>
            <w:vAlign w:val="center"/>
          </w:tcPr>
          <w:p w:rsidR="00CB7581" w:rsidRPr="00CB7581" w:rsidRDefault="00CB7581" w:rsidP="00CB7581">
            <w:pPr>
              <w:rPr>
                <w:sz w:val="16"/>
                <w:szCs w:val="16"/>
              </w:rPr>
            </w:pPr>
            <w:r w:rsidRPr="00CB7581">
              <w:rPr>
                <w:sz w:val="16"/>
                <w:szCs w:val="16"/>
              </w:rPr>
              <w:t>P08</w:t>
            </w:r>
          </w:p>
        </w:tc>
        <w:tc>
          <w:tcPr>
            <w:tcW w:w="7199" w:type="dxa"/>
            <w:shd w:val="clear" w:color="auto" w:fill="F2DBDB"/>
            <w:vAlign w:val="center"/>
          </w:tcPr>
          <w:p w:rsidR="00CB7581" w:rsidRPr="00CB7581" w:rsidRDefault="00CB7581" w:rsidP="00CB7581">
            <w:pPr>
              <w:rPr>
                <w:b/>
                <w:sz w:val="16"/>
                <w:szCs w:val="16"/>
              </w:rPr>
            </w:pPr>
            <w:r w:rsidRPr="00CB7581">
              <w:rPr>
                <w:b/>
                <w:sz w:val="16"/>
                <w:szCs w:val="16"/>
              </w:rPr>
              <w:t>Podpora řízení</w:t>
            </w:r>
          </w:p>
          <w:p w:rsidR="00CB7581" w:rsidRPr="00CB7581" w:rsidRDefault="00CB7581" w:rsidP="00CB7581">
            <w:pPr>
              <w:rPr>
                <w:sz w:val="16"/>
                <w:szCs w:val="16"/>
              </w:rPr>
            </w:pPr>
            <w:r w:rsidRPr="00CB7581">
              <w:rPr>
                <w:sz w:val="16"/>
                <w:szCs w:val="16"/>
              </w:rPr>
              <w:t>OZP-ICIS-Studie-P08-Procesní-model-Podpora-řízení.docx</w:t>
            </w:r>
          </w:p>
        </w:tc>
      </w:tr>
      <w:tr w:rsidR="00682124" w:rsidRPr="00221F17" w:rsidTr="00CB7581">
        <w:trPr>
          <w:trHeight w:val="170"/>
        </w:trPr>
        <w:tc>
          <w:tcPr>
            <w:tcW w:w="567" w:type="dxa"/>
            <w:vMerge/>
            <w:shd w:val="clear" w:color="auto" w:fill="E5B8B7"/>
            <w:vAlign w:val="center"/>
          </w:tcPr>
          <w:p w:rsidR="00CB7581" w:rsidRPr="00CB7581" w:rsidRDefault="00CB7581" w:rsidP="00CB7581">
            <w:pPr>
              <w:rPr>
                <w:sz w:val="16"/>
                <w:szCs w:val="16"/>
              </w:rPr>
            </w:pPr>
          </w:p>
        </w:tc>
        <w:tc>
          <w:tcPr>
            <w:tcW w:w="851" w:type="dxa"/>
            <w:shd w:val="clear" w:color="auto" w:fill="FFFFFF"/>
            <w:vAlign w:val="center"/>
          </w:tcPr>
          <w:p w:rsidR="00CB7581" w:rsidRPr="00CB7581" w:rsidRDefault="00CB7581" w:rsidP="00CB7581">
            <w:pPr>
              <w:rPr>
                <w:sz w:val="16"/>
                <w:szCs w:val="16"/>
              </w:rPr>
            </w:pPr>
            <w:r w:rsidRPr="00CB7581">
              <w:rPr>
                <w:sz w:val="16"/>
                <w:szCs w:val="16"/>
              </w:rPr>
              <w:t>P09A</w:t>
            </w:r>
          </w:p>
        </w:tc>
        <w:tc>
          <w:tcPr>
            <w:tcW w:w="7199" w:type="dxa"/>
            <w:shd w:val="clear" w:color="auto" w:fill="FFFFFF"/>
            <w:vAlign w:val="center"/>
          </w:tcPr>
          <w:p w:rsidR="00CB7581" w:rsidRPr="00CB7581" w:rsidRDefault="00CB7581" w:rsidP="00CB7581">
            <w:pPr>
              <w:rPr>
                <w:b/>
                <w:sz w:val="16"/>
                <w:szCs w:val="16"/>
              </w:rPr>
            </w:pPr>
            <w:r w:rsidRPr="00CB7581">
              <w:rPr>
                <w:b/>
                <w:sz w:val="16"/>
                <w:szCs w:val="16"/>
              </w:rPr>
              <w:t>Produktová část</w:t>
            </w:r>
          </w:p>
          <w:p w:rsidR="00CB7581" w:rsidRPr="00CB7581" w:rsidRDefault="00CB7581" w:rsidP="00CB7581">
            <w:pPr>
              <w:rPr>
                <w:sz w:val="16"/>
                <w:szCs w:val="16"/>
              </w:rPr>
            </w:pPr>
            <w:r w:rsidRPr="00CB7581">
              <w:rPr>
                <w:sz w:val="16"/>
                <w:szCs w:val="16"/>
              </w:rPr>
              <w:t>OZP-ICIS-Studie-P09A-Procesní-model-Produktová-část.docx</w:t>
            </w:r>
          </w:p>
        </w:tc>
      </w:tr>
      <w:tr w:rsidR="00682124" w:rsidRPr="00221F17" w:rsidTr="00CB7581">
        <w:trPr>
          <w:trHeight w:val="170"/>
        </w:trPr>
        <w:tc>
          <w:tcPr>
            <w:tcW w:w="567" w:type="dxa"/>
            <w:vMerge/>
            <w:shd w:val="clear" w:color="auto" w:fill="E5B8B7"/>
            <w:vAlign w:val="center"/>
          </w:tcPr>
          <w:p w:rsidR="00CB7581" w:rsidRPr="00CB7581" w:rsidRDefault="00CB7581" w:rsidP="00CB7581">
            <w:pPr>
              <w:rPr>
                <w:sz w:val="16"/>
                <w:szCs w:val="16"/>
              </w:rPr>
            </w:pPr>
          </w:p>
        </w:tc>
        <w:tc>
          <w:tcPr>
            <w:tcW w:w="851" w:type="dxa"/>
            <w:shd w:val="clear" w:color="auto" w:fill="F2DBDB"/>
            <w:vAlign w:val="center"/>
          </w:tcPr>
          <w:p w:rsidR="00CB7581" w:rsidRPr="00CB7581" w:rsidRDefault="00CB7581" w:rsidP="00CB7581">
            <w:pPr>
              <w:rPr>
                <w:sz w:val="16"/>
                <w:szCs w:val="16"/>
              </w:rPr>
            </w:pPr>
            <w:r w:rsidRPr="00CB7581">
              <w:rPr>
                <w:sz w:val="16"/>
                <w:szCs w:val="16"/>
              </w:rPr>
              <w:t>P09B</w:t>
            </w:r>
          </w:p>
        </w:tc>
        <w:tc>
          <w:tcPr>
            <w:tcW w:w="7199" w:type="dxa"/>
            <w:shd w:val="clear" w:color="auto" w:fill="F2DBDB"/>
            <w:vAlign w:val="center"/>
          </w:tcPr>
          <w:p w:rsidR="00CB7581" w:rsidRPr="00CB7581" w:rsidRDefault="00CB7581" w:rsidP="00CB7581">
            <w:pPr>
              <w:rPr>
                <w:b/>
                <w:sz w:val="16"/>
                <w:szCs w:val="16"/>
              </w:rPr>
            </w:pPr>
            <w:r w:rsidRPr="00CB7581">
              <w:rPr>
                <w:b/>
                <w:sz w:val="16"/>
                <w:szCs w:val="16"/>
              </w:rPr>
              <w:t>Výdajová část</w:t>
            </w:r>
          </w:p>
          <w:p w:rsidR="00CB7581" w:rsidRPr="00CB7581" w:rsidRDefault="00CB7581" w:rsidP="00CB7581">
            <w:pPr>
              <w:rPr>
                <w:sz w:val="16"/>
                <w:szCs w:val="16"/>
              </w:rPr>
            </w:pPr>
            <w:r w:rsidRPr="00CB7581">
              <w:rPr>
                <w:sz w:val="16"/>
                <w:szCs w:val="16"/>
              </w:rPr>
              <w:t>OZP-ICIS-Studie-P09B-Procesní-model-Výdajová-část.docx</w:t>
            </w:r>
          </w:p>
        </w:tc>
      </w:tr>
      <w:tr w:rsidR="00682124" w:rsidRPr="00221F17" w:rsidTr="00CB7581">
        <w:trPr>
          <w:trHeight w:val="170"/>
        </w:trPr>
        <w:tc>
          <w:tcPr>
            <w:tcW w:w="567" w:type="dxa"/>
            <w:vMerge/>
            <w:shd w:val="clear" w:color="auto" w:fill="E5B8B7"/>
            <w:vAlign w:val="center"/>
          </w:tcPr>
          <w:p w:rsidR="00CB7581" w:rsidRPr="00CB7581" w:rsidRDefault="00CB7581" w:rsidP="00CB7581">
            <w:pPr>
              <w:rPr>
                <w:sz w:val="16"/>
                <w:szCs w:val="16"/>
              </w:rPr>
            </w:pPr>
          </w:p>
        </w:tc>
        <w:tc>
          <w:tcPr>
            <w:tcW w:w="851" w:type="dxa"/>
            <w:shd w:val="clear" w:color="auto" w:fill="FFFFFF"/>
            <w:vAlign w:val="center"/>
          </w:tcPr>
          <w:p w:rsidR="00CB7581" w:rsidRPr="00CB7581" w:rsidRDefault="00CB7581" w:rsidP="00CB7581">
            <w:pPr>
              <w:rPr>
                <w:sz w:val="16"/>
                <w:szCs w:val="16"/>
              </w:rPr>
            </w:pPr>
            <w:r w:rsidRPr="00CB7581">
              <w:rPr>
                <w:sz w:val="16"/>
                <w:szCs w:val="16"/>
              </w:rPr>
              <w:t>P010</w:t>
            </w:r>
          </w:p>
        </w:tc>
        <w:tc>
          <w:tcPr>
            <w:tcW w:w="7199" w:type="dxa"/>
            <w:shd w:val="clear" w:color="auto" w:fill="FFFFFF"/>
            <w:vAlign w:val="center"/>
          </w:tcPr>
          <w:p w:rsidR="00CB7581" w:rsidRPr="00CB7581" w:rsidRDefault="00CB7581" w:rsidP="00CB7581">
            <w:pPr>
              <w:rPr>
                <w:b/>
                <w:sz w:val="16"/>
                <w:szCs w:val="16"/>
              </w:rPr>
            </w:pPr>
            <w:r w:rsidRPr="00CB7581">
              <w:rPr>
                <w:b/>
                <w:sz w:val="16"/>
                <w:szCs w:val="16"/>
              </w:rPr>
              <w:t>Registry</w:t>
            </w:r>
          </w:p>
          <w:p w:rsidR="00CB7581" w:rsidRPr="00CB7581" w:rsidRDefault="00CB7581" w:rsidP="00CB7581">
            <w:pPr>
              <w:rPr>
                <w:sz w:val="16"/>
                <w:szCs w:val="16"/>
              </w:rPr>
            </w:pPr>
            <w:r w:rsidRPr="00CB7581">
              <w:rPr>
                <w:sz w:val="16"/>
                <w:szCs w:val="16"/>
              </w:rPr>
              <w:t>OZP-ICIS-Studie-P10-Procesní-model-Registry.docx</w:t>
            </w:r>
          </w:p>
        </w:tc>
      </w:tr>
      <w:tr w:rsidR="00682124" w:rsidRPr="00221F17" w:rsidTr="00CB7581">
        <w:trPr>
          <w:trHeight w:val="170"/>
        </w:trPr>
        <w:tc>
          <w:tcPr>
            <w:tcW w:w="567" w:type="dxa"/>
            <w:vMerge/>
            <w:shd w:val="clear" w:color="auto" w:fill="E5B8B7"/>
            <w:vAlign w:val="center"/>
          </w:tcPr>
          <w:p w:rsidR="00CB7581" w:rsidRPr="00CB7581" w:rsidRDefault="00CB7581" w:rsidP="00CB7581">
            <w:pPr>
              <w:rPr>
                <w:sz w:val="16"/>
                <w:szCs w:val="16"/>
              </w:rPr>
            </w:pPr>
          </w:p>
        </w:tc>
        <w:tc>
          <w:tcPr>
            <w:tcW w:w="851" w:type="dxa"/>
            <w:shd w:val="clear" w:color="auto" w:fill="F2DBDB"/>
            <w:vAlign w:val="center"/>
          </w:tcPr>
          <w:p w:rsidR="00CB7581" w:rsidRPr="00CB7581" w:rsidRDefault="00CB7581" w:rsidP="00CB7581">
            <w:pPr>
              <w:rPr>
                <w:sz w:val="16"/>
                <w:szCs w:val="16"/>
              </w:rPr>
            </w:pPr>
            <w:r w:rsidRPr="00CB7581">
              <w:rPr>
                <w:sz w:val="16"/>
                <w:szCs w:val="16"/>
              </w:rPr>
              <w:t>P011A</w:t>
            </w:r>
          </w:p>
        </w:tc>
        <w:tc>
          <w:tcPr>
            <w:tcW w:w="7199" w:type="dxa"/>
            <w:shd w:val="clear" w:color="auto" w:fill="F2DBDB"/>
            <w:vAlign w:val="center"/>
          </w:tcPr>
          <w:p w:rsidR="00CB7581" w:rsidRPr="00CB7581" w:rsidRDefault="00CB7581" w:rsidP="00CB7581">
            <w:pPr>
              <w:rPr>
                <w:b/>
                <w:sz w:val="16"/>
                <w:szCs w:val="16"/>
              </w:rPr>
            </w:pPr>
            <w:r w:rsidRPr="00CB7581">
              <w:rPr>
                <w:b/>
                <w:sz w:val="16"/>
                <w:szCs w:val="16"/>
              </w:rPr>
              <w:t>Servis – Agendy</w:t>
            </w:r>
          </w:p>
          <w:p w:rsidR="00CB7581" w:rsidRPr="00CB7581" w:rsidRDefault="00CB7581" w:rsidP="00CB7581">
            <w:pPr>
              <w:rPr>
                <w:sz w:val="16"/>
                <w:szCs w:val="16"/>
              </w:rPr>
            </w:pPr>
            <w:r w:rsidRPr="00CB7581">
              <w:rPr>
                <w:sz w:val="16"/>
                <w:szCs w:val="16"/>
              </w:rPr>
              <w:t>OZP-ICIS-Studie-P11A-Procesní-model-Servis-Agendy.docx</w:t>
            </w:r>
          </w:p>
        </w:tc>
      </w:tr>
      <w:tr w:rsidR="00682124" w:rsidRPr="00221F17" w:rsidTr="00CB7581">
        <w:trPr>
          <w:trHeight w:val="170"/>
        </w:trPr>
        <w:tc>
          <w:tcPr>
            <w:tcW w:w="567" w:type="dxa"/>
            <w:vMerge/>
            <w:shd w:val="clear" w:color="auto" w:fill="E5B8B7"/>
            <w:vAlign w:val="center"/>
          </w:tcPr>
          <w:p w:rsidR="00CB7581" w:rsidRPr="00CB7581" w:rsidRDefault="00CB7581" w:rsidP="00CB7581">
            <w:pPr>
              <w:rPr>
                <w:sz w:val="16"/>
                <w:szCs w:val="16"/>
              </w:rPr>
            </w:pPr>
          </w:p>
        </w:tc>
        <w:tc>
          <w:tcPr>
            <w:tcW w:w="851" w:type="dxa"/>
            <w:shd w:val="clear" w:color="auto" w:fill="FFFFFF"/>
            <w:vAlign w:val="center"/>
          </w:tcPr>
          <w:p w:rsidR="00CB7581" w:rsidRPr="00CB7581" w:rsidRDefault="00CB7581" w:rsidP="00CB7581">
            <w:pPr>
              <w:rPr>
                <w:sz w:val="16"/>
                <w:szCs w:val="16"/>
              </w:rPr>
            </w:pPr>
            <w:r w:rsidRPr="00CB7581">
              <w:rPr>
                <w:sz w:val="16"/>
                <w:szCs w:val="16"/>
              </w:rPr>
              <w:t>P011B</w:t>
            </w:r>
          </w:p>
        </w:tc>
        <w:tc>
          <w:tcPr>
            <w:tcW w:w="7199" w:type="dxa"/>
            <w:shd w:val="clear" w:color="auto" w:fill="FFFFFF"/>
            <w:vAlign w:val="center"/>
          </w:tcPr>
          <w:p w:rsidR="00CB7581" w:rsidRPr="00CB7581" w:rsidRDefault="00CB7581" w:rsidP="00CB7581">
            <w:pPr>
              <w:rPr>
                <w:b/>
                <w:sz w:val="16"/>
                <w:szCs w:val="16"/>
              </w:rPr>
            </w:pPr>
            <w:r w:rsidRPr="00CB7581">
              <w:rPr>
                <w:b/>
                <w:sz w:val="16"/>
                <w:szCs w:val="16"/>
              </w:rPr>
              <w:t>Servis – Technologie</w:t>
            </w:r>
          </w:p>
          <w:p w:rsidR="00CB7581" w:rsidRPr="00CB7581" w:rsidRDefault="00CB7581" w:rsidP="00CB7581">
            <w:pPr>
              <w:rPr>
                <w:sz w:val="16"/>
                <w:szCs w:val="16"/>
              </w:rPr>
            </w:pPr>
            <w:r w:rsidRPr="00CB7581">
              <w:rPr>
                <w:sz w:val="16"/>
                <w:szCs w:val="16"/>
              </w:rPr>
              <w:t>OZP-ICIS-Studie-P11B-Procesní-model-Servis-Technologie.docx</w:t>
            </w:r>
          </w:p>
        </w:tc>
      </w:tr>
      <w:tr w:rsidR="00682124" w:rsidRPr="00221F17" w:rsidTr="00CB7581">
        <w:trPr>
          <w:trHeight w:val="170"/>
        </w:trPr>
        <w:tc>
          <w:tcPr>
            <w:tcW w:w="567" w:type="dxa"/>
            <w:vMerge/>
            <w:shd w:val="clear" w:color="auto" w:fill="E5B8B7"/>
            <w:vAlign w:val="center"/>
          </w:tcPr>
          <w:p w:rsidR="00CB7581" w:rsidRPr="00CB7581" w:rsidRDefault="00CB7581" w:rsidP="00CB7581">
            <w:pPr>
              <w:rPr>
                <w:sz w:val="16"/>
                <w:szCs w:val="16"/>
              </w:rPr>
            </w:pPr>
          </w:p>
        </w:tc>
        <w:tc>
          <w:tcPr>
            <w:tcW w:w="851" w:type="dxa"/>
            <w:shd w:val="clear" w:color="auto" w:fill="F2DBDB"/>
            <w:vAlign w:val="center"/>
          </w:tcPr>
          <w:p w:rsidR="00CB7581" w:rsidRPr="00CB7581" w:rsidRDefault="00CB7581" w:rsidP="00CB7581">
            <w:pPr>
              <w:rPr>
                <w:sz w:val="16"/>
                <w:szCs w:val="16"/>
              </w:rPr>
            </w:pPr>
            <w:r w:rsidRPr="00CB7581">
              <w:rPr>
                <w:sz w:val="16"/>
                <w:szCs w:val="16"/>
              </w:rPr>
              <w:t>P012</w:t>
            </w:r>
          </w:p>
        </w:tc>
        <w:tc>
          <w:tcPr>
            <w:tcW w:w="7199" w:type="dxa"/>
            <w:shd w:val="clear" w:color="auto" w:fill="F2DBDB"/>
            <w:vAlign w:val="center"/>
          </w:tcPr>
          <w:p w:rsidR="00CB7581" w:rsidRPr="00CB7581" w:rsidRDefault="00CB7581" w:rsidP="00CB7581">
            <w:pPr>
              <w:rPr>
                <w:b/>
                <w:sz w:val="16"/>
                <w:szCs w:val="16"/>
              </w:rPr>
            </w:pPr>
            <w:r w:rsidRPr="00CB7581">
              <w:rPr>
                <w:b/>
                <w:sz w:val="16"/>
                <w:szCs w:val="16"/>
              </w:rPr>
              <w:t>Výběr pojistného</w:t>
            </w:r>
          </w:p>
          <w:p w:rsidR="00CB7581" w:rsidRPr="00CB7581" w:rsidRDefault="00CB7581" w:rsidP="00CB7581">
            <w:pPr>
              <w:rPr>
                <w:sz w:val="16"/>
                <w:szCs w:val="16"/>
              </w:rPr>
            </w:pPr>
            <w:r w:rsidRPr="00CB7581">
              <w:rPr>
                <w:sz w:val="16"/>
                <w:szCs w:val="16"/>
              </w:rPr>
              <w:t>OZP-ICIS-Studie-P12-Procesní-model-Výběr-pojistného.docx</w:t>
            </w:r>
          </w:p>
        </w:tc>
      </w:tr>
    </w:tbl>
    <w:p w:rsidR="00CB7581" w:rsidRPr="00221F17" w:rsidRDefault="00CB7581" w:rsidP="00CB7581">
      <w:pPr>
        <w:ind w:left="284"/>
        <w:jc w:val="both"/>
        <w:rPr>
          <w:rFonts w:eastAsia="Calibri"/>
          <w:szCs w:val="22"/>
          <w:lang w:eastAsia="en-US"/>
        </w:rPr>
      </w:pPr>
    </w:p>
    <w:p w:rsidR="00CB7581" w:rsidRPr="00221F17" w:rsidRDefault="00CB7581" w:rsidP="00A4749D">
      <w:pPr>
        <w:numPr>
          <w:ilvl w:val="0"/>
          <w:numId w:val="3"/>
        </w:numPr>
        <w:ind w:left="284" w:hanging="284"/>
        <w:jc w:val="both"/>
        <w:rPr>
          <w:rFonts w:eastAsia="Calibri"/>
          <w:b/>
          <w:szCs w:val="22"/>
          <w:lang w:eastAsia="en-US"/>
        </w:rPr>
      </w:pPr>
      <w:r w:rsidRPr="00221F17">
        <w:rPr>
          <w:rFonts w:eastAsia="Calibri"/>
          <w:b/>
          <w:szCs w:val="22"/>
          <w:lang w:eastAsia="en-US"/>
        </w:rPr>
        <w:t>Funkční specifikace systému ICIS</w:t>
      </w:r>
    </w:p>
    <w:p w:rsidR="00CB7581" w:rsidRDefault="00CB7581" w:rsidP="00A4749D">
      <w:pPr>
        <w:numPr>
          <w:ilvl w:val="0"/>
          <w:numId w:val="22"/>
        </w:numPr>
        <w:spacing w:before="120" w:after="120"/>
        <w:jc w:val="both"/>
        <w:rPr>
          <w:rFonts w:eastAsia="Calibri"/>
          <w:szCs w:val="22"/>
          <w:lang w:eastAsia="ar-SA"/>
        </w:rPr>
      </w:pPr>
      <w:r w:rsidRPr="00221F17">
        <w:rPr>
          <w:rFonts w:eastAsia="Calibri"/>
          <w:szCs w:val="22"/>
          <w:lang w:eastAsia="ar-SA"/>
        </w:rPr>
        <w:t>V této příloze jsou specifikovány funkce ICIS resp. pro přehlednost a zachování čitelnosti dokumentu jsou funkce uloženy v samostatných přílohách ve zdrojových souborech XLSX. Funkce jsou rozděleny podle oblastí řešení do jednotlivých samostatných příloh podle následujícího schématu:</w:t>
      </w:r>
    </w:p>
    <w:p w:rsidR="0054307F" w:rsidRDefault="0054307F" w:rsidP="00CB7581">
      <w:pPr>
        <w:ind w:left="720"/>
        <w:jc w:val="both"/>
        <w:rPr>
          <w:rFonts w:eastAsia="Calibri"/>
          <w:szCs w:val="22"/>
          <w:lang w:eastAsia="en-US"/>
        </w:rPr>
      </w:pPr>
    </w:p>
    <w:p w:rsidR="00F000F7" w:rsidRDefault="00F000F7" w:rsidP="00CB7581">
      <w:pPr>
        <w:ind w:left="720"/>
        <w:jc w:val="both"/>
        <w:rPr>
          <w:rFonts w:eastAsia="Calibri"/>
          <w:szCs w:val="22"/>
          <w:lang w:eastAsia="en-US"/>
        </w:rPr>
      </w:pPr>
    </w:p>
    <w:p w:rsidR="00F000F7" w:rsidRDefault="00F000F7" w:rsidP="00CB7581">
      <w:pPr>
        <w:ind w:left="720"/>
        <w:jc w:val="both"/>
        <w:rPr>
          <w:rFonts w:eastAsia="Calibri"/>
          <w:szCs w:val="22"/>
          <w:lang w:eastAsia="en-US"/>
        </w:rPr>
      </w:pPr>
    </w:p>
    <w:p w:rsidR="00F000F7" w:rsidRPr="00221F17" w:rsidRDefault="00F000F7" w:rsidP="00CB7581">
      <w:pPr>
        <w:ind w:left="720"/>
        <w:jc w:val="both"/>
        <w:rPr>
          <w:rFonts w:eastAsia="Calibri"/>
          <w:szCs w:val="22"/>
          <w:lang w:eastAsia="en-US"/>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612"/>
        <w:gridCol w:w="923"/>
        <w:gridCol w:w="7683"/>
      </w:tblGrid>
      <w:tr w:rsidR="00682124" w:rsidRPr="00221F17" w:rsidTr="00CB7581">
        <w:tc>
          <w:tcPr>
            <w:tcW w:w="593" w:type="dxa"/>
            <w:shd w:val="clear" w:color="auto" w:fill="A50021"/>
            <w:vAlign w:val="center"/>
          </w:tcPr>
          <w:p w:rsidR="00CB7581" w:rsidRPr="00CB7581" w:rsidRDefault="00CB7581" w:rsidP="00CB7581">
            <w:pPr>
              <w:rPr>
                <w:b/>
                <w:sz w:val="16"/>
                <w:szCs w:val="16"/>
              </w:rPr>
            </w:pPr>
          </w:p>
        </w:tc>
        <w:tc>
          <w:tcPr>
            <w:tcW w:w="895" w:type="dxa"/>
            <w:shd w:val="clear" w:color="auto" w:fill="A50021"/>
            <w:vAlign w:val="center"/>
            <w:hideMark/>
          </w:tcPr>
          <w:p w:rsidR="00CB7581" w:rsidRPr="00CB7581" w:rsidRDefault="00CB7581" w:rsidP="00CB7581">
            <w:pPr>
              <w:rPr>
                <w:b/>
                <w:sz w:val="16"/>
                <w:szCs w:val="16"/>
              </w:rPr>
            </w:pPr>
            <w:r w:rsidRPr="00CB7581">
              <w:rPr>
                <w:b/>
                <w:sz w:val="16"/>
                <w:szCs w:val="16"/>
              </w:rPr>
              <w:t>Kód</w:t>
            </w:r>
          </w:p>
        </w:tc>
        <w:tc>
          <w:tcPr>
            <w:tcW w:w="7447" w:type="dxa"/>
            <w:shd w:val="clear" w:color="auto" w:fill="A50021"/>
            <w:vAlign w:val="center"/>
            <w:hideMark/>
          </w:tcPr>
          <w:p w:rsidR="00CB7581" w:rsidRPr="00CB7581" w:rsidRDefault="00CB7581" w:rsidP="00CB7581">
            <w:pPr>
              <w:rPr>
                <w:b/>
                <w:sz w:val="16"/>
                <w:szCs w:val="16"/>
              </w:rPr>
            </w:pPr>
            <w:r w:rsidRPr="00CB7581">
              <w:rPr>
                <w:b/>
                <w:sz w:val="16"/>
                <w:szCs w:val="16"/>
              </w:rPr>
              <w:t>Oblast / Název přílohy</w:t>
            </w:r>
          </w:p>
        </w:tc>
      </w:tr>
      <w:tr w:rsidR="00682124" w:rsidRPr="00221F17" w:rsidTr="00CB7581">
        <w:tc>
          <w:tcPr>
            <w:tcW w:w="593" w:type="dxa"/>
            <w:vMerge w:val="restart"/>
            <w:shd w:val="clear" w:color="auto" w:fill="E5B8B7"/>
            <w:textDirection w:val="btLr"/>
            <w:vAlign w:val="center"/>
          </w:tcPr>
          <w:p w:rsidR="00CB7581" w:rsidRPr="00CB7581" w:rsidRDefault="00CB7581" w:rsidP="00CB7581">
            <w:pPr>
              <w:ind w:left="113" w:right="113"/>
              <w:jc w:val="center"/>
              <w:rPr>
                <w:b/>
                <w:sz w:val="16"/>
                <w:szCs w:val="16"/>
              </w:rPr>
            </w:pPr>
            <w:r w:rsidRPr="00CB7581">
              <w:rPr>
                <w:b/>
                <w:sz w:val="16"/>
                <w:szCs w:val="16"/>
              </w:rPr>
              <w:t>Zdravotní pojišťovna</w:t>
            </w:r>
          </w:p>
        </w:tc>
        <w:tc>
          <w:tcPr>
            <w:tcW w:w="895" w:type="dxa"/>
            <w:shd w:val="clear" w:color="auto" w:fill="FFFFFF"/>
            <w:vAlign w:val="center"/>
            <w:hideMark/>
          </w:tcPr>
          <w:p w:rsidR="00CB7581" w:rsidRPr="00CB7581" w:rsidRDefault="00CB7581" w:rsidP="00CB7581">
            <w:pPr>
              <w:rPr>
                <w:sz w:val="16"/>
                <w:szCs w:val="16"/>
              </w:rPr>
            </w:pPr>
            <w:r w:rsidRPr="00CB7581">
              <w:rPr>
                <w:sz w:val="16"/>
                <w:szCs w:val="16"/>
              </w:rPr>
              <w:t>P13</w:t>
            </w:r>
          </w:p>
        </w:tc>
        <w:tc>
          <w:tcPr>
            <w:tcW w:w="7447" w:type="dxa"/>
            <w:shd w:val="clear" w:color="auto" w:fill="FFFFFF"/>
            <w:vAlign w:val="center"/>
          </w:tcPr>
          <w:p w:rsidR="00CB7581" w:rsidRPr="00CB7581" w:rsidRDefault="00CB7581" w:rsidP="00CB7581">
            <w:pPr>
              <w:rPr>
                <w:b/>
                <w:sz w:val="16"/>
                <w:szCs w:val="16"/>
              </w:rPr>
            </w:pPr>
            <w:r w:rsidRPr="00CB7581">
              <w:rPr>
                <w:b/>
                <w:sz w:val="16"/>
                <w:szCs w:val="16"/>
              </w:rPr>
              <w:t>Finance</w:t>
            </w:r>
          </w:p>
          <w:p w:rsidR="00CB7581" w:rsidRPr="00CB7581" w:rsidRDefault="00CB7581" w:rsidP="00CB7581">
            <w:pPr>
              <w:rPr>
                <w:sz w:val="16"/>
                <w:szCs w:val="16"/>
              </w:rPr>
            </w:pPr>
            <w:r w:rsidRPr="00CB7581">
              <w:rPr>
                <w:sz w:val="16"/>
                <w:szCs w:val="16"/>
              </w:rPr>
              <w:t>OZP-ICIS-Studie-P13-Seznam-funkcí-Finance.xlsx</w:t>
            </w:r>
          </w:p>
        </w:tc>
      </w:tr>
      <w:tr w:rsidR="00682124" w:rsidRPr="00221F17" w:rsidTr="00CB7581">
        <w:tc>
          <w:tcPr>
            <w:tcW w:w="593" w:type="dxa"/>
            <w:vMerge/>
            <w:shd w:val="clear" w:color="auto" w:fill="E5B8B7"/>
            <w:vAlign w:val="center"/>
          </w:tcPr>
          <w:p w:rsidR="00CB7581" w:rsidRPr="00CB7581" w:rsidRDefault="00CB7581" w:rsidP="00CB7581">
            <w:pPr>
              <w:rPr>
                <w:sz w:val="16"/>
                <w:szCs w:val="16"/>
              </w:rPr>
            </w:pPr>
          </w:p>
        </w:tc>
        <w:tc>
          <w:tcPr>
            <w:tcW w:w="895" w:type="dxa"/>
            <w:shd w:val="clear" w:color="auto" w:fill="F2DBDB"/>
            <w:vAlign w:val="center"/>
            <w:hideMark/>
          </w:tcPr>
          <w:p w:rsidR="00CB7581" w:rsidRPr="00CB7581" w:rsidRDefault="00CB7581" w:rsidP="00CB7581">
            <w:pPr>
              <w:rPr>
                <w:sz w:val="16"/>
                <w:szCs w:val="16"/>
              </w:rPr>
            </w:pPr>
            <w:r w:rsidRPr="00CB7581">
              <w:rPr>
                <w:sz w:val="16"/>
                <w:szCs w:val="16"/>
              </w:rPr>
              <w:t>P14</w:t>
            </w:r>
          </w:p>
        </w:tc>
        <w:tc>
          <w:tcPr>
            <w:tcW w:w="7447" w:type="dxa"/>
            <w:shd w:val="clear" w:color="auto" w:fill="F2DBDB"/>
            <w:vAlign w:val="center"/>
          </w:tcPr>
          <w:p w:rsidR="00CB7581" w:rsidRPr="00CB7581" w:rsidRDefault="00CB7581" w:rsidP="00CB7581">
            <w:pPr>
              <w:rPr>
                <w:b/>
                <w:sz w:val="16"/>
                <w:szCs w:val="16"/>
              </w:rPr>
            </w:pPr>
            <w:r w:rsidRPr="00CB7581">
              <w:rPr>
                <w:b/>
                <w:sz w:val="16"/>
                <w:szCs w:val="16"/>
              </w:rPr>
              <w:t>Podpora řízení</w:t>
            </w:r>
          </w:p>
          <w:p w:rsidR="00CB7581" w:rsidRPr="00CB7581" w:rsidRDefault="00CB7581" w:rsidP="00CB7581">
            <w:pPr>
              <w:rPr>
                <w:sz w:val="16"/>
                <w:szCs w:val="16"/>
              </w:rPr>
            </w:pPr>
            <w:r w:rsidRPr="00CB7581">
              <w:rPr>
                <w:sz w:val="16"/>
                <w:szCs w:val="16"/>
              </w:rPr>
              <w:t>OZP-ICIS-Studie-P14-Seznam-funkcí-Podpora-řízení.xlsx</w:t>
            </w:r>
          </w:p>
        </w:tc>
      </w:tr>
      <w:tr w:rsidR="00682124" w:rsidRPr="00221F17" w:rsidTr="00CB7581">
        <w:tc>
          <w:tcPr>
            <w:tcW w:w="593" w:type="dxa"/>
            <w:vMerge/>
            <w:shd w:val="clear" w:color="auto" w:fill="E5B8B7"/>
            <w:vAlign w:val="center"/>
          </w:tcPr>
          <w:p w:rsidR="00CB7581" w:rsidRPr="00CB7581" w:rsidRDefault="00CB7581" w:rsidP="00CB7581">
            <w:pPr>
              <w:rPr>
                <w:sz w:val="16"/>
                <w:szCs w:val="16"/>
              </w:rPr>
            </w:pPr>
          </w:p>
        </w:tc>
        <w:tc>
          <w:tcPr>
            <w:tcW w:w="895" w:type="dxa"/>
            <w:shd w:val="clear" w:color="auto" w:fill="FFFFFF"/>
            <w:vAlign w:val="center"/>
            <w:hideMark/>
          </w:tcPr>
          <w:p w:rsidR="00CB7581" w:rsidRPr="00CB7581" w:rsidRDefault="00CB7581" w:rsidP="00CB7581">
            <w:pPr>
              <w:rPr>
                <w:sz w:val="16"/>
                <w:szCs w:val="16"/>
              </w:rPr>
            </w:pPr>
            <w:r w:rsidRPr="00CB7581">
              <w:rPr>
                <w:sz w:val="16"/>
                <w:szCs w:val="16"/>
              </w:rPr>
              <w:t>P15A</w:t>
            </w:r>
          </w:p>
        </w:tc>
        <w:tc>
          <w:tcPr>
            <w:tcW w:w="7447" w:type="dxa"/>
            <w:shd w:val="clear" w:color="auto" w:fill="FFFFFF"/>
            <w:vAlign w:val="center"/>
          </w:tcPr>
          <w:p w:rsidR="00CB7581" w:rsidRPr="00CB7581" w:rsidRDefault="00CB7581" w:rsidP="00CB7581">
            <w:pPr>
              <w:rPr>
                <w:b/>
                <w:sz w:val="16"/>
                <w:szCs w:val="16"/>
              </w:rPr>
            </w:pPr>
            <w:r w:rsidRPr="00CB7581">
              <w:rPr>
                <w:b/>
                <w:sz w:val="16"/>
                <w:szCs w:val="16"/>
              </w:rPr>
              <w:t>Produktová část</w:t>
            </w:r>
          </w:p>
          <w:p w:rsidR="00CB7581" w:rsidRPr="00CB7581" w:rsidRDefault="00CB7581" w:rsidP="00CB7581">
            <w:pPr>
              <w:rPr>
                <w:sz w:val="16"/>
                <w:szCs w:val="16"/>
              </w:rPr>
            </w:pPr>
            <w:r w:rsidRPr="00CB7581">
              <w:rPr>
                <w:sz w:val="16"/>
                <w:szCs w:val="16"/>
              </w:rPr>
              <w:t>OZP-ICIS-Studie-P15A-Seznam-funkcí-Produktová-část.xlsx</w:t>
            </w:r>
          </w:p>
        </w:tc>
      </w:tr>
      <w:tr w:rsidR="00682124" w:rsidRPr="00221F17" w:rsidTr="00CB7581">
        <w:tc>
          <w:tcPr>
            <w:tcW w:w="593" w:type="dxa"/>
            <w:vMerge/>
            <w:shd w:val="clear" w:color="auto" w:fill="E5B8B7"/>
            <w:vAlign w:val="center"/>
          </w:tcPr>
          <w:p w:rsidR="00CB7581" w:rsidRPr="00CB7581" w:rsidRDefault="00CB7581" w:rsidP="00CB7581">
            <w:pPr>
              <w:rPr>
                <w:sz w:val="16"/>
                <w:szCs w:val="16"/>
              </w:rPr>
            </w:pPr>
          </w:p>
        </w:tc>
        <w:tc>
          <w:tcPr>
            <w:tcW w:w="895" w:type="dxa"/>
            <w:shd w:val="clear" w:color="auto" w:fill="F2DBDB"/>
            <w:vAlign w:val="center"/>
          </w:tcPr>
          <w:p w:rsidR="00CB7581" w:rsidRPr="00CB7581" w:rsidRDefault="00CB7581" w:rsidP="00CB7581">
            <w:pPr>
              <w:rPr>
                <w:sz w:val="16"/>
                <w:szCs w:val="16"/>
              </w:rPr>
            </w:pPr>
            <w:r w:rsidRPr="00CB7581">
              <w:rPr>
                <w:sz w:val="16"/>
                <w:szCs w:val="16"/>
              </w:rPr>
              <w:t>P15B</w:t>
            </w:r>
          </w:p>
        </w:tc>
        <w:tc>
          <w:tcPr>
            <w:tcW w:w="7447" w:type="dxa"/>
            <w:shd w:val="clear" w:color="auto" w:fill="F2DBDB"/>
            <w:vAlign w:val="center"/>
          </w:tcPr>
          <w:p w:rsidR="00CB7581" w:rsidRPr="00CB7581" w:rsidRDefault="00CB7581" w:rsidP="00CB7581">
            <w:pPr>
              <w:rPr>
                <w:b/>
                <w:sz w:val="16"/>
                <w:szCs w:val="16"/>
              </w:rPr>
            </w:pPr>
            <w:r w:rsidRPr="00CB7581">
              <w:rPr>
                <w:b/>
                <w:sz w:val="16"/>
                <w:szCs w:val="16"/>
              </w:rPr>
              <w:t>Výdajová část</w:t>
            </w:r>
          </w:p>
          <w:p w:rsidR="00CB7581" w:rsidRPr="00CB7581" w:rsidRDefault="00CB7581" w:rsidP="00CB7581">
            <w:pPr>
              <w:rPr>
                <w:sz w:val="16"/>
                <w:szCs w:val="16"/>
              </w:rPr>
            </w:pPr>
            <w:r w:rsidRPr="00CB7581">
              <w:rPr>
                <w:sz w:val="16"/>
                <w:szCs w:val="16"/>
              </w:rPr>
              <w:t>OZP-ICIS-Studie-P15B-Seznam-funkcí-Výdajová-část.xlsx</w:t>
            </w:r>
          </w:p>
        </w:tc>
      </w:tr>
      <w:tr w:rsidR="00682124" w:rsidRPr="00221F17" w:rsidTr="00CB7581">
        <w:tc>
          <w:tcPr>
            <w:tcW w:w="593" w:type="dxa"/>
            <w:vMerge/>
            <w:shd w:val="clear" w:color="auto" w:fill="E5B8B7"/>
            <w:vAlign w:val="center"/>
          </w:tcPr>
          <w:p w:rsidR="00CB7581" w:rsidRPr="00CB7581" w:rsidRDefault="00CB7581" w:rsidP="00CB7581">
            <w:pPr>
              <w:rPr>
                <w:sz w:val="16"/>
                <w:szCs w:val="16"/>
              </w:rPr>
            </w:pPr>
          </w:p>
        </w:tc>
        <w:tc>
          <w:tcPr>
            <w:tcW w:w="895" w:type="dxa"/>
            <w:shd w:val="clear" w:color="auto" w:fill="FFFFFF"/>
            <w:vAlign w:val="center"/>
          </w:tcPr>
          <w:p w:rsidR="00CB7581" w:rsidRPr="00CB7581" w:rsidRDefault="00CB7581" w:rsidP="00CB7581">
            <w:pPr>
              <w:rPr>
                <w:sz w:val="16"/>
                <w:szCs w:val="16"/>
              </w:rPr>
            </w:pPr>
            <w:r w:rsidRPr="00CB7581">
              <w:rPr>
                <w:sz w:val="16"/>
                <w:szCs w:val="16"/>
              </w:rPr>
              <w:t>P16</w:t>
            </w:r>
          </w:p>
        </w:tc>
        <w:tc>
          <w:tcPr>
            <w:tcW w:w="7447" w:type="dxa"/>
            <w:shd w:val="clear" w:color="auto" w:fill="FFFFFF"/>
            <w:vAlign w:val="center"/>
          </w:tcPr>
          <w:p w:rsidR="00CB7581" w:rsidRPr="00CB7581" w:rsidRDefault="00CB7581" w:rsidP="00CB7581">
            <w:pPr>
              <w:rPr>
                <w:b/>
                <w:sz w:val="16"/>
                <w:szCs w:val="16"/>
              </w:rPr>
            </w:pPr>
            <w:r w:rsidRPr="00CB7581">
              <w:rPr>
                <w:b/>
                <w:sz w:val="16"/>
                <w:szCs w:val="16"/>
              </w:rPr>
              <w:t>Registry</w:t>
            </w:r>
          </w:p>
          <w:p w:rsidR="00CB7581" w:rsidRPr="00CB7581" w:rsidRDefault="00CB7581" w:rsidP="00CB7581">
            <w:pPr>
              <w:rPr>
                <w:rFonts w:cs="Arial"/>
                <w:color w:val="000000"/>
                <w:sz w:val="16"/>
                <w:szCs w:val="16"/>
              </w:rPr>
            </w:pPr>
            <w:r w:rsidRPr="00CB7581">
              <w:rPr>
                <w:sz w:val="16"/>
                <w:szCs w:val="16"/>
              </w:rPr>
              <w:t>OZP-ICIS-Studie-P16-Seznam-funkcí-Registry.xlsx</w:t>
            </w:r>
          </w:p>
        </w:tc>
      </w:tr>
      <w:tr w:rsidR="00682124" w:rsidRPr="00221F17" w:rsidTr="00CB7581">
        <w:tc>
          <w:tcPr>
            <w:tcW w:w="593" w:type="dxa"/>
            <w:vMerge/>
            <w:shd w:val="clear" w:color="auto" w:fill="E5B8B7"/>
            <w:vAlign w:val="center"/>
          </w:tcPr>
          <w:p w:rsidR="00CB7581" w:rsidRPr="00CB7581" w:rsidRDefault="00CB7581" w:rsidP="00CB7581">
            <w:pPr>
              <w:rPr>
                <w:sz w:val="16"/>
                <w:szCs w:val="16"/>
              </w:rPr>
            </w:pPr>
          </w:p>
        </w:tc>
        <w:tc>
          <w:tcPr>
            <w:tcW w:w="895" w:type="dxa"/>
            <w:shd w:val="clear" w:color="auto" w:fill="F2DBDB"/>
            <w:vAlign w:val="center"/>
          </w:tcPr>
          <w:p w:rsidR="00CB7581" w:rsidRPr="00CB7581" w:rsidRDefault="00CB7581" w:rsidP="00CB7581">
            <w:pPr>
              <w:rPr>
                <w:sz w:val="16"/>
                <w:szCs w:val="16"/>
              </w:rPr>
            </w:pPr>
            <w:r w:rsidRPr="00CB7581">
              <w:rPr>
                <w:sz w:val="16"/>
                <w:szCs w:val="16"/>
              </w:rPr>
              <w:t>P17A</w:t>
            </w:r>
          </w:p>
        </w:tc>
        <w:tc>
          <w:tcPr>
            <w:tcW w:w="7447" w:type="dxa"/>
            <w:shd w:val="clear" w:color="auto" w:fill="F2DBDB"/>
            <w:vAlign w:val="center"/>
          </w:tcPr>
          <w:p w:rsidR="00CB7581" w:rsidRPr="00CB7581" w:rsidRDefault="00CB7581" w:rsidP="00CB7581">
            <w:pPr>
              <w:rPr>
                <w:b/>
                <w:sz w:val="16"/>
                <w:szCs w:val="16"/>
              </w:rPr>
            </w:pPr>
            <w:r w:rsidRPr="00CB7581">
              <w:rPr>
                <w:b/>
                <w:sz w:val="16"/>
                <w:szCs w:val="16"/>
              </w:rPr>
              <w:t>Servis – Agendy</w:t>
            </w:r>
          </w:p>
          <w:p w:rsidR="00CB7581" w:rsidRPr="00CB7581" w:rsidRDefault="00CB7581" w:rsidP="00CB7581">
            <w:pPr>
              <w:rPr>
                <w:sz w:val="16"/>
                <w:szCs w:val="16"/>
              </w:rPr>
            </w:pPr>
            <w:r w:rsidRPr="00CB7581">
              <w:rPr>
                <w:sz w:val="16"/>
                <w:szCs w:val="16"/>
              </w:rPr>
              <w:t>OZP-ICIS-Studie-P17A-Seznam-funkcí-Servis-Agendy.xlsx</w:t>
            </w:r>
          </w:p>
        </w:tc>
      </w:tr>
      <w:tr w:rsidR="00682124" w:rsidRPr="00221F17" w:rsidTr="00CB7581">
        <w:tc>
          <w:tcPr>
            <w:tcW w:w="593" w:type="dxa"/>
            <w:vMerge/>
            <w:shd w:val="clear" w:color="auto" w:fill="E5B8B7"/>
            <w:vAlign w:val="center"/>
          </w:tcPr>
          <w:p w:rsidR="00CB7581" w:rsidRPr="00CB7581" w:rsidRDefault="00CB7581" w:rsidP="00CB7581">
            <w:pPr>
              <w:rPr>
                <w:sz w:val="16"/>
                <w:szCs w:val="16"/>
              </w:rPr>
            </w:pPr>
          </w:p>
        </w:tc>
        <w:tc>
          <w:tcPr>
            <w:tcW w:w="895" w:type="dxa"/>
            <w:shd w:val="clear" w:color="auto" w:fill="FFFFFF"/>
            <w:vAlign w:val="center"/>
          </w:tcPr>
          <w:p w:rsidR="00CB7581" w:rsidRPr="00CB7581" w:rsidRDefault="00CB7581" w:rsidP="00CB7581">
            <w:pPr>
              <w:rPr>
                <w:sz w:val="16"/>
                <w:szCs w:val="16"/>
              </w:rPr>
            </w:pPr>
            <w:r w:rsidRPr="00CB7581">
              <w:rPr>
                <w:sz w:val="16"/>
                <w:szCs w:val="16"/>
              </w:rPr>
              <w:t>P17B</w:t>
            </w:r>
          </w:p>
        </w:tc>
        <w:tc>
          <w:tcPr>
            <w:tcW w:w="7447" w:type="dxa"/>
            <w:shd w:val="clear" w:color="auto" w:fill="FFFFFF"/>
            <w:vAlign w:val="center"/>
          </w:tcPr>
          <w:p w:rsidR="00CB7581" w:rsidRPr="00CB7581" w:rsidRDefault="00CB7581" w:rsidP="00CB7581">
            <w:pPr>
              <w:rPr>
                <w:b/>
                <w:sz w:val="16"/>
                <w:szCs w:val="16"/>
              </w:rPr>
            </w:pPr>
            <w:r w:rsidRPr="00CB7581">
              <w:rPr>
                <w:b/>
                <w:sz w:val="16"/>
                <w:szCs w:val="16"/>
              </w:rPr>
              <w:t>Servis – Technologie</w:t>
            </w:r>
          </w:p>
          <w:p w:rsidR="00CB7581" w:rsidRPr="00CB7581" w:rsidRDefault="00CB7581" w:rsidP="00CB7581">
            <w:pPr>
              <w:rPr>
                <w:sz w:val="16"/>
                <w:szCs w:val="16"/>
              </w:rPr>
            </w:pPr>
            <w:r w:rsidRPr="00CB7581">
              <w:rPr>
                <w:sz w:val="16"/>
                <w:szCs w:val="16"/>
              </w:rPr>
              <w:t>OZP-ICIS-Studie-P17B-Seznam-funkcí-Servis-Technologie.xlsx</w:t>
            </w:r>
          </w:p>
        </w:tc>
      </w:tr>
      <w:tr w:rsidR="00682124" w:rsidRPr="00221F17" w:rsidTr="00CB7581">
        <w:tc>
          <w:tcPr>
            <w:tcW w:w="593" w:type="dxa"/>
            <w:vMerge/>
            <w:shd w:val="clear" w:color="auto" w:fill="E5B8B7"/>
            <w:vAlign w:val="center"/>
          </w:tcPr>
          <w:p w:rsidR="00CB7581" w:rsidRPr="00CB7581" w:rsidRDefault="00CB7581" w:rsidP="00CB7581">
            <w:pPr>
              <w:rPr>
                <w:sz w:val="16"/>
                <w:szCs w:val="16"/>
              </w:rPr>
            </w:pPr>
          </w:p>
        </w:tc>
        <w:tc>
          <w:tcPr>
            <w:tcW w:w="895" w:type="dxa"/>
            <w:shd w:val="clear" w:color="auto" w:fill="F2DBDB"/>
            <w:vAlign w:val="center"/>
          </w:tcPr>
          <w:p w:rsidR="00CB7581" w:rsidRPr="00CB7581" w:rsidRDefault="00CB7581" w:rsidP="00CB7581">
            <w:pPr>
              <w:rPr>
                <w:sz w:val="16"/>
                <w:szCs w:val="16"/>
              </w:rPr>
            </w:pPr>
            <w:r w:rsidRPr="00CB7581">
              <w:rPr>
                <w:sz w:val="16"/>
                <w:szCs w:val="16"/>
              </w:rPr>
              <w:t>P18</w:t>
            </w:r>
          </w:p>
        </w:tc>
        <w:tc>
          <w:tcPr>
            <w:tcW w:w="7447" w:type="dxa"/>
            <w:shd w:val="clear" w:color="auto" w:fill="F2DBDB"/>
            <w:vAlign w:val="center"/>
          </w:tcPr>
          <w:p w:rsidR="00CB7581" w:rsidRPr="00CB7581" w:rsidRDefault="00CB7581" w:rsidP="00CB7581">
            <w:pPr>
              <w:rPr>
                <w:b/>
                <w:sz w:val="16"/>
                <w:szCs w:val="16"/>
              </w:rPr>
            </w:pPr>
            <w:r w:rsidRPr="00CB7581">
              <w:rPr>
                <w:b/>
                <w:sz w:val="16"/>
                <w:szCs w:val="16"/>
              </w:rPr>
              <w:t>Výběr pojistného</w:t>
            </w:r>
          </w:p>
          <w:p w:rsidR="00CB7581" w:rsidRPr="00CB7581" w:rsidRDefault="00CB7581" w:rsidP="00CB7581">
            <w:pPr>
              <w:rPr>
                <w:sz w:val="16"/>
                <w:szCs w:val="16"/>
              </w:rPr>
            </w:pPr>
            <w:r w:rsidRPr="00CB7581">
              <w:rPr>
                <w:sz w:val="16"/>
                <w:szCs w:val="16"/>
              </w:rPr>
              <w:t>OZP-ICIS-Studie-P18-Seznam-funkcí-Výběr-pojistného.xlsx</w:t>
            </w:r>
          </w:p>
        </w:tc>
      </w:tr>
    </w:tbl>
    <w:p w:rsidR="00CB7581" w:rsidRPr="00221F17" w:rsidRDefault="00CB7581" w:rsidP="00CB7581">
      <w:pPr>
        <w:rPr>
          <w:rFonts w:eastAsia="Calibri"/>
          <w:szCs w:val="22"/>
          <w:lang w:eastAsia="en-US"/>
        </w:rPr>
      </w:pPr>
    </w:p>
    <w:p w:rsidR="00CB7581" w:rsidRPr="00221F17" w:rsidRDefault="00CB7581" w:rsidP="00A4749D">
      <w:pPr>
        <w:numPr>
          <w:ilvl w:val="0"/>
          <w:numId w:val="22"/>
        </w:numPr>
        <w:spacing w:before="120" w:after="120"/>
        <w:jc w:val="both"/>
        <w:rPr>
          <w:rFonts w:eastAsia="Calibri"/>
          <w:szCs w:val="22"/>
          <w:lang w:eastAsia="ar-SA"/>
        </w:rPr>
      </w:pPr>
      <w:r w:rsidRPr="00221F17">
        <w:rPr>
          <w:rFonts w:eastAsia="Calibri"/>
          <w:szCs w:val="22"/>
          <w:lang w:eastAsia="ar-SA"/>
        </w:rPr>
        <w:t xml:space="preserve">Popis funkcí vychází ze schématu procesů (viz bod </w:t>
      </w:r>
      <w:r w:rsidR="007A3186">
        <w:rPr>
          <w:rFonts w:eastAsia="Calibri"/>
          <w:szCs w:val="22"/>
          <w:lang w:eastAsia="ar-SA"/>
        </w:rPr>
        <w:t>3</w:t>
      </w:r>
      <w:r w:rsidRPr="00221F17">
        <w:rPr>
          <w:rFonts w:eastAsia="Calibri"/>
          <w:szCs w:val="22"/>
          <w:lang w:eastAsia="ar-SA"/>
        </w:rPr>
        <w:t>). Při jeho sestavování byly procházeny jednotlivé aktivity v procesech (se snahou zachovat jejich následnost). Poté byly procházeny jednotlivé požadavky, a pokud některý nebyl pokryt funkcí vyplývající z aktivity procesu, byl doplněn popis funkce vycházející z požadavku. Znamená to tedy, že při návrhu funkcí byla provedena křížová kontrola pokrytí procesů a požadavků funkcemi ICIS.</w:t>
      </w:r>
    </w:p>
    <w:p w:rsidR="00AE187D" w:rsidRDefault="00AE187D" w:rsidP="00523507">
      <w:pPr>
        <w:numPr>
          <w:ilvl w:val="0"/>
          <w:numId w:val="22"/>
        </w:numPr>
        <w:spacing w:before="120" w:after="120"/>
        <w:jc w:val="both"/>
        <w:rPr>
          <w:rFonts w:eastAsia="Calibri"/>
          <w:szCs w:val="22"/>
          <w:lang w:eastAsia="ar-SA"/>
        </w:rPr>
      </w:pPr>
      <w:r w:rsidRPr="00523507">
        <w:rPr>
          <w:rFonts w:eastAsia="Calibri"/>
          <w:szCs w:val="22"/>
          <w:lang w:eastAsia="ar-SA"/>
        </w:rPr>
        <w:t>Z důvodu přehlednosti a srozumitelnosti byl do XLSX tabulek s funkcemi vložen do každé sekce odkaz na kapitolu příloh P01 – P06, kde jsou popsány požadavky a odkaz na kapitolu P07 - P12, kde jsou popsány procesy.</w:t>
      </w:r>
    </w:p>
    <w:p w:rsidR="00CB7581" w:rsidRPr="00AE187D" w:rsidRDefault="00CB7581" w:rsidP="00523507">
      <w:pPr>
        <w:spacing w:before="120" w:after="120"/>
        <w:ind w:left="720"/>
        <w:jc w:val="both"/>
        <w:rPr>
          <w:rFonts w:eastAsia="Calibri"/>
          <w:szCs w:val="22"/>
          <w:lang w:eastAsia="ar-SA"/>
        </w:rPr>
      </w:pPr>
    </w:p>
    <w:p w:rsidR="00CB7581" w:rsidRPr="00221F17" w:rsidRDefault="00CB7581" w:rsidP="00A4749D">
      <w:pPr>
        <w:numPr>
          <w:ilvl w:val="0"/>
          <w:numId w:val="2"/>
        </w:numPr>
        <w:ind w:left="284" w:hanging="284"/>
        <w:jc w:val="both"/>
        <w:rPr>
          <w:rFonts w:eastAsia="Calibri"/>
          <w:b/>
          <w:szCs w:val="22"/>
          <w:lang w:eastAsia="en-US"/>
        </w:rPr>
      </w:pPr>
      <w:r w:rsidRPr="00221F17">
        <w:rPr>
          <w:rFonts w:eastAsia="Calibri"/>
          <w:b/>
          <w:szCs w:val="22"/>
          <w:lang w:eastAsia="en-US"/>
        </w:rPr>
        <w:t>Technická specifikace</w:t>
      </w:r>
    </w:p>
    <w:p w:rsidR="00CB7581" w:rsidRPr="00221F17" w:rsidRDefault="00CB7581" w:rsidP="00CB7581">
      <w:pPr>
        <w:jc w:val="both"/>
        <w:rPr>
          <w:rFonts w:eastAsia="Calibri"/>
          <w:b/>
          <w:szCs w:val="22"/>
          <w:lang w:eastAsia="en-US"/>
        </w:rPr>
      </w:pPr>
    </w:p>
    <w:p w:rsidR="00CB7581" w:rsidRPr="00221F17" w:rsidRDefault="00CB7581" w:rsidP="00A4749D">
      <w:pPr>
        <w:numPr>
          <w:ilvl w:val="0"/>
          <w:numId w:val="4"/>
        </w:numPr>
        <w:ind w:left="284" w:hanging="284"/>
        <w:jc w:val="both"/>
        <w:rPr>
          <w:rFonts w:eastAsia="Calibri"/>
          <w:b/>
          <w:szCs w:val="22"/>
          <w:lang w:eastAsia="en-US"/>
        </w:rPr>
      </w:pPr>
      <w:bookmarkStart w:id="1" w:name="_Toc370757816"/>
      <w:bookmarkStart w:id="2" w:name="_Toc373830122"/>
      <w:r w:rsidRPr="00221F17">
        <w:rPr>
          <w:rFonts w:eastAsia="Calibri"/>
          <w:b/>
          <w:szCs w:val="22"/>
        </w:rPr>
        <w:t>Specifikace HW prostředků</w:t>
      </w:r>
      <w:bookmarkEnd w:id="1"/>
      <w:bookmarkEnd w:id="2"/>
    </w:p>
    <w:p w:rsidR="00CB7581" w:rsidRPr="00221F17" w:rsidRDefault="000F7926" w:rsidP="00A4749D">
      <w:pPr>
        <w:numPr>
          <w:ilvl w:val="0"/>
          <w:numId w:val="23"/>
        </w:numPr>
        <w:spacing w:before="120" w:after="120"/>
        <w:jc w:val="both"/>
        <w:rPr>
          <w:rFonts w:eastAsia="Calibri"/>
          <w:szCs w:val="22"/>
          <w:lang w:eastAsia="ar-SA"/>
        </w:rPr>
      </w:pPr>
      <w:r>
        <w:rPr>
          <w:rFonts w:eastAsia="Calibri"/>
          <w:szCs w:val="22"/>
          <w:lang w:eastAsia="ar-SA"/>
        </w:rPr>
        <w:t>Dodavatel</w:t>
      </w:r>
      <w:r w:rsidRPr="00221F17">
        <w:rPr>
          <w:rFonts w:eastAsia="Calibri"/>
          <w:szCs w:val="22"/>
          <w:lang w:eastAsia="ar-SA"/>
        </w:rPr>
        <w:t xml:space="preserve"> </w:t>
      </w:r>
      <w:r w:rsidR="00CB7581" w:rsidRPr="00221F17">
        <w:rPr>
          <w:rFonts w:eastAsia="Calibri"/>
          <w:szCs w:val="22"/>
          <w:lang w:eastAsia="ar-SA"/>
        </w:rPr>
        <w:t>již v rámci zadávacího řízení předloží návrh HW, licenčního SW a zajištění napojení na stávající infrastrukturu tak, aby byl zajištěn provoz a správa ICIS s požadovanými parametry. V</w:t>
      </w:r>
      <w:r w:rsidR="00CB7581">
        <w:rPr>
          <w:rFonts w:eastAsia="Calibri"/>
          <w:szCs w:val="22"/>
          <w:lang w:eastAsia="ar-SA"/>
        </w:rPr>
        <w:t xml:space="preserve"> samostatné </w:t>
      </w:r>
      <w:r>
        <w:rPr>
          <w:rFonts w:eastAsia="Calibri"/>
          <w:szCs w:val="22"/>
          <w:lang w:eastAsia="ar-SA"/>
        </w:rPr>
        <w:t>kapitole č. V tohoto dokumentu</w:t>
      </w:r>
      <w:r w:rsidRPr="00221F17">
        <w:rPr>
          <w:rFonts w:eastAsia="Calibri"/>
          <w:szCs w:val="22"/>
          <w:lang w:eastAsia="ar-SA"/>
        </w:rPr>
        <w:t xml:space="preserve"> </w:t>
      </w:r>
      <w:r w:rsidR="00CB7581" w:rsidRPr="00221F17">
        <w:rPr>
          <w:rFonts w:eastAsia="Calibri"/>
          <w:szCs w:val="22"/>
          <w:lang w:eastAsia="ar-SA"/>
        </w:rPr>
        <w:t>j</w:t>
      </w:r>
      <w:r>
        <w:rPr>
          <w:rFonts w:eastAsia="Calibri"/>
          <w:szCs w:val="22"/>
          <w:lang w:eastAsia="ar-SA"/>
        </w:rPr>
        <w:t>sou</w:t>
      </w:r>
      <w:r w:rsidR="00CB7581" w:rsidRPr="00221F17">
        <w:rPr>
          <w:rFonts w:eastAsia="Calibri"/>
          <w:szCs w:val="22"/>
          <w:lang w:eastAsia="ar-SA"/>
        </w:rPr>
        <w:t xml:space="preserve"> podrobně specifikován</w:t>
      </w:r>
      <w:r>
        <w:rPr>
          <w:rFonts w:eastAsia="Calibri"/>
          <w:szCs w:val="22"/>
          <w:lang w:eastAsia="ar-SA"/>
        </w:rPr>
        <w:t>y</w:t>
      </w:r>
      <w:r w:rsidR="00CB7581" w:rsidRPr="00221F17">
        <w:rPr>
          <w:rFonts w:eastAsia="Calibri"/>
          <w:szCs w:val="22"/>
          <w:lang w:eastAsia="ar-SA"/>
        </w:rPr>
        <w:t xml:space="preserve"> požadavk</w:t>
      </w:r>
      <w:r>
        <w:rPr>
          <w:rFonts w:eastAsia="Calibri"/>
          <w:szCs w:val="22"/>
          <w:lang w:eastAsia="ar-SA"/>
        </w:rPr>
        <w:t>y zadavatele</w:t>
      </w:r>
      <w:r w:rsidR="00CB7581" w:rsidRPr="00221F17">
        <w:rPr>
          <w:rFonts w:eastAsia="Calibri"/>
          <w:szCs w:val="22"/>
          <w:lang w:eastAsia="ar-SA"/>
        </w:rPr>
        <w:t xml:space="preserve"> na uvedený návrh</w:t>
      </w:r>
      <w:r>
        <w:rPr>
          <w:rFonts w:eastAsia="Calibri"/>
          <w:szCs w:val="22"/>
          <w:lang w:eastAsia="ar-SA"/>
        </w:rPr>
        <w:t xml:space="preserve"> dodavatele</w:t>
      </w:r>
      <w:r w:rsidR="00CB7581" w:rsidRPr="00221F17">
        <w:rPr>
          <w:rFonts w:eastAsia="Calibri"/>
          <w:szCs w:val="22"/>
          <w:lang w:eastAsia="ar-SA"/>
        </w:rPr>
        <w:t xml:space="preserve">. </w:t>
      </w:r>
      <w:r>
        <w:rPr>
          <w:rFonts w:eastAsia="Calibri"/>
          <w:szCs w:val="22"/>
          <w:lang w:eastAsia="ar-SA"/>
        </w:rPr>
        <w:t xml:space="preserve">Dodavatel je povinen zpracovat a v nabídce předložit svůj návrh v souladu s uvedenými požadavky zadavatele. </w:t>
      </w:r>
      <w:r w:rsidR="00CB7581" w:rsidRPr="00221F17">
        <w:rPr>
          <w:rFonts w:eastAsia="Calibri"/>
          <w:szCs w:val="22"/>
          <w:lang w:eastAsia="ar-SA"/>
        </w:rPr>
        <w:t xml:space="preserve"> Změny vůči návrhu musí odsouhlasit </w:t>
      </w:r>
      <w:r>
        <w:rPr>
          <w:rFonts w:eastAsia="Calibri"/>
          <w:szCs w:val="22"/>
          <w:lang w:eastAsia="ar-SA"/>
        </w:rPr>
        <w:t>zadavatel</w:t>
      </w:r>
      <w:r w:rsidR="00CB7581" w:rsidRPr="00221F17">
        <w:rPr>
          <w:rFonts w:eastAsia="Calibri"/>
          <w:szCs w:val="22"/>
          <w:lang w:eastAsia="ar-SA"/>
        </w:rPr>
        <w:t>.</w:t>
      </w:r>
    </w:p>
    <w:p w:rsidR="00CB7581" w:rsidRDefault="000F7926" w:rsidP="00A4749D">
      <w:pPr>
        <w:numPr>
          <w:ilvl w:val="0"/>
          <w:numId w:val="23"/>
        </w:numPr>
        <w:spacing w:before="120" w:after="120"/>
        <w:jc w:val="both"/>
        <w:rPr>
          <w:rFonts w:eastAsia="Calibri"/>
          <w:szCs w:val="22"/>
          <w:lang w:eastAsia="ar-SA"/>
        </w:rPr>
      </w:pPr>
      <w:r>
        <w:rPr>
          <w:rFonts w:eastAsia="Calibri"/>
          <w:szCs w:val="22"/>
          <w:lang w:eastAsia="ar-SA"/>
        </w:rPr>
        <w:t xml:space="preserve">Dodavatel </w:t>
      </w:r>
      <w:r w:rsidR="00CB7581" w:rsidRPr="00221F17">
        <w:rPr>
          <w:rFonts w:eastAsia="Calibri"/>
          <w:szCs w:val="22"/>
          <w:lang w:eastAsia="ar-SA"/>
        </w:rPr>
        <w:t>systému ICIS vypracuje specifikaci HW, na kterém bude nový ICIS provozován.  OZP bude realizovat nákup HW samostatně mimo dodávku ICIS (jiný dodavatel). Soupis HW</w:t>
      </w:r>
      <w:r w:rsidR="007E2035">
        <w:rPr>
          <w:rFonts w:eastAsia="Calibri"/>
          <w:szCs w:val="22"/>
          <w:lang w:eastAsia="ar-SA"/>
        </w:rPr>
        <w:t xml:space="preserve"> </w:t>
      </w:r>
      <w:r>
        <w:rPr>
          <w:rFonts w:eastAsia="Calibri"/>
          <w:szCs w:val="22"/>
          <w:lang w:eastAsia="ar-SA"/>
        </w:rPr>
        <w:t xml:space="preserve">a jeho specifikace </w:t>
      </w:r>
      <w:r w:rsidR="00CB7581" w:rsidRPr="00221F17">
        <w:rPr>
          <w:rFonts w:eastAsia="Calibri"/>
          <w:szCs w:val="22"/>
          <w:lang w:eastAsia="ar-SA"/>
        </w:rPr>
        <w:t xml:space="preserve">musí být natolik detailní, aby </w:t>
      </w:r>
      <w:r>
        <w:rPr>
          <w:rFonts w:eastAsia="Calibri"/>
          <w:szCs w:val="22"/>
          <w:lang w:eastAsia="ar-SA"/>
        </w:rPr>
        <w:t>dodavatel</w:t>
      </w:r>
      <w:r w:rsidR="00CB7581" w:rsidRPr="00221F17">
        <w:rPr>
          <w:rFonts w:eastAsia="Calibri"/>
          <w:szCs w:val="22"/>
          <w:lang w:eastAsia="ar-SA"/>
        </w:rPr>
        <w:t xml:space="preserve"> garantoval provoz systému na HW splňujícím uvedenou konfiguraci po dobu minimálně 4 let. Náklady na HW nebudou zahrnuty do ceny dodávky, avšak náklady na licence potřebného SW (včetně operačních systémů) do ceny dodávky zahrnuty budou.</w:t>
      </w:r>
      <w:r>
        <w:rPr>
          <w:rFonts w:eastAsia="Calibri"/>
          <w:szCs w:val="22"/>
          <w:lang w:eastAsia="ar-SA"/>
        </w:rPr>
        <w:t xml:space="preserve"> Vzhledem ke skutečnosti, že požadovaný HW </w:t>
      </w:r>
      <w:r w:rsidR="007009D5">
        <w:rPr>
          <w:rFonts w:eastAsia="Calibri"/>
          <w:szCs w:val="22"/>
          <w:lang w:eastAsia="ar-SA"/>
        </w:rPr>
        <w:t>bude zadavatel zadávat v zadávacím řízení dle zákona, musí být veškeré požadavky dodavatele na tento HW v návrhu formulovány takovým způsobem, který bude plně v souladu se ZVZ, resp. s novým zákonem o zadávání veřejných zakázek (a to primárně s požadavky obsaženými v § 44 odst. 11 ZVZ a § 45 ZVZ, resp. obdobnými požadavky vymezenými v novém zákoně o zadávání veřejných zakázek).</w:t>
      </w:r>
    </w:p>
    <w:p w:rsidR="007E2035" w:rsidRPr="00221F17" w:rsidRDefault="000F7926" w:rsidP="00A4749D">
      <w:pPr>
        <w:numPr>
          <w:ilvl w:val="0"/>
          <w:numId w:val="23"/>
        </w:numPr>
        <w:spacing w:before="120" w:after="120"/>
        <w:jc w:val="both"/>
        <w:rPr>
          <w:rFonts w:eastAsia="Calibri"/>
          <w:szCs w:val="22"/>
          <w:lang w:eastAsia="ar-SA"/>
        </w:rPr>
      </w:pPr>
      <w:r>
        <w:rPr>
          <w:rFonts w:eastAsia="Calibri"/>
          <w:szCs w:val="22"/>
          <w:lang w:eastAsia="ar-SA"/>
        </w:rPr>
        <w:lastRenderedPageBreak/>
        <w:t>Dodavatel</w:t>
      </w:r>
      <w:r w:rsidR="007E2035">
        <w:rPr>
          <w:rFonts w:eastAsia="Calibri"/>
          <w:szCs w:val="22"/>
          <w:lang w:eastAsia="ar-SA"/>
        </w:rPr>
        <w:t xml:space="preserve"> přebírá garanci za výkonové nastavení navrhovaného řešení dle požadavků </w:t>
      </w:r>
      <w:r w:rsidR="007009D5">
        <w:rPr>
          <w:rFonts w:eastAsia="Calibri"/>
          <w:szCs w:val="22"/>
          <w:lang w:eastAsia="ar-SA"/>
        </w:rPr>
        <w:t xml:space="preserve">zadavatele </w:t>
      </w:r>
      <w:r w:rsidR="007E2035">
        <w:rPr>
          <w:rFonts w:eastAsia="Calibri"/>
          <w:szCs w:val="22"/>
          <w:lang w:eastAsia="ar-SA"/>
        </w:rPr>
        <w:t>na SLA. V případě, že navržený systém nebude splňovat požadované SLA</w:t>
      </w:r>
      <w:r w:rsidR="007A3186">
        <w:rPr>
          <w:rFonts w:eastAsia="Calibri"/>
          <w:szCs w:val="22"/>
          <w:lang w:eastAsia="ar-SA"/>
        </w:rPr>
        <w:t>,</w:t>
      </w:r>
      <w:r w:rsidR="007E2035">
        <w:rPr>
          <w:rFonts w:eastAsia="Calibri"/>
          <w:szCs w:val="22"/>
          <w:lang w:eastAsia="ar-SA"/>
        </w:rPr>
        <w:t xml:space="preserve"> bude doplnění kapacit v režii </w:t>
      </w:r>
      <w:r w:rsidR="007009D5">
        <w:rPr>
          <w:rFonts w:eastAsia="Calibri"/>
          <w:szCs w:val="22"/>
          <w:lang w:eastAsia="ar-SA"/>
        </w:rPr>
        <w:t>d</w:t>
      </w:r>
      <w:r>
        <w:rPr>
          <w:rFonts w:eastAsia="Calibri"/>
          <w:szCs w:val="22"/>
          <w:lang w:eastAsia="ar-SA"/>
        </w:rPr>
        <w:t>odavatel</w:t>
      </w:r>
      <w:r w:rsidR="007E2035">
        <w:rPr>
          <w:rFonts w:eastAsia="Calibri"/>
          <w:szCs w:val="22"/>
          <w:lang w:eastAsia="ar-SA"/>
        </w:rPr>
        <w:t>e.</w:t>
      </w:r>
    </w:p>
    <w:p w:rsidR="00CB7581" w:rsidRPr="00221F17" w:rsidRDefault="00CB7581" w:rsidP="00CB7581">
      <w:pPr>
        <w:ind w:left="284"/>
        <w:jc w:val="both"/>
        <w:rPr>
          <w:rFonts w:eastAsia="Calibri"/>
          <w:b/>
          <w:szCs w:val="22"/>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Architektura ICIS</w:t>
      </w:r>
    </w:p>
    <w:p w:rsidR="00612122" w:rsidRDefault="00CB7581" w:rsidP="00A4749D">
      <w:pPr>
        <w:numPr>
          <w:ilvl w:val="0"/>
          <w:numId w:val="24"/>
        </w:numPr>
        <w:spacing w:before="120" w:after="120"/>
        <w:jc w:val="both"/>
        <w:rPr>
          <w:rFonts w:eastAsia="Calibri"/>
          <w:szCs w:val="22"/>
          <w:lang w:eastAsia="ar-SA"/>
        </w:rPr>
      </w:pPr>
      <w:r w:rsidRPr="00221F17">
        <w:rPr>
          <w:rFonts w:eastAsia="Calibri"/>
          <w:szCs w:val="22"/>
          <w:lang w:eastAsia="ar-SA"/>
        </w:rPr>
        <w:t xml:space="preserve">Nový ICIS by měl být vystaven na jednotné, koncepčně moderní, výrazně pro-klientsky orientované, technologicky dlouhodobě perspektivní a v ČR i celosvětově široce podporované ERP platformě se zajištěnou technickou, vývojovou a legislativní podporou v ČR v horizontu min. 10 let, kde obecně používané funkcionality není třeba programovat, ale převážně pouze </w:t>
      </w:r>
      <w:proofErr w:type="spellStart"/>
      <w:r w:rsidRPr="00221F17">
        <w:rPr>
          <w:rFonts w:eastAsia="Calibri"/>
          <w:szCs w:val="22"/>
          <w:lang w:eastAsia="ar-SA"/>
        </w:rPr>
        <w:t>customizovat</w:t>
      </w:r>
      <w:proofErr w:type="spellEnd"/>
      <w:r w:rsidRPr="00221F17">
        <w:rPr>
          <w:rFonts w:eastAsia="Calibri"/>
          <w:szCs w:val="22"/>
          <w:lang w:eastAsia="ar-SA"/>
        </w:rPr>
        <w:t xml:space="preserve"> a parametrizovat v modulech ERP systému standardně dodávaných jeho výrobcem.</w:t>
      </w:r>
      <w:r w:rsidR="00612122">
        <w:rPr>
          <w:rFonts w:eastAsia="Calibri"/>
          <w:szCs w:val="22"/>
          <w:lang w:eastAsia="ar-SA"/>
        </w:rPr>
        <w:t xml:space="preserve"> Musí se jednat o takovou ERP platformu, která bude splňovat minimálně následující požadavky zadavatele:</w:t>
      </w:r>
    </w:p>
    <w:p w:rsidR="00311E18" w:rsidRDefault="00612122" w:rsidP="003D6811">
      <w:pPr>
        <w:spacing w:before="120" w:after="120"/>
        <w:ind w:left="720"/>
        <w:jc w:val="both"/>
        <w:rPr>
          <w:rFonts w:eastAsia="Calibri"/>
          <w:szCs w:val="22"/>
          <w:lang w:eastAsia="ar-SA"/>
        </w:rPr>
      </w:pPr>
      <w:r>
        <w:rPr>
          <w:rFonts w:eastAsia="Calibri"/>
          <w:szCs w:val="22"/>
          <w:lang w:eastAsia="ar-SA"/>
        </w:rPr>
        <w:t>1. minimálně třicet (30) realizovaných instalací SW platformy ERP nabízeného řešení pro informační systém v období posledních 3 let před zahájením zadávacího řízení předmětné veřejné zakázky „Výstavba, implementace a technická podpora Integrovaného Centrálního Informačního Systému (ICIS) OZP“;</w:t>
      </w:r>
    </w:p>
    <w:p w:rsidR="00311E18" w:rsidRDefault="00612122" w:rsidP="003D6811">
      <w:pPr>
        <w:spacing w:before="120" w:after="120"/>
        <w:ind w:left="720"/>
        <w:jc w:val="both"/>
        <w:rPr>
          <w:rFonts w:eastAsia="Calibri"/>
          <w:szCs w:val="22"/>
          <w:lang w:eastAsia="ar-SA"/>
        </w:rPr>
      </w:pPr>
      <w:r>
        <w:rPr>
          <w:rFonts w:eastAsia="Calibri"/>
          <w:szCs w:val="22"/>
          <w:lang w:eastAsia="ar-SA"/>
        </w:rPr>
        <w:t>2. existence minimálně sto (100) certifikovaných konzultantů a systémových inženýrů k SW platformě ERP nabízeného řešení pro informační systém;</w:t>
      </w:r>
    </w:p>
    <w:p w:rsidR="00311E18" w:rsidRDefault="00612122" w:rsidP="003D6811">
      <w:pPr>
        <w:spacing w:before="120" w:after="120"/>
        <w:ind w:left="720"/>
        <w:jc w:val="both"/>
        <w:rPr>
          <w:rFonts w:eastAsia="Calibri"/>
          <w:szCs w:val="22"/>
          <w:lang w:eastAsia="ar-SA"/>
        </w:rPr>
      </w:pPr>
      <w:r>
        <w:rPr>
          <w:rFonts w:eastAsia="Calibri"/>
          <w:szCs w:val="22"/>
          <w:lang w:eastAsia="ar-SA"/>
        </w:rPr>
        <w:t>3. existence minimálně deseti (10) certifikovaných integrátorů k SW platformě nabízeného řešení pro informační systém. Integrátorem se rozumí právnická osoba či podnikající fyzická osoba (OSVČ) zajišťující systémovou integraci, nikoli profesní skupina.</w:t>
      </w:r>
    </w:p>
    <w:p w:rsidR="00CB7581" w:rsidRPr="00221F17" w:rsidRDefault="00CB7581" w:rsidP="00A4749D">
      <w:pPr>
        <w:numPr>
          <w:ilvl w:val="0"/>
          <w:numId w:val="24"/>
        </w:numPr>
        <w:spacing w:before="120" w:after="120"/>
        <w:jc w:val="both"/>
        <w:rPr>
          <w:rFonts w:eastAsia="Calibri"/>
          <w:szCs w:val="22"/>
          <w:lang w:eastAsia="ar-SA"/>
        </w:rPr>
      </w:pPr>
      <w:r w:rsidRPr="00221F17">
        <w:rPr>
          <w:rFonts w:eastAsia="Calibri"/>
          <w:szCs w:val="22"/>
          <w:lang w:eastAsia="ar-SA"/>
        </w:rPr>
        <w:t>ICIS musí mít vícevrstvou klient / server architekturu s minimálními nároky na koncová zařízení.</w:t>
      </w:r>
    </w:p>
    <w:p w:rsidR="00CB7581" w:rsidRPr="00221F17" w:rsidRDefault="00CB7581" w:rsidP="00A4749D">
      <w:pPr>
        <w:numPr>
          <w:ilvl w:val="0"/>
          <w:numId w:val="24"/>
        </w:numPr>
        <w:spacing w:before="120" w:after="120"/>
        <w:jc w:val="both"/>
        <w:rPr>
          <w:rFonts w:eastAsia="Calibri"/>
          <w:szCs w:val="22"/>
          <w:lang w:eastAsia="ar-SA"/>
        </w:rPr>
      </w:pPr>
      <w:r w:rsidRPr="00221F17">
        <w:rPr>
          <w:rFonts w:eastAsia="Calibri"/>
          <w:szCs w:val="22"/>
          <w:lang w:eastAsia="ar-SA"/>
        </w:rPr>
        <w:t xml:space="preserve">ICIS musí zajišťovat </w:t>
      </w:r>
      <w:r w:rsidR="00EE228B">
        <w:rPr>
          <w:rFonts w:eastAsia="Calibri"/>
          <w:szCs w:val="22"/>
          <w:lang w:eastAsia="ar-SA"/>
        </w:rPr>
        <w:t xml:space="preserve">jednotné </w:t>
      </w:r>
      <w:r w:rsidRPr="00221F17">
        <w:rPr>
          <w:rFonts w:eastAsia="Calibri"/>
          <w:szCs w:val="22"/>
          <w:lang w:eastAsia="ar-SA"/>
        </w:rPr>
        <w:t>grafické uživatelské rozhraní všech modulů a jednotnou ergonomii ovládání s vysokým stupněm provázanosti informací napříč aplikačními moduly. Pro specifické uživatelské role bude ICIS řešit rozhraní, resp. skladbu vstupních menu postavených „na míru“.</w:t>
      </w:r>
    </w:p>
    <w:p w:rsidR="00CB7581" w:rsidRPr="00221F17" w:rsidRDefault="00CB7581" w:rsidP="00A4749D">
      <w:pPr>
        <w:numPr>
          <w:ilvl w:val="0"/>
          <w:numId w:val="24"/>
        </w:numPr>
        <w:spacing w:before="120" w:after="120"/>
        <w:jc w:val="both"/>
        <w:rPr>
          <w:rFonts w:eastAsia="Calibri"/>
          <w:szCs w:val="22"/>
          <w:lang w:eastAsia="ar-SA"/>
        </w:rPr>
      </w:pPr>
      <w:r w:rsidRPr="00221F17">
        <w:rPr>
          <w:rFonts w:eastAsia="Calibri"/>
          <w:szCs w:val="22"/>
          <w:lang w:eastAsia="ar-SA"/>
        </w:rPr>
        <w:t>Systém musí respektovat geografické rozložení působnosti zdravotní pojišťovny.</w:t>
      </w:r>
    </w:p>
    <w:p w:rsidR="00CB7581" w:rsidRPr="00221F17" w:rsidRDefault="00CB7581" w:rsidP="00CB7581">
      <w:pPr>
        <w:ind w:left="284"/>
        <w:jc w:val="both"/>
        <w:rPr>
          <w:rFonts w:eastAsia="Calibri"/>
          <w:b/>
          <w:szCs w:val="22"/>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Dimenzování ICIS</w:t>
      </w:r>
    </w:p>
    <w:p w:rsidR="00CB7581" w:rsidRDefault="00CB7581" w:rsidP="00A4749D">
      <w:pPr>
        <w:numPr>
          <w:ilvl w:val="0"/>
          <w:numId w:val="25"/>
        </w:numPr>
        <w:spacing w:before="120" w:after="120"/>
        <w:jc w:val="both"/>
        <w:rPr>
          <w:rFonts w:eastAsia="Calibri"/>
          <w:szCs w:val="22"/>
          <w:lang w:eastAsia="ar-SA"/>
        </w:rPr>
      </w:pPr>
      <w:r w:rsidRPr="00221F17">
        <w:rPr>
          <w:rFonts w:eastAsia="Calibri"/>
          <w:szCs w:val="22"/>
          <w:lang w:eastAsia="ar-SA"/>
        </w:rPr>
        <w:t xml:space="preserve">Nový ICIS jako plně integrovaný informační systém musí podporovat následující objemy při zachování deklarovaných odezev systému. Požadovaný stav musí ICIS splnit při náběhu systému. Podporovaný stav obsahuje </w:t>
      </w:r>
      <w:r w:rsidR="005A6D99">
        <w:rPr>
          <w:rFonts w:eastAsia="Calibri"/>
          <w:szCs w:val="22"/>
          <w:lang w:eastAsia="ar-SA"/>
        </w:rPr>
        <w:t>možný</w:t>
      </w:r>
      <w:r w:rsidR="005A6D99" w:rsidRPr="00221F17">
        <w:rPr>
          <w:rFonts w:eastAsia="Calibri"/>
          <w:szCs w:val="22"/>
          <w:lang w:eastAsia="ar-SA"/>
        </w:rPr>
        <w:t xml:space="preserve"> </w:t>
      </w:r>
      <w:r w:rsidRPr="00221F17">
        <w:rPr>
          <w:rFonts w:eastAsia="Calibri"/>
          <w:szCs w:val="22"/>
          <w:lang w:eastAsia="ar-SA"/>
        </w:rPr>
        <w:t>nárůst objemu v novém ICIS, pro který musí být řešení rozšiřitelné posílením HW infrastruktury bez nutnosti zásahu do programového řešení ICIS.</w:t>
      </w:r>
      <w:r w:rsidR="005A6D99">
        <w:rPr>
          <w:rFonts w:eastAsia="Calibri"/>
          <w:szCs w:val="22"/>
          <w:lang w:eastAsia="ar-SA"/>
        </w:rPr>
        <w:t xml:space="preserve"> Tím je mj. zajištěna perspektivnost nového systému a jeho pružnost vůči změnám v prostředí zdravotního pojištění v</w:t>
      </w:r>
      <w:r w:rsidR="00EE228B">
        <w:rPr>
          <w:rFonts w:eastAsia="Calibri"/>
          <w:szCs w:val="22"/>
          <w:lang w:eastAsia="ar-SA"/>
        </w:rPr>
        <w:t> </w:t>
      </w:r>
      <w:r w:rsidR="005A6D99">
        <w:rPr>
          <w:rFonts w:eastAsia="Calibri"/>
          <w:szCs w:val="22"/>
          <w:lang w:eastAsia="ar-SA"/>
        </w:rPr>
        <w:t>ČR</w:t>
      </w:r>
      <w:r w:rsidR="00EE228B">
        <w:rPr>
          <w:rFonts w:eastAsia="Calibri"/>
          <w:szCs w:val="22"/>
          <w:lang w:eastAsia="ar-SA"/>
        </w:rPr>
        <w:t xml:space="preserve"> a </w:t>
      </w:r>
      <w:r w:rsidR="00F06D29">
        <w:rPr>
          <w:rFonts w:eastAsia="Calibri"/>
          <w:szCs w:val="22"/>
          <w:lang w:eastAsia="ar-SA"/>
        </w:rPr>
        <w:t xml:space="preserve">zadavateli </w:t>
      </w:r>
      <w:r w:rsidR="00EE228B">
        <w:rPr>
          <w:rFonts w:eastAsia="Calibri"/>
          <w:szCs w:val="22"/>
          <w:lang w:eastAsia="ar-SA"/>
        </w:rPr>
        <w:t>tak ICIS poskytuje konkurenční výhodu</w:t>
      </w:r>
      <w:r w:rsidR="005A6D99">
        <w:rPr>
          <w:rFonts w:eastAsia="Calibri"/>
          <w:szCs w:val="22"/>
          <w:lang w:eastAsia="ar-SA"/>
        </w:rPr>
        <w:t>.</w:t>
      </w:r>
    </w:p>
    <w:p w:rsidR="00CB7581" w:rsidRPr="00221F17" w:rsidRDefault="00CB7581" w:rsidP="00CB7581">
      <w:pPr>
        <w:ind w:left="720"/>
        <w:jc w:val="both"/>
        <w:rPr>
          <w:rFonts w:eastAsia="Calibri"/>
          <w:szCs w:val="22"/>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439"/>
        <w:gridCol w:w="3002"/>
        <w:gridCol w:w="2951"/>
      </w:tblGrid>
      <w:tr w:rsidR="00682124" w:rsidRPr="00221F17" w:rsidTr="00CB7581">
        <w:trPr>
          <w:tblHeader/>
        </w:trPr>
        <w:tc>
          <w:tcPr>
            <w:tcW w:w="2439" w:type="dxa"/>
            <w:shd w:val="clear" w:color="auto" w:fill="A50021"/>
          </w:tcPr>
          <w:p w:rsidR="00CB7581" w:rsidRPr="00CB7581" w:rsidRDefault="00CB7581" w:rsidP="00CB7581">
            <w:pPr>
              <w:rPr>
                <w:b/>
                <w:sz w:val="16"/>
                <w:szCs w:val="16"/>
                <w:lang w:eastAsia="en-US"/>
              </w:rPr>
            </w:pPr>
            <w:r w:rsidRPr="00CB7581">
              <w:rPr>
                <w:b/>
                <w:sz w:val="16"/>
                <w:szCs w:val="16"/>
                <w:lang w:eastAsia="en-US"/>
              </w:rPr>
              <w:t>Parametr</w:t>
            </w:r>
          </w:p>
        </w:tc>
        <w:tc>
          <w:tcPr>
            <w:tcW w:w="3002" w:type="dxa"/>
            <w:shd w:val="clear" w:color="auto" w:fill="A50021"/>
          </w:tcPr>
          <w:p w:rsidR="00CB7581" w:rsidRPr="00CB7581" w:rsidRDefault="00CB7581" w:rsidP="00CB7581">
            <w:pPr>
              <w:rPr>
                <w:b/>
                <w:sz w:val="16"/>
                <w:szCs w:val="16"/>
                <w:lang w:eastAsia="en-US"/>
              </w:rPr>
            </w:pPr>
            <w:r w:rsidRPr="00CB7581">
              <w:rPr>
                <w:b/>
                <w:sz w:val="16"/>
                <w:szCs w:val="16"/>
                <w:lang w:eastAsia="en-US"/>
              </w:rPr>
              <w:t>Požadovaný stav</w:t>
            </w:r>
          </w:p>
        </w:tc>
        <w:tc>
          <w:tcPr>
            <w:tcW w:w="2951" w:type="dxa"/>
            <w:shd w:val="clear" w:color="auto" w:fill="A50021"/>
          </w:tcPr>
          <w:p w:rsidR="00CB7581" w:rsidRPr="00CB7581" w:rsidRDefault="00CB7581" w:rsidP="00CB7581">
            <w:pPr>
              <w:rPr>
                <w:b/>
                <w:sz w:val="16"/>
                <w:szCs w:val="16"/>
                <w:lang w:eastAsia="en-US"/>
              </w:rPr>
            </w:pPr>
            <w:r w:rsidRPr="00CB7581">
              <w:rPr>
                <w:b/>
                <w:sz w:val="16"/>
                <w:szCs w:val="16"/>
                <w:lang w:eastAsia="en-US"/>
              </w:rPr>
              <w:t>Podporovaný stav</w:t>
            </w:r>
          </w:p>
        </w:tc>
      </w:tr>
      <w:tr w:rsidR="00682124" w:rsidRPr="00221F17" w:rsidTr="00CB7581">
        <w:tc>
          <w:tcPr>
            <w:tcW w:w="2439" w:type="dxa"/>
            <w:shd w:val="clear" w:color="auto" w:fill="FFFFFF"/>
          </w:tcPr>
          <w:p w:rsidR="00CB7581" w:rsidRPr="00CB7581" w:rsidRDefault="00CB7581" w:rsidP="00CB7581">
            <w:pPr>
              <w:rPr>
                <w:sz w:val="16"/>
                <w:szCs w:val="16"/>
                <w:lang w:eastAsia="en-US"/>
              </w:rPr>
            </w:pPr>
            <w:r w:rsidRPr="00CB7581">
              <w:rPr>
                <w:sz w:val="16"/>
                <w:szCs w:val="16"/>
                <w:lang w:eastAsia="en-US"/>
              </w:rPr>
              <w:t>Počet uživatelů</w:t>
            </w:r>
          </w:p>
        </w:tc>
        <w:tc>
          <w:tcPr>
            <w:tcW w:w="3002" w:type="dxa"/>
            <w:shd w:val="clear" w:color="auto" w:fill="FFFFFF"/>
          </w:tcPr>
          <w:p w:rsidR="00CB7581" w:rsidRPr="00CB7581" w:rsidRDefault="00CB7581" w:rsidP="00CB7581">
            <w:pPr>
              <w:rPr>
                <w:sz w:val="16"/>
                <w:szCs w:val="16"/>
                <w:lang w:eastAsia="en-US"/>
              </w:rPr>
            </w:pPr>
            <w:r w:rsidRPr="00CB7581">
              <w:rPr>
                <w:sz w:val="16"/>
                <w:szCs w:val="16"/>
                <w:lang w:eastAsia="en-US"/>
              </w:rPr>
              <w:t xml:space="preserve">400, </w:t>
            </w:r>
          </w:p>
          <w:p w:rsidR="00CB7581" w:rsidRPr="00CB7581" w:rsidRDefault="00CB7581" w:rsidP="00CB7581">
            <w:pPr>
              <w:rPr>
                <w:sz w:val="16"/>
                <w:szCs w:val="16"/>
                <w:lang w:eastAsia="en-US"/>
              </w:rPr>
            </w:pPr>
            <w:r w:rsidRPr="00CB7581">
              <w:rPr>
                <w:sz w:val="16"/>
                <w:szCs w:val="16"/>
                <w:lang w:eastAsia="en-US"/>
              </w:rPr>
              <w:t>z toho 300 současně pracujících</w:t>
            </w:r>
          </w:p>
        </w:tc>
        <w:tc>
          <w:tcPr>
            <w:tcW w:w="2951" w:type="dxa"/>
            <w:shd w:val="clear" w:color="auto" w:fill="FFFFFF"/>
          </w:tcPr>
          <w:p w:rsidR="00CB7581" w:rsidRPr="00CB7581" w:rsidRDefault="00CB7581" w:rsidP="00CB7581">
            <w:pPr>
              <w:rPr>
                <w:sz w:val="16"/>
                <w:szCs w:val="16"/>
                <w:lang w:eastAsia="en-US"/>
              </w:rPr>
            </w:pPr>
            <w:r w:rsidRPr="00CB7581">
              <w:rPr>
                <w:sz w:val="16"/>
                <w:szCs w:val="16"/>
                <w:lang w:eastAsia="en-US"/>
              </w:rPr>
              <w:t xml:space="preserve">800, </w:t>
            </w:r>
          </w:p>
          <w:p w:rsidR="00CB7581" w:rsidRPr="00CB7581" w:rsidRDefault="00CB7581" w:rsidP="00CB7581">
            <w:pPr>
              <w:rPr>
                <w:sz w:val="16"/>
                <w:szCs w:val="16"/>
                <w:lang w:eastAsia="en-US"/>
              </w:rPr>
            </w:pPr>
            <w:r w:rsidRPr="00CB7581">
              <w:rPr>
                <w:sz w:val="16"/>
                <w:szCs w:val="16"/>
                <w:lang w:eastAsia="en-US"/>
              </w:rPr>
              <w:t>z toho 500 současně pracujících</w:t>
            </w:r>
          </w:p>
        </w:tc>
      </w:tr>
      <w:tr w:rsidR="00682124" w:rsidRPr="00221F17" w:rsidTr="00CB7581">
        <w:tc>
          <w:tcPr>
            <w:tcW w:w="2439" w:type="dxa"/>
            <w:shd w:val="clear" w:color="auto" w:fill="F2DBDB"/>
          </w:tcPr>
          <w:p w:rsidR="00CB7581" w:rsidRPr="00CB7581" w:rsidRDefault="00CB7581" w:rsidP="00CB7581">
            <w:pPr>
              <w:rPr>
                <w:sz w:val="16"/>
                <w:szCs w:val="16"/>
                <w:lang w:eastAsia="en-US"/>
              </w:rPr>
            </w:pPr>
            <w:r w:rsidRPr="00CB7581">
              <w:rPr>
                <w:sz w:val="16"/>
                <w:szCs w:val="16"/>
                <w:lang w:eastAsia="en-US"/>
              </w:rPr>
              <w:t>Počet pojištěnců</w:t>
            </w:r>
          </w:p>
        </w:tc>
        <w:tc>
          <w:tcPr>
            <w:tcW w:w="3002" w:type="dxa"/>
            <w:shd w:val="clear" w:color="auto" w:fill="F2DBDB"/>
          </w:tcPr>
          <w:p w:rsidR="00CB7581" w:rsidRPr="00CB7581" w:rsidRDefault="00CB7581" w:rsidP="00CB7581">
            <w:pPr>
              <w:rPr>
                <w:sz w:val="16"/>
                <w:szCs w:val="16"/>
                <w:lang w:eastAsia="en-US"/>
              </w:rPr>
            </w:pPr>
            <w:r w:rsidRPr="00CB7581">
              <w:rPr>
                <w:sz w:val="16"/>
                <w:szCs w:val="16"/>
                <w:lang w:eastAsia="en-US"/>
              </w:rPr>
              <w:t>1 milión</w:t>
            </w:r>
          </w:p>
        </w:tc>
        <w:tc>
          <w:tcPr>
            <w:tcW w:w="2951" w:type="dxa"/>
            <w:shd w:val="clear" w:color="auto" w:fill="F2DBDB"/>
          </w:tcPr>
          <w:p w:rsidR="00CB7581" w:rsidRPr="00CB7581" w:rsidRDefault="00CB7581" w:rsidP="00CB7581">
            <w:pPr>
              <w:rPr>
                <w:sz w:val="16"/>
                <w:szCs w:val="16"/>
                <w:lang w:eastAsia="en-US"/>
              </w:rPr>
            </w:pPr>
            <w:r w:rsidRPr="00CB7581">
              <w:rPr>
                <w:sz w:val="16"/>
                <w:szCs w:val="16"/>
                <w:lang w:eastAsia="en-US"/>
              </w:rPr>
              <w:t>5 miliónů</w:t>
            </w:r>
          </w:p>
        </w:tc>
      </w:tr>
      <w:tr w:rsidR="00682124" w:rsidRPr="00221F17" w:rsidTr="00CB7581">
        <w:tc>
          <w:tcPr>
            <w:tcW w:w="2439" w:type="dxa"/>
            <w:shd w:val="clear" w:color="auto" w:fill="FFFFFF"/>
          </w:tcPr>
          <w:p w:rsidR="00CB7581" w:rsidRPr="00CB7581" w:rsidRDefault="00CB7581" w:rsidP="00CB7581">
            <w:pPr>
              <w:rPr>
                <w:sz w:val="16"/>
                <w:szCs w:val="16"/>
                <w:lang w:eastAsia="en-US"/>
              </w:rPr>
            </w:pPr>
            <w:r w:rsidRPr="00CB7581">
              <w:rPr>
                <w:sz w:val="16"/>
                <w:szCs w:val="16"/>
                <w:lang w:eastAsia="en-US"/>
              </w:rPr>
              <w:t>Počet poskytovatelů zdravotních služeb</w:t>
            </w:r>
          </w:p>
        </w:tc>
        <w:tc>
          <w:tcPr>
            <w:tcW w:w="3002" w:type="dxa"/>
            <w:shd w:val="clear" w:color="auto" w:fill="FFFFFF"/>
          </w:tcPr>
          <w:p w:rsidR="00CB7581" w:rsidRPr="00CB7581" w:rsidRDefault="00CB7581" w:rsidP="00CB7581">
            <w:pPr>
              <w:rPr>
                <w:sz w:val="16"/>
                <w:szCs w:val="16"/>
                <w:lang w:eastAsia="en-US"/>
              </w:rPr>
            </w:pPr>
            <w:r w:rsidRPr="00CB7581">
              <w:rPr>
                <w:sz w:val="16"/>
                <w:szCs w:val="16"/>
                <w:lang w:eastAsia="en-US"/>
              </w:rPr>
              <w:t>25 tisíc</w:t>
            </w:r>
          </w:p>
        </w:tc>
        <w:tc>
          <w:tcPr>
            <w:tcW w:w="2951" w:type="dxa"/>
            <w:shd w:val="clear" w:color="auto" w:fill="FFFFFF"/>
          </w:tcPr>
          <w:p w:rsidR="00CB7581" w:rsidRPr="00CB7581" w:rsidRDefault="00CB7581" w:rsidP="00CB7581">
            <w:pPr>
              <w:rPr>
                <w:sz w:val="16"/>
                <w:szCs w:val="16"/>
                <w:lang w:eastAsia="en-US"/>
              </w:rPr>
            </w:pPr>
            <w:r w:rsidRPr="00CB7581">
              <w:rPr>
                <w:sz w:val="16"/>
                <w:szCs w:val="16"/>
                <w:lang w:eastAsia="en-US"/>
              </w:rPr>
              <w:t>50 tisíc</w:t>
            </w:r>
          </w:p>
        </w:tc>
      </w:tr>
      <w:tr w:rsidR="00682124" w:rsidRPr="00221F17" w:rsidTr="00CB7581">
        <w:tc>
          <w:tcPr>
            <w:tcW w:w="2439" w:type="dxa"/>
            <w:shd w:val="clear" w:color="auto" w:fill="F2DBDB"/>
          </w:tcPr>
          <w:p w:rsidR="00CB7581" w:rsidRPr="00CB7581" w:rsidRDefault="00CB7581" w:rsidP="00CB7581">
            <w:pPr>
              <w:rPr>
                <w:sz w:val="16"/>
                <w:szCs w:val="16"/>
                <w:lang w:eastAsia="en-US"/>
              </w:rPr>
            </w:pPr>
            <w:r w:rsidRPr="00CB7581">
              <w:rPr>
                <w:sz w:val="16"/>
                <w:szCs w:val="16"/>
                <w:lang w:eastAsia="en-US"/>
              </w:rPr>
              <w:t>Počet plátců zdravotního pojištění v kategoriích OSVČ, zaměstnavatel</w:t>
            </w:r>
          </w:p>
        </w:tc>
        <w:tc>
          <w:tcPr>
            <w:tcW w:w="3002" w:type="dxa"/>
            <w:shd w:val="clear" w:color="auto" w:fill="F2DBDB"/>
          </w:tcPr>
          <w:p w:rsidR="00CB7581" w:rsidRPr="00CB7581" w:rsidRDefault="00CB7581" w:rsidP="00CB7581">
            <w:pPr>
              <w:rPr>
                <w:sz w:val="16"/>
                <w:szCs w:val="16"/>
                <w:lang w:eastAsia="en-US"/>
              </w:rPr>
            </w:pPr>
            <w:r w:rsidRPr="00CB7581">
              <w:rPr>
                <w:sz w:val="16"/>
                <w:szCs w:val="16"/>
                <w:lang w:eastAsia="en-US"/>
              </w:rPr>
              <w:t>200 tisíc</w:t>
            </w:r>
          </w:p>
        </w:tc>
        <w:tc>
          <w:tcPr>
            <w:tcW w:w="2951" w:type="dxa"/>
            <w:shd w:val="clear" w:color="auto" w:fill="F2DBDB"/>
          </w:tcPr>
          <w:p w:rsidR="00CB7581" w:rsidRPr="00CB7581" w:rsidRDefault="00CB7581" w:rsidP="00CB7581">
            <w:pPr>
              <w:rPr>
                <w:sz w:val="16"/>
                <w:szCs w:val="16"/>
                <w:lang w:eastAsia="en-US"/>
              </w:rPr>
            </w:pPr>
            <w:r w:rsidRPr="00CB7581">
              <w:rPr>
                <w:sz w:val="16"/>
                <w:szCs w:val="16"/>
                <w:lang w:eastAsia="en-US"/>
              </w:rPr>
              <w:t>500 tisíc</w:t>
            </w:r>
          </w:p>
        </w:tc>
      </w:tr>
    </w:tbl>
    <w:p w:rsidR="00CB7581" w:rsidRDefault="00CB7581" w:rsidP="00CB7581">
      <w:pPr>
        <w:ind w:left="720"/>
        <w:jc w:val="both"/>
        <w:rPr>
          <w:rFonts w:eastAsia="Calibri"/>
          <w:szCs w:val="22"/>
          <w:lang w:eastAsia="en-US"/>
        </w:rPr>
      </w:pPr>
    </w:p>
    <w:p w:rsidR="00CB7581" w:rsidRDefault="00CB7581" w:rsidP="00A4749D">
      <w:pPr>
        <w:numPr>
          <w:ilvl w:val="0"/>
          <w:numId w:val="25"/>
        </w:numPr>
        <w:spacing w:before="120" w:after="120"/>
        <w:jc w:val="both"/>
        <w:rPr>
          <w:rFonts w:eastAsia="Calibri"/>
          <w:szCs w:val="22"/>
          <w:lang w:eastAsia="ar-SA"/>
        </w:rPr>
      </w:pPr>
      <w:r w:rsidRPr="00221F17">
        <w:rPr>
          <w:rFonts w:eastAsia="Calibri"/>
          <w:szCs w:val="22"/>
          <w:lang w:eastAsia="ar-SA"/>
        </w:rPr>
        <w:t xml:space="preserve">Při akceptaci HW infrastruktury navržené </w:t>
      </w:r>
      <w:r w:rsidR="00AB50D1">
        <w:rPr>
          <w:rFonts w:eastAsia="Calibri"/>
          <w:szCs w:val="22"/>
          <w:lang w:eastAsia="ar-SA"/>
        </w:rPr>
        <w:t>d</w:t>
      </w:r>
      <w:r w:rsidR="000F7926">
        <w:rPr>
          <w:rFonts w:eastAsia="Calibri"/>
          <w:szCs w:val="22"/>
          <w:lang w:eastAsia="ar-SA"/>
        </w:rPr>
        <w:t>odavatel</w:t>
      </w:r>
      <w:r w:rsidRPr="00221F17">
        <w:rPr>
          <w:rFonts w:eastAsia="Calibri"/>
          <w:szCs w:val="22"/>
          <w:lang w:eastAsia="ar-SA"/>
        </w:rPr>
        <w:t>em musí systém splňovat následující odezvy při zachování objemu dat požadovaného stavu po dobu minimálně 4 let provozu:</w:t>
      </w:r>
    </w:p>
    <w:p w:rsidR="00B85728" w:rsidRPr="00221F17" w:rsidRDefault="00B85728" w:rsidP="00B85728">
      <w:pPr>
        <w:spacing w:before="120" w:after="120"/>
        <w:ind w:left="720"/>
        <w:jc w:val="both"/>
        <w:rPr>
          <w:rFonts w:eastAsia="Calibri"/>
          <w:szCs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552"/>
        <w:gridCol w:w="3002"/>
        <w:gridCol w:w="2951"/>
      </w:tblGrid>
      <w:tr w:rsidR="00682124" w:rsidRPr="00221F17" w:rsidTr="00CB7581">
        <w:trPr>
          <w:tblHeader/>
        </w:trPr>
        <w:tc>
          <w:tcPr>
            <w:tcW w:w="2552" w:type="dxa"/>
            <w:shd w:val="clear" w:color="auto" w:fill="A50021"/>
          </w:tcPr>
          <w:p w:rsidR="00CB7581" w:rsidRPr="00CB7581" w:rsidRDefault="00CB7581" w:rsidP="00CB7581">
            <w:pPr>
              <w:rPr>
                <w:b/>
                <w:sz w:val="16"/>
                <w:szCs w:val="16"/>
                <w:lang w:eastAsia="en-US"/>
              </w:rPr>
            </w:pPr>
            <w:r w:rsidRPr="00CB7581">
              <w:rPr>
                <w:b/>
                <w:sz w:val="16"/>
                <w:szCs w:val="16"/>
                <w:lang w:eastAsia="en-US"/>
              </w:rPr>
              <w:t>Parametr</w:t>
            </w:r>
          </w:p>
        </w:tc>
        <w:tc>
          <w:tcPr>
            <w:tcW w:w="3002" w:type="dxa"/>
            <w:shd w:val="clear" w:color="auto" w:fill="A50021"/>
          </w:tcPr>
          <w:p w:rsidR="00CB7581" w:rsidRPr="00CB7581" w:rsidRDefault="00CB7581" w:rsidP="00CB7581">
            <w:pPr>
              <w:rPr>
                <w:b/>
                <w:sz w:val="16"/>
                <w:szCs w:val="16"/>
                <w:lang w:eastAsia="en-US"/>
              </w:rPr>
            </w:pPr>
            <w:r w:rsidRPr="00CB7581">
              <w:rPr>
                <w:b/>
                <w:sz w:val="16"/>
                <w:szCs w:val="16"/>
                <w:lang w:eastAsia="en-US"/>
              </w:rPr>
              <w:t>Požadovaná hodnota</w:t>
            </w:r>
          </w:p>
        </w:tc>
        <w:tc>
          <w:tcPr>
            <w:tcW w:w="2951" w:type="dxa"/>
            <w:shd w:val="clear" w:color="auto" w:fill="A50021"/>
          </w:tcPr>
          <w:p w:rsidR="00CB7581" w:rsidRPr="00CB7581" w:rsidRDefault="00CB7581" w:rsidP="00CB7581">
            <w:pPr>
              <w:rPr>
                <w:b/>
                <w:sz w:val="16"/>
                <w:szCs w:val="16"/>
                <w:lang w:eastAsia="en-US"/>
              </w:rPr>
            </w:pPr>
            <w:r w:rsidRPr="00CB7581">
              <w:rPr>
                <w:b/>
                <w:sz w:val="16"/>
                <w:szCs w:val="16"/>
                <w:lang w:eastAsia="en-US"/>
              </w:rPr>
              <w:t>Přijatelná hodnota</w:t>
            </w:r>
          </w:p>
        </w:tc>
      </w:tr>
      <w:tr w:rsidR="00682124" w:rsidRPr="00221F17" w:rsidTr="00CB7581">
        <w:tc>
          <w:tcPr>
            <w:tcW w:w="2552" w:type="dxa"/>
            <w:shd w:val="clear" w:color="auto" w:fill="FFFFFF"/>
          </w:tcPr>
          <w:p w:rsidR="00CB7581" w:rsidRPr="00CB7581" w:rsidRDefault="00CB7581" w:rsidP="00CB7581">
            <w:pPr>
              <w:rPr>
                <w:sz w:val="16"/>
                <w:szCs w:val="16"/>
                <w:lang w:eastAsia="en-US"/>
              </w:rPr>
            </w:pPr>
            <w:r w:rsidRPr="00CB7581">
              <w:rPr>
                <w:sz w:val="16"/>
                <w:szCs w:val="16"/>
                <w:lang w:eastAsia="en-US"/>
              </w:rPr>
              <w:t>Zpracování požadavku uživatele na přepážce (při interakci s klientem)</w:t>
            </w:r>
          </w:p>
        </w:tc>
        <w:tc>
          <w:tcPr>
            <w:tcW w:w="3002" w:type="dxa"/>
            <w:shd w:val="clear" w:color="auto" w:fill="FFFFFF"/>
          </w:tcPr>
          <w:p w:rsidR="00CB7581" w:rsidRPr="00CB7581" w:rsidRDefault="00CB7581" w:rsidP="00CB7581">
            <w:pPr>
              <w:rPr>
                <w:sz w:val="16"/>
                <w:szCs w:val="16"/>
                <w:lang w:eastAsia="en-US"/>
              </w:rPr>
            </w:pPr>
            <w:r w:rsidRPr="00CB7581">
              <w:rPr>
                <w:sz w:val="16"/>
                <w:szCs w:val="16"/>
                <w:lang w:eastAsia="en-US"/>
              </w:rPr>
              <w:t xml:space="preserve">1 sekunda (80% případů), </w:t>
            </w:r>
          </w:p>
          <w:p w:rsidR="00CB7581" w:rsidRPr="00CB7581" w:rsidRDefault="00CB7581" w:rsidP="00CB7581">
            <w:pPr>
              <w:rPr>
                <w:sz w:val="16"/>
                <w:szCs w:val="16"/>
                <w:lang w:eastAsia="en-US"/>
              </w:rPr>
            </w:pPr>
            <w:r w:rsidRPr="00CB7581">
              <w:rPr>
                <w:sz w:val="16"/>
                <w:szCs w:val="16"/>
                <w:lang w:eastAsia="en-US"/>
              </w:rPr>
              <w:t>2 sekundy (15% případů)</w:t>
            </w:r>
          </w:p>
        </w:tc>
        <w:tc>
          <w:tcPr>
            <w:tcW w:w="2951" w:type="dxa"/>
            <w:shd w:val="clear" w:color="auto" w:fill="FFFFFF"/>
          </w:tcPr>
          <w:p w:rsidR="00CB7581" w:rsidRPr="00CB7581" w:rsidRDefault="00CB7581" w:rsidP="00CB7581">
            <w:pPr>
              <w:rPr>
                <w:sz w:val="16"/>
                <w:szCs w:val="16"/>
                <w:lang w:eastAsia="en-US"/>
              </w:rPr>
            </w:pPr>
            <w:r w:rsidRPr="00CB7581">
              <w:rPr>
                <w:sz w:val="16"/>
                <w:szCs w:val="16"/>
                <w:lang w:eastAsia="en-US"/>
              </w:rPr>
              <w:t>10 sekund (5% případů)</w:t>
            </w:r>
          </w:p>
        </w:tc>
      </w:tr>
      <w:tr w:rsidR="00682124" w:rsidRPr="00221F17" w:rsidTr="00CB7581">
        <w:tc>
          <w:tcPr>
            <w:tcW w:w="2552" w:type="dxa"/>
            <w:shd w:val="clear" w:color="auto" w:fill="F2DBDB"/>
          </w:tcPr>
          <w:p w:rsidR="00CB7581" w:rsidRPr="00CB7581" w:rsidRDefault="00CB7581" w:rsidP="00CB7581">
            <w:pPr>
              <w:rPr>
                <w:sz w:val="16"/>
                <w:szCs w:val="16"/>
                <w:lang w:eastAsia="en-US"/>
              </w:rPr>
            </w:pPr>
            <w:r w:rsidRPr="00CB7581">
              <w:rPr>
                <w:sz w:val="16"/>
                <w:szCs w:val="16"/>
                <w:lang w:eastAsia="en-US"/>
              </w:rPr>
              <w:t>Zpracování online požadavku externího systému</w:t>
            </w:r>
          </w:p>
        </w:tc>
        <w:tc>
          <w:tcPr>
            <w:tcW w:w="3002" w:type="dxa"/>
            <w:shd w:val="clear" w:color="auto" w:fill="F2DBDB"/>
          </w:tcPr>
          <w:p w:rsidR="00CB7581" w:rsidRPr="00CB7581" w:rsidRDefault="00CB7581" w:rsidP="00CB7581">
            <w:pPr>
              <w:rPr>
                <w:sz w:val="16"/>
                <w:szCs w:val="16"/>
                <w:lang w:eastAsia="en-US"/>
              </w:rPr>
            </w:pPr>
            <w:r w:rsidRPr="00CB7581">
              <w:rPr>
                <w:sz w:val="16"/>
                <w:szCs w:val="16"/>
                <w:lang w:eastAsia="en-US"/>
              </w:rPr>
              <w:t>1 sekunda</w:t>
            </w:r>
          </w:p>
        </w:tc>
        <w:tc>
          <w:tcPr>
            <w:tcW w:w="2951" w:type="dxa"/>
            <w:shd w:val="clear" w:color="auto" w:fill="F2DBDB"/>
          </w:tcPr>
          <w:p w:rsidR="00CB7581" w:rsidRPr="00CB7581" w:rsidRDefault="00CB7581" w:rsidP="00CB7581">
            <w:pPr>
              <w:rPr>
                <w:sz w:val="16"/>
                <w:szCs w:val="16"/>
                <w:lang w:eastAsia="en-US"/>
              </w:rPr>
            </w:pPr>
            <w:r w:rsidRPr="00CB7581">
              <w:rPr>
                <w:sz w:val="16"/>
                <w:szCs w:val="16"/>
                <w:lang w:eastAsia="en-US"/>
              </w:rPr>
              <w:t>5 sekund (5% případů)</w:t>
            </w:r>
          </w:p>
        </w:tc>
      </w:tr>
      <w:tr w:rsidR="00682124" w:rsidRPr="00221F17" w:rsidTr="00CB7581">
        <w:tc>
          <w:tcPr>
            <w:tcW w:w="2552" w:type="dxa"/>
            <w:shd w:val="clear" w:color="auto" w:fill="FFFFFF"/>
          </w:tcPr>
          <w:p w:rsidR="00CB7581" w:rsidRPr="00CB7581" w:rsidRDefault="00CB7581" w:rsidP="00CB7581">
            <w:pPr>
              <w:rPr>
                <w:sz w:val="16"/>
                <w:szCs w:val="16"/>
                <w:lang w:eastAsia="en-US"/>
              </w:rPr>
            </w:pPr>
            <w:r w:rsidRPr="00CB7581">
              <w:rPr>
                <w:sz w:val="16"/>
                <w:szCs w:val="16"/>
                <w:lang w:eastAsia="en-US"/>
              </w:rPr>
              <w:t>Zpracování požadavku uživatele u jednoho případu</w:t>
            </w:r>
          </w:p>
        </w:tc>
        <w:tc>
          <w:tcPr>
            <w:tcW w:w="3002" w:type="dxa"/>
            <w:shd w:val="clear" w:color="auto" w:fill="FFFFFF"/>
          </w:tcPr>
          <w:p w:rsidR="00CB7581" w:rsidRPr="00CB7581" w:rsidRDefault="00CB7581" w:rsidP="00CB7581">
            <w:pPr>
              <w:rPr>
                <w:sz w:val="16"/>
                <w:szCs w:val="16"/>
                <w:lang w:eastAsia="en-US"/>
              </w:rPr>
            </w:pPr>
            <w:r w:rsidRPr="00CB7581">
              <w:rPr>
                <w:sz w:val="16"/>
                <w:szCs w:val="16"/>
                <w:lang w:eastAsia="en-US"/>
              </w:rPr>
              <w:t xml:space="preserve">1 sekunda (80% případů), </w:t>
            </w:r>
          </w:p>
          <w:p w:rsidR="00CB7581" w:rsidRPr="00CB7581" w:rsidRDefault="00CB7581" w:rsidP="00CB7581">
            <w:pPr>
              <w:rPr>
                <w:sz w:val="16"/>
                <w:szCs w:val="16"/>
                <w:lang w:eastAsia="en-US"/>
              </w:rPr>
            </w:pPr>
            <w:r w:rsidRPr="00CB7581">
              <w:rPr>
                <w:sz w:val="16"/>
                <w:szCs w:val="16"/>
                <w:lang w:eastAsia="en-US"/>
              </w:rPr>
              <w:t>2 sekundy (15% případů)</w:t>
            </w:r>
          </w:p>
        </w:tc>
        <w:tc>
          <w:tcPr>
            <w:tcW w:w="2951" w:type="dxa"/>
            <w:shd w:val="clear" w:color="auto" w:fill="FFFFFF"/>
          </w:tcPr>
          <w:p w:rsidR="00CB7581" w:rsidRPr="00CB7581" w:rsidRDefault="00CB7581" w:rsidP="00CB7581">
            <w:pPr>
              <w:rPr>
                <w:sz w:val="16"/>
                <w:szCs w:val="16"/>
                <w:lang w:eastAsia="en-US"/>
              </w:rPr>
            </w:pPr>
            <w:r w:rsidRPr="00CB7581">
              <w:rPr>
                <w:sz w:val="16"/>
                <w:szCs w:val="16"/>
                <w:lang w:eastAsia="en-US"/>
              </w:rPr>
              <w:t>10 sekund (5% případů)</w:t>
            </w:r>
          </w:p>
        </w:tc>
      </w:tr>
      <w:tr w:rsidR="00682124" w:rsidRPr="00221F17" w:rsidTr="00CB7581">
        <w:tc>
          <w:tcPr>
            <w:tcW w:w="2552" w:type="dxa"/>
            <w:shd w:val="clear" w:color="auto" w:fill="F2DBDB"/>
          </w:tcPr>
          <w:p w:rsidR="00CB7581" w:rsidRPr="00CB7581" w:rsidRDefault="00CB7581" w:rsidP="00CB7581">
            <w:pPr>
              <w:rPr>
                <w:sz w:val="16"/>
                <w:szCs w:val="16"/>
                <w:lang w:eastAsia="en-US"/>
              </w:rPr>
            </w:pPr>
            <w:r w:rsidRPr="00CB7581">
              <w:rPr>
                <w:sz w:val="16"/>
                <w:szCs w:val="16"/>
                <w:lang w:eastAsia="en-US"/>
              </w:rPr>
              <w:t>Zpracování požadavku dávkové úlohy</w:t>
            </w:r>
          </w:p>
        </w:tc>
        <w:tc>
          <w:tcPr>
            <w:tcW w:w="3002" w:type="dxa"/>
            <w:shd w:val="clear" w:color="auto" w:fill="F2DBDB"/>
          </w:tcPr>
          <w:p w:rsidR="00CB7581" w:rsidRPr="00CB7581" w:rsidRDefault="00CB7581" w:rsidP="00CB7581">
            <w:pPr>
              <w:rPr>
                <w:sz w:val="16"/>
                <w:szCs w:val="16"/>
                <w:lang w:eastAsia="en-US"/>
              </w:rPr>
            </w:pPr>
            <w:r w:rsidRPr="00CB7581">
              <w:rPr>
                <w:sz w:val="16"/>
                <w:szCs w:val="16"/>
                <w:lang w:eastAsia="en-US"/>
              </w:rPr>
              <w:t>Není explicitně stanoveno, běh dávkových úloh nesmí omezit provoz systému a musí počítat s časovými okny servisních zásahů (alespoň 4 hodiny denně).</w:t>
            </w:r>
          </w:p>
        </w:tc>
        <w:tc>
          <w:tcPr>
            <w:tcW w:w="2951" w:type="dxa"/>
            <w:shd w:val="clear" w:color="auto" w:fill="F2DBDB"/>
          </w:tcPr>
          <w:p w:rsidR="00CB7581" w:rsidRPr="00CB7581" w:rsidRDefault="00CB7581" w:rsidP="00CB7581">
            <w:pPr>
              <w:rPr>
                <w:sz w:val="16"/>
                <w:szCs w:val="16"/>
                <w:lang w:eastAsia="en-US"/>
              </w:rPr>
            </w:pPr>
            <w:r w:rsidRPr="00CB7581">
              <w:rPr>
                <w:sz w:val="16"/>
                <w:szCs w:val="16"/>
                <w:lang w:eastAsia="en-US"/>
              </w:rPr>
              <w:t>Délka zpracování dávkové úlohy nebrání procesu zpracování údajů.</w:t>
            </w:r>
          </w:p>
        </w:tc>
      </w:tr>
    </w:tbl>
    <w:p w:rsidR="00CB7581" w:rsidRPr="00221F17" w:rsidRDefault="00CB7581" w:rsidP="00CB7581">
      <w:pPr>
        <w:ind w:left="284"/>
        <w:jc w:val="both"/>
        <w:rPr>
          <w:rFonts w:eastAsia="Calibri"/>
          <w:b/>
          <w:szCs w:val="22"/>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Dostupnost ICIS</w:t>
      </w:r>
    </w:p>
    <w:p w:rsidR="00CB7581" w:rsidRPr="00221F17" w:rsidRDefault="00CB7581" w:rsidP="00A4749D">
      <w:pPr>
        <w:numPr>
          <w:ilvl w:val="0"/>
          <w:numId w:val="26"/>
        </w:numPr>
        <w:spacing w:before="120" w:after="120"/>
        <w:jc w:val="both"/>
        <w:rPr>
          <w:rFonts w:eastAsia="Calibri"/>
          <w:szCs w:val="22"/>
          <w:lang w:eastAsia="ar-SA"/>
        </w:rPr>
      </w:pPr>
      <w:r w:rsidRPr="00221F17">
        <w:rPr>
          <w:rFonts w:eastAsia="Calibri"/>
          <w:szCs w:val="22"/>
          <w:lang w:eastAsia="ar-SA"/>
        </w:rPr>
        <w:t>Systém ICIS musí být trvale dostupný (365x7x24) minimálně pro vyřizování online dotazů externích aplikací (Portál OZP ONLINE</w:t>
      </w:r>
      <w:r w:rsidR="0016670D">
        <w:rPr>
          <w:rStyle w:val="Znakapoznpodarou"/>
          <w:rFonts w:eastAsia="Calibri"/>
          <w:szCs w:val="22"/>
          <w:lang w:eastAsia="ar-SA"/>
        </w:rPr>
        <w:footnoteReference w:id="1"/>
      </w:r>
      <w:r w:rsidRPr="00221F17">
        <w:rPr>
          <w:rFonts w:eastAsia="Calibri"/>
          <w:szCs w:val="22"/>
          <w:lang w:eastAsia="ar-SA"/>
        </w:rPr>
        <w:t xml:space="preserve">, Portál ZP). Za účelem vysoké dostupnosti předpokládá </w:t>
      </w:r>
      <w:r w:rsidR="00F06D29">
        <w:rPr>
          <w:rFonts w:eastAsia="Calibri"/>
          <w:szCs w:val="22"/>
          <w:lang w:eastAsia="ar-SA"/>
        </w:rPr>
        <w:t>zadavatel</w:t>
      </w:r>
      <w:r w:rsidR="00F06D29" w:rsidRPr="00221F17">
        <w:rPr>
          <w:rFonts w:eastAsia="Calibri"/>
          <w:szCs w:val="22"/>
          <w:lang w:eastAsia="ar-SA"/>
        </w:rPr>
        <w:t xml:space="preserve"> </w:t>
      </w:r>
      <w:r w:rsidRPr="00221F17">
        <w:rPr>
          <w:rFonts w:eastAsia="Calibri"/>
          <w:szCs w:val="22"/>
          <w:lang w:eastAsia="ar-SA"/>
        </w:rPr>
        <w:t>využití technologií pro eliminaci výpadku z důvodu HW chyby (záložní zdroje, motorgenerátor, cluster, redundantní propojení).</w:t>
      </w:r>
      <w:r w:rsidR="00B133BD" w:rsidRPr="00B133BD">
        <w:rPr>
          <w:rFonts w:eastAsia="Calibri"/>
          <w:szCs w:val="22"/>
          <w:lang w:eastAsia="en-US"/>
        </w:rPr>
        <w:t xml:space="preserve"> </w:t>
      </w:r>
      <w:r w:rsidR="00B133BD">
        <w:rPr>
          <w:rFonts w:eastAsia="Calibri"/>
          <w:szCs w:val="22"/>
          <w:lang w:eastAsia="en-US"/>
        </w:rPr>
        <w:t>Řešitel musí navrhnout takové technické řešení, které bude toto plně podporovat a bude využívat moderních trendů v oblasti řešení systémů s vysokou dostupností s efektivním využíváním zdrojů (</w:t>
      </w:r>
      <w:proofErr w:type="spellStart"/>
      <w:r w:rsidR="00B133BD">
        <w:rPr>
          <w:rFonts w:eastAsia="Calibri"/>
          <w:szCs w:val="22"/>
          <w:lang w:eastAsia="en-US"/>
        </w:rPr>
        <w:t>virtualizace</w:t>
      </w:r>
      <w:proofErr w:type="spellEnd"/>
      <w:r w:rsidR="00B133BD">
        <w:rPr>
          <w:rFonts w:eastAsia="Calibri"/>
          <w:szCs w:val="22"/>
          <w:lang w:eastAsia="en-US"/>
        </w:rPr>
        <w:t>).</w:t>
      </w:r>
    </w:p>
    <w:p w:rsidR="00CB7581" w:rsidRPr="00221F17" w:rsidRDefault="00CB7581" w:rsidP="00A4749D">
      <w:pPr>
        <w:numPr>
          <w:ilvl w:val="0"/>
          <w:numId w:val="26"/>
        </w:numPr>
        <w:spacing w:before="120" w:after="120"/>
        <w:jc w:val="both"/>
        <w:rPr>
          <w:rFonts w:eastAsia="Calibri"/>
          <w:szCs w:val="22"/>
          <w:lang w:eastAsia="ar-SA"/>
        </w:rPr>
      </w:pPr>
      <w:r w:rsidRPr="00221F17">
        <w:rPr>
          <w:rFonts w:eastAsia="Calibri"/>
          <w:szCs w:val="22"/>
          <w:lang w:eastAsia="ar-SA"/>
        </w:rPr>
        <w:t>Akceptovatelná doba neplánovaného výpadku systému je 4 hodiny v celku, v provozní době (7:00-17:00), maximálně 1x za měsíc.</w:t>
      </w:r>
    </w:p>
    <w:p w:rsidR="00CB7581" w:rsidRPr="00221F17" w:rsidRDefault="00CB7581" w:rsidP="00A4749D">
      <w:pPr>
        <w:numPr>
          <w:ilvl w:val="0"/>
          <w:numId w:val="26"/>
        </w:numPr>
        <w:spacing w:before="120" w:after="120"/>
        <w:jc w:val="both"/>
        <w:rPr>
          <w:rFonts w:eastAsia="Calibri"/>
          <w:szCs w:val="22"/>
          <w:lang w:eastAsia="ar-SA"/>
        </w:rPr>
      </w:pPr>
      <w:r w:rsidRPr="00221F17">
        <w:rPr>
          <w:rFonts w:eastAsia="Calibri"/>
          <w:szCs w:val="22"/>
          <w:lang w:eastAsia="ar-SA"/>
        </w:rPr>
        <w:t xml:space="preserve">Plná funkčnost systému ICIS pro uživatele musí být dostupná v provozní době (7:00-17:00). Mimo provozní dobu mohou probíhat plánované i jednorázové dávkové úlohy jako je načítání dat z externích systémů, ELT (ETL) procedury pro plnění datového skladu, zpracování různých výkazů, generování výstupních dat, zpráv a protokolů, dále v tuto dobu mohou probíhat plánované servisní úkony systému včetně procesů zálohování atd. V této době je po dohodě se </w:t>
      </w:r>
      <w:r w:rsidR="00AB50D1">
        <w:rPr>
          <w:rFonts w:eastAsia="Calibri"/>
          <w:szCs w:val="22"/>
          <w:lang w:eastAsia="ar-SA"/>
        </w:rPr>
        <w:t>zadavatelem</w:t>
      </w:r>
      <w:r w:rsidRPr="00221F17">
        <w:rPr>
          <w:rFonts w:eastAsia="Calibri"/>
          <w:szCs w:val="22"/>
          <w:lang w:eastAsia="ar-SA"/>
        </w:rPr>
        <w:t xml:space="preserve"> možné provádět servisní práce, opravy a nasazování nových funkčností případně další potřebné zásahy do systému.</w:t>
      </w:r>
    </w:p>
    <w:p w:rsidR="00CB7581" w:rsidRDefault="00CB7581" w:rsidP="00A4749D">
      <w:pPr>
        <w:numPr>
          <w:ilvl w:val="0"/>
          <w:numId w:val="26"/>
        </w:numPr>
        <w:spacing w:before="120" w:after="120"/>
        <w:jc w:val="both"/>
        <w:rPr>
          <w:rFonts w:eastAsia="Calibri"/>
          <w:szCs w:val="22"/>
          <w:lang w:eastAsia="ar-SA"/>
        </w:rPr>
      </w:pPr>
      <w:r w:rsidRPr="00221F17">
        <w:rPr>
          <w:rFonts w:eastAsia="Calibri"/>
          <w:szCs w:val="22"/>
          <w:lang w:eastAsia="ar-SA"/>
        </w:rPr>
        <w:t xml:space="preserve">Součástí poptávané dodávky řešení je také návazná technická podpora po nasazení ICIS do provozu. Technická podpora </w:t>
      </w:r>
      <w:r w:rsidRPr="000D3916">
        <w:rPr>
          <w:rFonts w:eastAsia="Calibri"/>
          <w:szCs w:val="22"/>
          <w:lang w:eastAsia="ar-SA"/>
        </w:rPr>
        <w:t>bude</w:t>
      </w:r>
      <w:r w:rsidRPr="00221F17">
        <w:rPr>
          <w:rFonts w:eastAsia="Calibri"/>
          <w:szCs w:val="22"/>
          <w:lang w:eastAsia="ar-SA"/>
        </w:rPr>
        <w:t xml:space="preserve"> zakotvena v</w:t>
      </w:r>
      <w:r w:rsidR="00282BB7">
        <w:rPr>
          <w:rFonts w:eastAsia="Calibri"/>
          <w:szCs w:val="22"/>
          <w:lang w:eastAsia="ar-SA"/>
        </w:rPr>
        <w:t xml:space="preserve">e </w:t>
      </w:r>
      <w:r w:rsidR="00282BB7" w:rsidRPr="00282BB7">
        <w:rPr>
          <w:rFonts w:eastAsia="Calibri"/>
          <w:szCs w:val="22"/>
          <w:lang w:eastAsia="ar-SA"/>
        </w:rPr>
        <w:t>Smlouvě o podpoře</w:t>
      </w:r>
      <w:r w:rsidRPr="00282BB7">
        <w:rPr>
          <w:rFonts w:eastAsia="Calibri"/>
          <w:szCs w:val="22"/>
          <w:lang w:eastAsia="ar-SA"/>
        </w:rPr>
        <w:t>, která</w:t>
      </w:r>
      <w:r w:rsidRPr="00221F17">
        <w:rPr>
          <w:rFonts w:eastAsia="Calibri"/>
          <w:szCs w:val="22"/>
          <w:lang w:eastAsia="ar-SA"/>
        </w:rPr>
        <w:t xml:space="preserve"> řeší základní podporu systému rozdělenou do jednotlivých služeb. Tyto služby jsou přehledně uvedeny v </w:t>
      </w:r>
      <w:r w:rsidRPr="000D3916">
        <w:rPr>
          <w:rFonts w:eastAsia="Calibri"/>
          <w:szCs w:val="22"/>
          <w:lang w:eastAsia="ar-SA"/>
        </w:rPr>
        <w:t>následujících tabulkách</w:t>
      </w:r>
      <w:r w:rsidRPr="00221F17">
        <w:rPr>
          <w:rFonts w:eastAsia="Calibri"/>
          <w:szCs w:val="22"/>
          <w:lang w:eastAsia="ar-SA"/>
        </w:rPr>
        <w:t>:</w:t>
      </w:r>
    </w:p>
    <w:p w:rsidR="00CB7581" w:rsidRPr="00221F17" w:rsidRDefault="00CB7581" w:rsidP="00CB7581">
      <w:pPr>
        <w:ind w:left="720"/>
        <w:jc w:val="both"/>
        <w:rPr>
          <w:rFonts w:eastAsia="Calibri"/>
          <w:szCs w:val="22"/>
          <w:lang w:eastAsia="en-US"/>
        </w:rPr>
      </w:pPr>
    </w:p>
    <w:tbl>
      <w:tblPr>
        <w:tblW w:w="495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768"/>
        <w:gridCol w:w="2252"/>
        <w:gridCol w:w="6189"/>
      </w:tblGrid>
      <w:tr w:rsidR="00682124" w:rsidRPr="00221F17" w:rsidTr="00CB7581">
        <w:trPr>
          <w:tblHeader/>
        </w:trPr>
        <w:tc>
          <w:tcPr>
            <w:tcW w:w="721" w:type="dxa"/>
            <w:shd w:val="clear" w:color="auto" w:fill="A50021"/>
          </w:tcPr>
          <w:p w:rsidR="00CB7581" w:rsidRPr="00CB7581" w:rsidRDefault="00CB7581" w:rsidP="00CB7581">
            <w:pPr>
              <w:rPr>
                <w:rFonts w:cs="Calibri"/>
                <w:b/>
                <w:sz w:val="16"/>
                <w:szCs w:val="16"/>
                <w:lang w:eastAsia="en-US"/>
              </w:rPr>
            </w:pPr>
            <w:r w:rsidRPr="00CB7581">
              <w:rPr>
                <w:rFonts w:cs="Calibri"/>
                <w:b/>
                <w:sz w:val="16"/>
                <w:szCs w:val="16"/>
                <w:lang w:eastAsia="en-US"/>
              </w:rPr>
              <w:t>Kód</w:t>
            </w:r>
          </w:p>
        </w:tc>
        <w:tc>
          <w:tcPr>
            <w:tcW w:w="2114" w:type="dxa"/>
            <w:shd w:val="clear" w:color="auto" w:fill="A50021"/>
          </w:tcPr>
          <w:p w:rsidR="00CB7581" w:rsidRPr="00CB7581" w:rsidRDefault="00CB7581" w:rsidP="00CB7581">
            <w:pPr>
              <w:rPr>
                <w:rFonts w:cs="Calibri"/>
                <w:b/>
                <w:sz w:val="16"/>
                <w:szCs w:val="16"/>
                <w:lang w:eastAsia="en-US"/>
              </w:rPr>
            </w:pPr>
            <w:r w:rsidRPr="00CB7581">
              <w:rPr>
                <w:rFonts w:cs="Calibri"/>
                <w:b/>
                <w:sz w:val="16"/>
                <w:szCs w:val="16"/>
                <w:lang w:eastAsia="en-US"/>
              </w:rPr>
              <w:t>Název</w:t>
            </w:r>
          </w:p>
        </w:tc>
        <w:tc>
          <w:tcPr>
            <w:tcW w:w="5811" w:type="dxa"/>
            <w:shd w:val="clear" w:color="auto" w:fill="A50021"/>
          </w:tcPr>
          <w:p w:rsidR="00CB7581" w:rsidRPr="00CB7581" w:rsidRDefault="00CB7581" w:rsidP="00CB7581">
            <w:pPr>
              <w:rPr>
                <w:rFonts w:cs="Calibri"/>
                <w:b/>
                <w:sz w:val="16"/>
                <w:szCs w:val="16"/>
                <w:lang w:eastAsia="en-US"/>
              </w:rPr>
            </w:pPr>
            <w:r w:rsidRPr="00CB7581">
              <w:rPr>
                <w:rFonts w:cs="Calibri"/>
                <w:b/>
                <w:sz w:val="16"/>
                <w:szCs w:val="16"/>
                <w:lang w:eastAsia="en-US"/>
              </w:rPr>
              <w:t>Popis služby</w:t>
            </w:r>
          </w:p>
        </w:tc>
      </w:tr>
      <w:tr w:rsidR="00682124" w:rsidRPr="00221F17" w:rsidTr="00CB7581">
        <w:trPr>
          <w:trHeight w:val="1295"/>
        </w:trPr>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S01</w:t>
            </w:r>
          </w:p>
        </w:tc>
        <w:tc>
          <w:tcPr>
            <w:tcW w:w="2114" w:type="dxa"/>
            <w:shd w:val="clear" w:color="auto" w:fill="FFFFFF"/>
          </w:tcPr>
          <w:p w:rsidR="00CB7581" w:rsidRPr="00CB7581" w:rsidRDefault="00CB7581" w:rsidP="00CB7581">
            <w:pPr>
              <w:rPr>
                <w:rFonts w:cs="Calibri"/>
                <w:b/>
                <w:sz w:val="16"/>
                <w:szCs w:val="16"/>
                <w:lang w:eastAsia="en-US"/>
              </w:rPr>
            </w:pPr>
            <w:r w:rsidRPr="00CB7581">
              <w:rPr>
                <w:rFonts w:cs="Calibri"/>
                <w:b/>
                <w:sz w:val="16"/>
                <w:szCs w:val="16"/>
                <w:lang w:eastAsia="en-US"/>
              </w:rPr>
              <w:t xml:space="preserve">Technická podpora </w:t>
            </w:r>
          </w:p>
          <w:p w:rsidR="00CB7581" w:rsidRPr="00CB7581" w:rsidRDefault="00CB7581" w:rsidP="00CB7581">
            <w:pPr>
              <w:rPr>
                <w:rFonts w:cs="Calibri"/>
                <w:b/>
                <w:sz w:val="16"/>
                <w:szCs w:val="16"/>
                <w:lang w:eastAsia="en-US"/>
              </w:rPr>
            </w:pPr>
          </w:p>
        </w:tc>
        <w:tc>
          <w:tcPr>
            <w:tcW w:w="5811" w:type="dxa"/>
            <w:shd w:val="clear" w:color="auto" w:fill="FFFFFF"/>
          </w:tcPr>
          <w:p w:rsidR="001F1D68" w:rsidRPr="001F1D68" w:rsidRDefault="001F1D68" w:rsidP="001F1D68">
            <w:pPr>
              <w:rPr>
                <w:rFonts w:cs="Calibri"/>
                <w:sz w:val="16"/>
                <w:szCs w:val="16"/>
                <w:lang w:eastAsia="en-US"/>
              </w:rPr>
            </w:pPr>
            <w:r w:rsidRPr="001F1D68">
              <w:rPr>
                <w:rFonts w:cs="Calibri"/>
                <w:sz w:val="16"/>
                <w:szCs w:val="16"/>
                <w:lang w:eastAsia="en-US"/>
              </w:rPr>
              <w:t>Technická podpora ICIS zahrnuje služby:</w:t>
            </w:r>
          </w:p>
          <w:p w:rsidR="001F1D68" w:rsidRPr="001F1D68" w:rsidRDefault="001F1D68" w:rsidP="00A4749D">
            <w:pPr>
              <w:pStyle w:val="Odstavecseseznamem"/>
              <w:numPr>
                <w:ilvl w:val="0"/>
                <w:numId w:val="36"/>
              </w:numPr>
              <w:ind w:left="269" w:hanging="283"/>
              <w:rPr>
                <w:rFonts w:cs="Calibri"/>
                <w:sz w:val="16"/>
                <w:szCs w:val="16"/>
              </w:rPr>
            </w:pPr>
            <w:r w:rsidRPr="001F1D68">
              <w:rPr>
                <w:rFonts w:cs="Calibri"/>
                <w:sz w:val="16"/>
                <w:szCs w:val="16"/>
              </w:rPr>
              <w:t>Servisní podpory.</w:t>
            </w:r>
          </w:p>
          <w:p w:rsidR="001F1D68" w:rsidRPr="001F1D68" w:rsidRDefault="001F1D68" w:rsidP="00A4749D">
            <w:pPr>
              <w:pStyle w:val="Odstavecseseznamem"/>
              <w:numPr>
                <w:ilvl w:val="0"/>
                <w:numId w:val="36"/>
              </w:numPr>
              <w:ind w:left="269" w:hanging="283"/>
              <w:rPr>
                <w:rFonts w:cs="Calibri"/>
                <w:sz w:val="16"/>
                <w:szCs w:val="16"/>
              </w:rPr>
            </w:pPr>
            <w:r w:rsidRPr="001F1D68">
              <w:rPr>
                <w:rFonts w:cs="Calibri"/>
                <w:sz w:val="16"/>
                <w:szCs w:val="16"/>
              </w:rPr>
              <w:t>Podpory Licenčního SW (</w:t>
            </w:r>
            <w:proofErr w:type="spellStart"/>
            <w:r w:rsidRPr="001F1D68">
              <w:rPr>
                <w:rFonts w:cs="Calibri"/>
                <w:sz w:val="16"/>
                <w:szCs w:val="16"/>
              </w:rPr>
              <w:t>maintenance</w:t>
            </w:r>
            <w:proofErr w:type="spellEnd"/>
            <w:r w:rsidRPr="001F1D68">
              <w:rPr>
                <w:rFonts w:cs="Calibri"/>
                <w:sz w:val="16"/>
                <w:szCs w:val="16"/>
              </w:rPr>
              <w:t>).</w:t>
            </w:r>
          </w:p>
          <w:p w:rsidR="00CB7581" w:rsidRPr="001F1D68" w:rsidRDefault="001F1D68" w:rsidP="00A4749D">
            <w:pPr>
              <w:pStyle w:val="Odstavecseseznamem"/>
              <w:numPr>
                <w:ilvl w:val="0"/>
                <w:numId w:val="36"/>
              </w:numPr>
              <w:ind w:left="269" w:hanging="283"/>
              <w:rPr>
                <w:rFonts w:cs="Calibri"/>
                <w:sz w:val="16"/>
                <w:szCs w:val="16"/>
              </w:rPr>
            </w:pPr>
            <w:r w:rsidRPr="001F1D68">
              <w:rPr>
                <w:rFonts w:cs="Calibri"/>
                <w:sz w:val="16"/>
                <w:szCs w:val="16"/>
              </w:rPr>
              <w:t xml:space="preserve">Podpory </w:t>
            </w:r>
            <w:r w:rsidR="0045230D">
              <w:rPr>
                <w:rFonts w:cs="Calibri"/>
                <w:sz w:val="16"/>
                <w:szCs w:val="16"/>
              </w:rPr>
              <w:t>ASW</w:t>
            </w:r>
            <w:r w:rsidRPr="001F1D68">
              <w:rPr>
                <w:rFonts w:cs="Calibri"/>
                <w:sz w:val="16"/>
                <w:szCs w:val="16"/>
              </w:rPr>
              <w:t xml:space="preserve">, to je Údržby </w:t>
            </w:r>
            <w:r w:rsidR="0045230D">
              <w:rPr>
                <w:rFonts w:cs="Calibri"/>
                <w:sz w:val="16"/>
                <w:szCs w:val="16"/>
              </w:rPr>
              <w:t>ASW</w:t>
            </w:r>
            <w:r w:rsidRPr="001F1D68">
              <w:rPr>
                <w:rFonts w:cs="Calibri"/>
                <w:sz w:val="16"/>
                <w:szCs w:val="16"/>
              </w:rPr>
              <w:t xml:space="preserve"> a Vývoje </w:t>
            </w:r>
            <w:r w:rsidR="0045230D">
              <w:rPr>
                <w:rFonts w:cs="Calibri"/>
                <w:sz w:val="16"/>
                <w:szCs w:val="16"/>
              </w:rPr>
              <w:t>ASW</w:t>
            </w:r>
            <w:r w:rsidRPr="001F1D68">
              <w:rPr>
                <w:rFonts w:cs="Calibri"/>
                <w:sz w:val="16"/>
                <w:szCs w:val="16"/>
              </w:rPr>
              <w:t>.</w:t>
            </w:r>
          </w:p>
          <w:p w:rsidR="00CB7581" w:rsidRPr="00CB7581" w:rsidRDefault="00CB7581" w:rsidP="00CB7581">
            <w:pPr>
              <w:ind w:left="360"/>
              <w:rPr>
                <w:rFonts w:cs="Calibri"/>
                <w:sz w:val="16"/>
                <w:szCs w:val="16"/>
                <w:lang w:eastAsia="en-US"/>
              </w:rPr>
            </w:pPr>
            <w:r w:rsidRPr="00CB7581">
              <w:rPr>
                <w:rFonts w:cs="Calibri"/>
                <w:sz w:val="16"/>
                <w:szCs w:val="16"/>
                <w:lang w:eastAsia="en-US"/>
              </w:rPr>
              <w:t xml:space="preserve"> </w:t>
            </w:r>
          </w:p>
          <w:p w:rsidR="00CB7581" w:rsidRPr="00CB7581" w:rsidRDefault="00CB7581" w:rsidP="00CB7581">
            <w:pPr>
              <w:rPr>
                <w:rFonts w:cs="Calibri"/>
                <w:sz w:val="16"/>
                <w:szCs w:val="16"/>
                <w:lang w:eastAsia="en-US"/>
              </w:rPr>
            </w:pPr>
            <w:r w:rsidRPr="00CB7581">
              <w:rPr>
                <w:rFonts w:cs="Calibri"/>
                <w:sz w:val="16"/>
                <w:szCs w:val="16"/>
                <w:lang w:eastAsia="en-US"/>
              </w:rPr>
              <w:t xml:space="preserve">Součástí je v obou případech tvorba a aktualizace uživatelské, bezpečnostní, projektové a provozní dokumentace, testování, školení apod. </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S02</w:t>
            </w:r>
          </w:p>
        </w:tc>
        <w:tc>
          <w:tcPr>
            <w:tcW w:w="2114" w:type="dxa"/>
            <w:shd w:val="clear" w:color="auto" w:fill="F2DBDB"/>
          </w:tcPr>
          <w:p w:rsidR="00CB7581" w:rsidRPr="00CB7581" w:rsidRDefault="00CB7581" w:rsidP="00CB7581">
            <w:pPr>
              <w:rPr>
                <w:rFonts w:cs="Calibri"/>
                <w:b/>
                <w:sz w:val="16"/>
                <w:szCs w:val="16"/>
                <w:lang w:eastAsia="en-US"/>
              </w:rPr>
            </w:pPr>
            <w:r w:rsidRPr="00CB7581">
              <w:rPr>
                <w:rFonts w:cs="Calibri"/>
                <w:b/>
                <w:sz w:val="16"/>
                <w:szCs w:val="16"/>
                <w:lang w:eastAsia="en-US"/>
              </w:rPr>
              <w:t xml:space="preserve">Profylaktická </w:t>
            </w:r>
          </w:p>
          <w:p w:rsidR="00CB7581" w:rsidRPr="00CB7581" w:rsidRDefault="00CB7581" w:rsidP="00CB7581">
            <w:pPr>
              <w:rPr>
                <w:rFonts w:cs="Calibri"/>
                <w:b/>
                <w:sz w:val="16"/>
                <w:szCs w:val="16"/>
                <w:lang w:eastAsia="en-US"/>
              </w:rPr>
            </w:pPr>
            <w:r w:rsidRPr="00CB7581">
              <w:rPr>
                <w:rFonts w:cs="Calibri"/>
                <w:b/>
                <w:sz w:val="16"/>
                <w:szCs w:val="16"/>
                <w:lang w:eastAsia="en-US"/>
              </w:rPr>
              <w:t>kontrola</w:t>
            </w:r>
          </w:p>
        </w:tc>
        <w:tc>
          <w:tcPr>
            <w:tcW w:w="5811" w:type="dxa"/>
            <w:shd w:val="clear" w:color="auto" w:fill="F2DBDB"/>
          </w:tcPr>
          <w:p w:rsidR="00CB7581" w:rsidRPr="00CB7581" w:rsidRDefault="00CB7581" w:rsidP="00CB7581">
            <w:pPr>
              <w:rPr>
                <w:rFonts w:cs="Calibri"/>
                <w:sz w:val="16"/>
                <w:szCs w:val="16"/>
                <w:lang w:eastAsia="en-US"/>
              </w:rPr>
            </w:pPr>
            <w:r w:rsidRPr="00CB7581">
              <w:rPr>
                <w:rFonts w:cs="Calibri"/>
                <w:sz w:val="16"/>
                <w:szCs w:val="16"/>
                <w:lang w:eastAsia="en-US"/>
              </w:rPr>
              <w:t>Zahrnuje preventivní a funkční prohlídky ASW a LSW s cílem predikce nesrovnalostí a závad.</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lastRenderedPageBreak/>
              <w:t>S03</w:t>
            </w:r>
          </w:p>
        </w:tc>
        <w:tc>
          <w:tcPr>
            <w:tcW w:w="2114" w:type="dxa"/>
            <w:shd w:val="clear" w:color="auto" w:fill="FFFFFF"/>
          </w:tcPr>
          <w:p w:rsidR="00CB7581" w:rsidRPr="00CB7581" w:rsidRDefault="00CB7581" w:rsidP="00CB7581">
            <w:pPr>
              <w:rPr>
                <w:rFonts w:cs="Calibri"/>
                <w:b/>
                <w:sz w:val="16"/>
                <w:szCs w:val="16"/>
                <w:lang w:eastAsia="en-US"/>
              </w:rPr>
            </w:pPr>
            <w:r w:rsidRPr="00CB7581">
              <w:rPr>
                <w:rFonts w:cs="Calibri"/>
                <w:b/>
                <w:sz w:val="16"/>
                <w:szCs w:val="16"/>
                <w:lang w:eastAsia="en-US"/>
              </w:rPr>
              <w:t xml:space="preserve">Systémová </w:t>
            </w:r>
          </w:p>
          <w:p w:rsidR="00CB7581" w:rsidRPr="00CB7581" w:rsidRDefault="00CB7581" w:rsidP="00CB7581">
            <w:pPr>
              <w:rPr>
                <w:rFonts w:cs="Calibri"/>
                <w:b/>
                <w:sz w:val="16"/>
                <w:szCs w:val="16"/>
                <w:lang w:eastAsia="en-US"/>
              </w:rPr>
            </w:pPr>
            <w:r w:rsidRPr="00CB7581">
              <w:rPr>
                <w:rFonts w:cs="Calibri"/>
                <w:b/>
                <w:sz w:val="16"/>
                <w:szCs w:val="16"/>
                <w:lang w:eastAsia="en-US"/>
              </w:rPr>
              <w:t>podpora ICIS</w:t>
            </w:r>
          </w:p>
        </w:tc>
        <w:tc>
          <w:tcPr>
            <w:tcW w:w="5811" w:type="dxa"/>
            <w:shd w:val="clear" w:color="auto" w:fill="FFFFFF"/>
          </w:tcPr>
          <w:p w:rsidR="00CB7581" w:rsidRPr="00CB7581" w:rsidRDefault="00CB7581" w:rsidP="00CB7581">
            <w:pPr>
              <w:rPr>
                <w:rFonts w:cs="Calibri"/>
                <w:sz w:val="16"/>
                <w:szCs w:val="16"/>
                <w:lang w:eastAsia="en-US"/>
              </w:rPr>
            </w:pPr>
            <w:r w:rsidRPr="00CB7581">
              <w:rPr>
                <w:rFonts w:cs="Calibri"/>
                <w:sz w:val="16"/>
                <w:szCs w:val="16"/>
                <w:lang w:eastAsia="en-US"/>
              </w:rPr>
              <w:t xml:space="preserve">Zahrnuje systémové služby k zajištění provozu a správy ICIS. Jedná se zejména o instalace SW, konfigurace, migrace apod. </w:t>
            </w:r>
            <w:r w:rsidR="0003635B">
              <w:rPr>
                <w:rFonts w:cs="Calibri"/>
                <w:sz w:val="16"/>
                <w:szCs w:val="16"/>
                <w:lang w:eastAsia="en-US"/>
              </w:rPr>
              <w:t>Jedná se o služby v rámci Servisní podpory.</w:t>
            </w:r>
          </w:p>
          <w:p w:rsidR="00CB7581" w:rsidRPr="00CB7581" w:rsidRDefault="00CB7581" w:rsidP="00CB7581">
            <w:pPr>
              <w:rPr>
                <w:rFonts w:cs="Calibri"/>
                <w:sz w:val="16"/>
                <w:szCs w:val="16"/>
                <w:lang w:eastAsia="en-US"/>
              </w:rPr>
            </w:pPr>
          </w:p>
          <w:p w:rsidR="00CB7581" w:rsidRPr="00CB7581" w:rsidRDefault="00CB7581" w:rsidP="00CB7581">
            <w:pPr>
              <w:rPr>
                <w:rFonts w:cs="Calibri"/>
                <w:sz w:val="16"/>
                <w:szCs w:val="16"/>
                <w:lang w:eastAsia="en-US"/>
              </w:rPr>
            </w:pPr>
            <w:r w:rsidRPr="00CB7581">
              <w:rPr>
                <w:rFonts w:cs="Calibri"/>
                <w:sz w:val="16"/>
                <w:szCs w:val="16"/>
                <w:lang w:eastAsia="en-US"/>
              </w:rPr>
              <w:t>Požadavky na služby a zásahy v rámci systémové podpory mohou být typu „Havarijní“ a „Normální“.</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S04</w:t>
            </w:r>
          </w:p>
        </w:tc>
        <w:tc>
          <w:tcPr>
            <w:tcW w:w="2114" w:type="dxa"/>
            <w:shd w:val="clear" w:color="auto" w:fill="F2DBDB"/>
          </w:tcPr>
          <w:p w:rsidR="00CB7581" w:rsidRPr="00CB7581" w:rsidRDefault="00CB7581" w:rsidP="00CB7581">
            <w:pPr>
              <w:rPr>
                <w:rFonts w:cs="Calibri"/>
                <w:b/>
                <w:sz w:val="16"/>
                <w:szCs w:val="16"/>
                <w:lang w:eastAsia="en-US"/>
              </w:rPr>
            </w:pPr>
            <w:r w:rsidRPr="00CB7581">
              <w:rPr>
                <w:rFonts w:cs="Calibri"/>
                <w:b/>
                <w:sz w:val="16"/>
                <w:szCs w:val="16"/>
                <w:lang w:eastAsia="en-US"/>
              </w:rPr>
              <w:t xml:space="preserve">Školení </w:t>
            </w:r>
          </w:p>
          <w:p w:rsidR="00CB7581" w:rsidRPr="00CB7581" w:rsidRDefault="00CB7581" w:rsidP="00CB7581">
            <w:pPr>
              <w:rPr>
                <w:rFonts w:cs="Calibri"/>
                <w:b/>
                <w:sz w:val="16"/>
                <w:szCs w:val="16"/>
                <w:lang w:eastAsia="en-US"/>
              </w:rPr>
            </w:pPr>
            <w:r w:rsidRPr="00CB7581">
              <w:rPr>
                <w:rFonts w:cs="Calibri"/>
                <w:b/>
                <w:sz w:val="16"/>
                <w:szCs w:val="16"/>
                <w:lang w:eastAsia="en-US"/>
              </w:rPr>
              <w:t>a konzultace</w:t>
            </w:r>
          </w:p>
        </w:tc>
        <w:tc>
          <w:tcPr>
            <w:tcW w:w="5811" w:type="dxa"/>
            <w:shd w:val="clear" w:color="auto" w:fill="F2DBDB"/>
          </w:tcPr>
          <w:p w:rsidR="00CB7581" w:rsidRDefault="00CB7581" w:rsidP="00CB7581">
            <w:pPr>
              <w:rPr>
                <w:rFonts w:cs="Calibri"/>
                <w:sz w:val="16"/>
                <w:szCs w:val="16"/>
                <w:lang w:eastAsia="en-US"/>
              </w:rPr>
            </w:pPr>
            <w:r w:rsidRPr="00CB7581">
              <w:rPr>
                <w:rFonts w:cs="Calibri"/>
                <w:sz w:val="16"/>
                <w:szCs w:val="16"/>
                <w:lang w:eastAsia="en-US"/>
              </w:rPr>
              <w:t>Zahrnuje služby k zajištění školení, prezentací, seminářů uživatelů a správců ICIS lektory anebo formou e-</w:t>
            </w:r>
            <w:proofErr w:type="spellStart"/>
            <w:r w:rsidRPr="00CB7581">
              <w:rPr>
                <w:rFonts w:cs="Calibri"/>
                <w:sz w:val="16"/>
                <w:szCs w:val="16"/>
                <w:lang w:eastAsia="en-US"/>
              </w:rPr>
              <w:t>learningu</w:t>
            </w:r>
            <w:proofErr w:type="spellEnd"/>
            <w:r w:rsidRPr="00CB7581">
              <w:rPr>
                <w:rFonts w:cs="Calibri"/>
                <w:sz w:val="16"/>
                <w:szCs w:val="16"/>
                <w:lang w:eastAsia="en-US"/>
              </w:rPr>
              <w:t>.</w:t>
            </w:r>
          </w:p>
          <w:p w:rsidR="0045230D" w:rsidRDefault="0045230D" w:rsidP="00CB7581">
            <w:pPr>
              <w:rPr>
                <w:rFonts w:cs="Calibri"/>
                <w:sz w:val="16"/>
                <w:szCs w:val="16"/>
                <w:lang w:eastAsia="en-US"/>
              </w:rPr>
            </w:pPr>
          </w:p>
          <w:p w:rsidR="0045230D" w:rsidRPr="00CB7581" w:rsidRDefault="0045230D" w:rsidP="0045230D">
            <w:pPr>
              <w:rPr>
                <w:rFonts w:cs="Calibri"/>
                <w:sz w:val="16"/>
                <w:szCs w:val="16"/>
                <w:lang w:eastAsia="en-US"/>
              </w:rPr>
            </w:pPr>
            <w:r>
              <w:rPr>
                <w:rFonts w:cs="Calibri"/>
                <w:sz w:val="16"/>
                <w:szCs w:val="16"/>
                <w:lang w:eastAsia="en-US"/>
              </w:rPr>
              <w:t>Pozn.: služby školení, konzultace a prezentace jsou vyžadovány jen jako součást dodávky nových modulů a úprav funkcí ASW ICIS. V rámci Smlouvy o technické podpoře nebude standardní školení poptáváno.</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S05</w:t>
            </w:r>
          </w:p>
        </w:tc>
        <w:tc>
          <w:tcPr>
            <w:tcW w:w="2114" w:type="dxa"/>
            <w:shd w:val="clear" w:color="auto" w:fill="FFFFFF"/>
          </w:tcPr>
          <w:p w:rsidR="00CB7581" w:rsidRPr="00CB7581" w:rsidRDefault="00CB7581" w:rsidP="00CB7581">
            <w:pPr>
              <w:rPr>
                <w:rFonts w:cs="Calibri"/>
                <w:b/>
                <w:sz w:val="16"/>
                <w:szCs w:val="16"/>
                <w:lang w:eastAsia="en-US"/>
              </w:rPr>
            </w:pPr>
            <w:r w:rsidRPr="00CB7581">
              <w:rPr>
                <w:rFonts w:cs="Calibri"/>
                <w:b/>
                <w:sz w:val="16"/>
                <w:szCs w:val="16"/>
                <w:lang w:eastAsia="en-US"/>
              </w:rPr>
              <w:t>Projektové řízení</w:t>
            </w:r>
          </w:p>
        </w:tc>
        <w:tc>
          <w:tcPr>
            <w:tcW w:w="5811" w:type="dxa"/>
            <w:shd w:val="clear" w:color="auto" w:fill="FFFFFF"/>
          </w:tcPr>
          <w:p w:rsidR="00CB7581" w:rsidRPr="00CB7581" w:rsidRDefault="00CB7581" w:rsidP="00CB7581">
            <w:pPr>
              <w:rPr>
                <w:rFonts w:cs="Calibri"/>
                <w:sz w:val="16"/>
                <w:szCs w:val="16"/>
                <w:lang w:eastAsia="en-US"/>
              </w:rPr>
            </w:pPr>
            <w:r w:rsidRPr="00CB7581">
              <w:rPr>
                <w:rFonts w:cs="Calibri"/>
                <w:sz w:val="16"/>
                <w:szCs w:val="16"/>
                <w:lang w:eastAsia="en-US"/>
              </w:rPr>
              <w:t>Zahrnuje služby spojené s řízením projektů, vedením příslušné projektové dokumentace, účast na kontrolních dnech, řídících výborech projektů apod.</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S06</w:t>
            </w:r>
          </w:p>
        </w:tc>
        <w:tc>
          <w:tcPr>
            <w:tcW w:w="2114" w:type="dxa"/>
            <w:shd w:val="clear" w:color="auto" w:fill="F2DBDB"/>
          </w:tcPr>
          <w:p w:rsidR="00CB7581" w:rsidRPr="00CB7581" w:rsidRDefault="00CB7581" w:rsidP="00CB7581">
            <w:pPr>
              <w:rPr>
                <w:rFonts w:cs="Calibri"/>
                <w:b/>
                <w:sz w:val="16"/>
                <w:szCs w:val="16"/>
                <w:lang w:eastAsia="en-US"/>
              </w:rPr>
            </w:pPr>
            <w:r w:rsidRPr="00CB7581">
              <w:rPr>
                <w:rFonts w:cs="Calibri"/>
                <w:b/>
                <w:sz w:val="16"/>
                <w:szCs w:val="16"/>
                <w:lang w:eastAsia="en-US"/>
              </w:rPr>
              <w:t>Monitoring</w:t>
            </w:r>
          </w:p>
        </w:tc>
        <w:tc>
          <w:tcPr>
            <w:tcW w:w="5811" w:type="dxa"/>
            <w:shd w:val="clear" w:color="auto" w:fill="F2DBDB"/>
          </w:tcPr>
          <w:p w:rsidR="00CB7581" w:rsidRPr="00CB7581" w:rsidRDefault="00CB7581" w:rsidP="00CB7581">
            <w:pPr>
              <w:rPr>
                <w:rFonts w:cs="Calibri"/>
                <w:sz w:val="16"/>
                <w:szCs w:val="16"/>
                <w:lang w:eastAsia="en-US"/>
              </w:rPr>
            </w:pPr>
            <w:r w:rsidRPr="00CB7581">
              <w:rPr>
                <w:rFonts w:cs="Calibri"/>
                <w:sz w:val="16"/>
                <w:szCs w:val="16"/>
                <w:lang w:eastAsia="en-US"/>
              </w:rPr>
              <w:t>Zahrnuje služby periodické kontroly stanovených parametrů ICIS, obvykle technickými prostředky.</w:t>
            </w:r>
          </w:p>
        </w:tc>
      </w:tr>
      <w:tr w:rsidR="00682124" w:rsidRPr="00221F17" w:rsidTr="00CB7581">
        <w:trPr>
          <w:trHeight w:val="700"/>
        </w:trPr>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S07</w:t>
            </w:r>
          </w:p>
        </w:tc>
        <w:tc>
          <w:tcPr>
            <w:tcW w:w="2114" w:type="dxa"/>
            <w:shd w:val="clear" w:color="auto" w:fill="FFFFFF"/>
          </w:tcPr>
          <w:p w:rsidR="00CB7581" w:rsidRPr="00CB7581" w:rsidRDefault="0003635B" w:rsidP="00CB7581">
            <w:pPr>
              <w:rPr>
                <w:rFonts w:cs="Calibri"/>
                <w:b/>
                <w:sz w:val="16"/>
                <w:szCs w:val="16"/>
                <w:lang w:eastAsia="en-US"/>
              </w:rPr>
            </w:pPr>
            <w:r>
              <w:rPr>
                <w:rFonts w:cs="Calibri"/>
                <w:b/>
                <w:sz w:val="16"/>
                <w:szCs w:val="16"/>
                <w:lang w:eastAsia="en-US"/>
              </w:rPr>
              <w:t xml:space="preserve">Služby </w:t>
            </w:r>
            <w:r w:rsidR="00CB7581" w:rsidRPr="00CB7581">
              <w:rPr>
                <w:rFonts w:cs="Calibri"/>
                <w:b/>
                <w:sz w:val="16"/>
                <w:szCs w:val="16"/>
                <w:lang w:eastAsia="en-US"/>
              </w:rPr>
              <w:t>Hot-line</w:t>
            </w:r>
          </w:p>
        </w:tc>
        <w:tc>
          <w:tcPr>
            <w:tcW w:w="5811" w:type="dxa"/>
            <w:shd w:val="clear" w:color="auto" w:fill="FFFFFF"/>
          </w:tcPr>
          <w:p w:rsidR="00CB7581" w:rsidRPr="00CB7581" w:rsidRDefault="00CB7581" w:rsidP="00CB7581">
            <w:pPr>
              <w:keepNext/>
              <w:keepLines/>
              <w:jc w:val="both"/>
              <w:outlineLvl w:val="7"/>
              <w:rPr>
                <w:rFonts w:cs="Calibri"/>
                <w:color w:val="404040"/>
                <w:sz w:val="16"/>
                <w:szCs w:val="16"/>
                <w:lang w:eastAsia="en-US"/>
              </w:rPr>
            </w:pPr>
            <w:r w:rsidRPr="00CB7581">
              <w:rPr>
                <w:rFonts w:cs="Calibri"/>
                <w:color w:val="404040"/>
                <w:sz w:val="16"/>
                <w:szCs w:val="16"/>
                <w:lang w:eastAsia="en-US"/>
              </w:rPr>
              <w:t>Zahrnuje podporu uživatelům a správcům při vyřízení požadavků na krátké dotazy spojené s provozem a užíváním ICIS podaných obvykle telefonem, emailem či jinými elektronickými kanály apod.</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S08</w:t>
            </w:r>
          </w:p>
        </w:tc>
        <w:tc>
          <w:tcPr>
            <w:tcW w:w="2114" w:type="dxa"/>
            <w:shd w:val="clear" w:color="auto" w:fill="F2DBDB"/>
          </w:tcPr>
          <w:p w:rsidR="00CB7581" w:rsidRPr="00CB7581" w:rsidRDefault="00D51CFA" w:rsidP="00CB7581">
            <w:pPr>
              <w:rPr>
                <w:rFonts w:cs="Calibri"/>
                <w:b/>
                <w:sz w:val="16"/>
                <w:szCs w:val="16"/>
                <w:lang w:eastAsia="en-US"/>
              </w:rPr>
            </w:pPr>
            <w:r w:rsidRPr="00D51CFA">
              <w:rPr>
                <w:rFonts w:cs="Calibri"/>
                <w:b/>
                <w:sz w:val="16"/>
                <w:szCs w:val="16"/>
                <w:lang w:eastAsia="en-US"/>
              </w:rPr>
              <w:t>Podpora Licenčního software (</w:t>
            </w:r>
            <w:proofErr w:type="spellStart"/>
            <w:r w:rsidRPr="00D51CFA">
              <w:rPr>
                <w:rFonts w:cs="Calibri"/>
                <w:b/>
                <w:sz w:val="16"/>
                <w:szCs w:val="16"/>
                <w:lang w:eastAsia="en-US"/>
              </w:rPr>
              <w:t>maintenance</w:t>
            </w:r>
            <w:proofErr w:type="spellEnd"/>
            <w:r w:rsidRPr="00D51CFA">
              <w:rPr>
                <w:rFonts w:cs="Calibri"/>
                <w:b/>
                <w:sz w:val="16"/>
                <w:szCs w:val="16"/>
                <w:lang w:eastAsia="en-US"/>
              </w:rPr>
              <w:t>)</w:t>
            </w:r>
          </w:p>
        </w:tc>
        <w:tc>
          <w:tcPr>
            <w:tcW w:w="5811" w:type="dxa"/>
            <w:shd w:val="clear" w:color="auto" w:fill="F2DBDB"/>
          </w:tcPr>
          <w:p w:rsidR="00CB7581" w:rsidRPr="00CB7581" w:rsidRDefault="00CB7581" w:rsidP="00CB7581">
            <w:pPr>
              <w:rPr>
                <w:rFonts w:cs="Calibri"/>
                <w:sz w:val="16"/>
                <w:szCs w:val="16"/>
                <w:lang w:eastAsia="en-US"/>
              </w:rPr>
            </w:pPr>
            <w:r w:rsidRPr="00CB7581">
              <w:rPr>
                <w:rFonts w:cs="Calibri"/>
                <w:sz w:val="16"/>
                <w:szCs w:val="16"/>
                <w:lang w:eastAsia="en-US"/>
              </w:rPr>
              <w:t>Zahrnuje služby dle licenčních smluv výrobců LSW (</w:t>
            </w:r>
            <w:proofErr w:type="spellStart"/>
            <w:r w:rsidRPr="00CB7581">
              <w:rPr>
                <w:rFonts w:cs="Calibri"/>
                <w:sz w:val="16"/>
                <w:szCs w:val="16"/>
                <w:lang w:eastAsia="en-US"/>
              </w:rPr>
              <w:t>maintenance</w:t>
            </w:r>
            <w:proofErr w:type="spellEnd"/>
            <w:r w:rsidRPr="00CB7581">
              <w:rPr>
                <w:rFonts w:cs="Calibri"/>
                <w:sz w:val="16"/>
                <w:szCs w:val="16"/>
                <w:lang w:eastAsia="en-US"/>
              </w:rPr>
              <w:t xml:space="preserve"> LSW).</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S09</w:t>
            </w:r>
          </w:p>
        </w:tc>
        <w:tc>
          <w:tcPr>
            <w:tcW w:w="2114" w:type="dxa"/>
            <w:shd w:val="clear" w:color="auto" w:fill="FFFFFF"/>
          </w:tcPr>
          <w:p w:rsidR="00CB7581" w:rsidRPr="00CB7581" w:rsidRDefault="00CB7581" w:rsidP="00CB7581">
            <w:pPr>
              <w:rPr>
                <w:rFonts w:cs="Calibri"/>
                <w:b/>
                <w:sz w:val="16"/>
                <w:szCs w:val="16"/>
                <w:lang w:eastAsia="en-US"/>
              </w:rPr>
            </w:pPr>
            <w:proofErr w:type="spellStart"/>
            <w:r w:rsidRPr="00CB7581">
              <w:rPr>
                <w:rFonts w:cs="Calibri"/>
                <w:b/>
                <w:sz w:val="16"/>
                <w:szCs w:val="16"/>
                <w:lang w:eastAsia="en-US"/>
              </w:rPr>
              <w:t>ServiceDesk</w:t>
            </w:r>
            <w:proofErr w:type="spellEnd"/>
            <w:r w:rsidRPr="00CB7581">
              <w:rPr>
                <w:rFonts w:cs="Calibri"/>
                <w:b/>
                <w:sz w:val="16"/>
                <w:szCs w:val="16"/>
                <w:lang w:eastAsia="en-US"/>
              </w:rPr>
              <w:t xml:space="preserve"> /</w:t>
            </w:r>
          </w:p>
          <w:p w:rsidR="00CB7581" w:rsidRPr="00CB7581" w:rsidRDefault="00CB7581" w:rsidP="00CB7581">
            <w:pPr>
              <w:rPr>
                <w:rFonts w:cs="Calibri"/>
                <w:b/>
                <w:sz w:val="16"/>
                <w:szCs w:val="16"/>
                <w:lang w:eastAsia="en-US"/>
              </w:rPr>
            </w:pPr>
            <w:proofErr w:type="spellStart"/>
            <w:r w:rsidRPr="00CB7581">
              <w:rPr>
                <w:rFonts w:cs="Calibri"/>
                <w:b/>
                <w:sz w:val="16"/>
                <w:szCs w:val="16"/>
                <w:lang w:eastAsia="en-US"/>
              </w:rPr>
              <w:t>HelpDesk</w:t>
            </w:r>
            <w:proofErr w:type="spellEnd"/>
          </w:p>
        </w:tc>
        <w:tc>
          <w:tcPr>
            <w:tcW w:w="5811" w:type="dxa"/>
            <w:shd w:val="clear" w:color="auto" w:fill="FFFFFF"/>
          </w:tcPr>
          <w:p w:rsidR="00CB7581" w:rsidRPr="00CB7581" w:rsidRDefault="00CB7581" w:rsidP="00CB7581">
            <w:pPr>
              <w:rPr>
                <w:rFonts w:cs="Calibri"/>
                <w:sz w:val="16"/>
                <w:szCs w:val="16"/>
                <w:lang w:eastAsia="en-US"/>
              </w:rPr>
            </w:pPr>
            <w:r w:rsidRPr="00CB7581">
              <w:rPr>
                <w:rFonts w:cs="Calibri"/>
                <w:sz w:val="16"/>
                <w:szCs w:val="16"/>
                <w:lang w:eastAsia="en-US"/>
              </w:rPr>
              <w:t xml:space="preserve">Zahrnuje služby  řešení a eskalace zjištěných nesrovnalostí a vad ICIS (jeho ASW, LSW) vedoucí k jejich vyřízení/odstranění. </w:t>
            </w:r>
          </w:p>
          <w:p w:rsidR="00CB7581" w:rsidRPr="00CB7581" w:rsidRDefault="00CB7581" w:rsidP="00CB7581">
            <w:pPr>
              <w:rPr>
                <w:rFonts w:cs="Calibri"/>
                <w:sz w:val="16"/>
                <w:szCs w:val="16"/>
                <w:lang w:eastAsia="en-US"/>
              </w:rPr>
            </w:pPr>
            <w:r w:rsidRPr="00CB7581">
              <w:rPr>
                <w:rFonts w:cs="Calibri"/>
                <w:sz w:val="16"/>
                <w:szCs w:val="16"/>
                <w:lang w:eastAsia="en-US"/>
              </w:rPr>
              <w:t xml:space="preserve">Součástí je též přístup žadatelů o servisní zásah na </w:t>
            </w:r>
            <w:proofErr w:type="spellStart"/>
            <w:r w:rsidRPr="00CB7581">
              <w:rPr>
                <w:rFonts w:cs="Calibri"/>
                <w:sz w:val="16"/>
                <w:szCs w:val="16"/>
                <w:lang w:eastAsia="en-US"/>
              </w:rPr>
              <w:t>ServiceDesk</w:t>
            </w:r>
            <w:proofErr w:type="spellEnd"/>
            <w:r w:rsidRPr="00CB7581">
              <w:rPr>
                <w:rFonts w:cs="Calibri"/>
                <w:sz w:val="16"/>
                <w:szCs w:val="16"/>
                <w:lang w:eastAsia="en-US"/>
              </w:rPr>
              <w:t>/</w:t>
            </w:r>
            <w:proofErr w:type="spellStart"/>
            <w:r w:rsidRPr="00CB7581">
              <w:rPr>
                <w:rFonts w:cs="Calibri"/>
                <w:sz w:val="16"/>
                <w:szCs w:val="16"/>
                <w:lang w:eastAsia="en-US"/>
              </w:rPr>
              <w:t>HelpDesk</w:t>
            </w:r>
            <w:proofErr w:type="spellEnd"/>
            <w:r w:rsidRPr="00CB7581">
              <w:rPr>
                <w:rFonts w:cs="Calibri"/>
                <w:sz w:val="16"/>
                <w:szCs w:val="16"/>
                <w:lang w:eastAsia="en-US"/>
              </w:rPr>
              <w:t xml:space="preserve"> dodavatele. </w:t>
            </w:r>
          </w:p>
          <w:p w:rsidR="00CB7581" w:rsidRPr="00CB7581" w:rsidRDefault="00CB7581" w:rsidP="00CB7581">
            <w:pPr>
              <w:rPr>
                <w:rFonts w:cs="Calibri"/>
                <w:sz w:val="16"/>
                <w:szCs w:val="16"/>
                <w:lang w:eastAsia="en-US"/>
              </w:rPr>
            </w:pPr>
            <w:r w:rsidRPr="00CB7581">
              <w:rPr>
                <w:rFonts w:cs="Calibri"/>
                <w:sz w:val="16"/>
                <w:szCs w:val="16"/>
                <w:lang w:eastAsia="en-US"/>
              </w:rPr>
              <w:t>Jedná se o požadavky na řešení vad (zásahy) typu „Havarijní“ a „Normální“.</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S10</w:t>
            </w:r>
          </w:p>
        </w:tc>
        <w:tc>
          <w:tcPr>
            <w:tcW w:w="2114" w:type="dxa"/>
            <w:shd w:val="clear" w:color="auto" w:fill="F2DBDB"/>
          </w:tcPr>
          <w:p w:rsidR="00CB7581" w:rsidRPr="00CB7581" w:rsidRDefault="00CB7581" w:rsidP="00CB7581">
            <w:pPr>
              <w:rPr>
                <w:rFonts w:cs="Calibri"/>
                <w:b/>
                <w:sz w:val="16"/>
                <w:szCs w:val="16"/>
                <w:lang w:eastAsia="en-US"/>
              </w:rPr>
            </w:pPr>
            <w:r w:rsidRPr="00CB7581">
              <w:rPr>
                <w:rFonts w:cs="Calibri"/>
                <w:b/>
                <w:sz w:val="16"/>
                <w:szCs w:val="16"/>
                <w:lang w:eastAsia="en-US"/>
              </w:rPr>
              <w:t>Reklamace</w:t>
            </w:r>
          </w:p>
        </w:tc>
        <w:tc>
          <w:tcPr>
            <w:tcW w:w="5811" w:type="dxa"/>
            <w:shd w:val="clear" w:color="auto" w:fill="F2DBDB"/>
          </w:tcPr>
          <w:p w:rsidR="00CB7581" w:rsidRPr="00CB7581" w:rsidRDefault="00CB7581" w:rsidP="00CB7581">
            <w:pPr>
              <w:rPr>
                <w:rFonts w:cs="Calibri"/>
                <w:sz w:val="16"/>
                <w:szCs w:val="16"/>
                <w:lang w:eastAsia="en-US"/>
              </w:rPr>
            </w:pPr>
            <w:r w:rsidRPr="00CB7581">
              <w:rPr>
                <w:rFonts w:cs="Calibri"/>
                <w:sz w:val="16"/>
                <w:szCs w:val="16"/>
                <w:lang w:eastAsia="en-US"/>
              </w:rPr>
              <w:t xml:space="preserve">Zahrnuje služby dle reklamačního řádu výrobce (prodejce / distributora) příslušného LSW a </w:t>
            </w:r>
            <w:r w:rsidR="00AB50D1">
              <w:rPr>
                <w:rFonts w:cs="Calibri"/>
                <w:sz w:val="16"/>
                <w:szCs w:val="16"/>
                <w:lang w:eastAsia="en-US"/>
              </w:rPr>
              <w:t>d</w:t>
            </w:r>
            <w:r w:rsidR="000F7926">
              <w:rPr>
                <w:rFonts w:cs="Calibri"/>
                <w:sz w:val="16"/>
                <w:szCs w:val="16"/>
                <w:lang w:eastAsia="en-US"/>
              </w:rPr>
              <w:t>odavatel</w:t>
            </w:r>
            <w:r w:rsidRPr="00CB7581">
              <w:rPr>
                <w:rFonts w:cs="Calibri"/>
                <w:sz w:val="16"/>
                <w:szCs w:val="16"/>
                <w:lang w:eastAsia="en-US"/>
              </w:rPr>
              <w:t>e ASW.</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S11</w:t>
            </w:r>
          </w:p>
        </w:tc>
        <w:tc>
          <w:tcPr>
            <w:tcW w:w="2114" w:type="dxa"/>
            <w:shd w:val="clear" w:color="auto" w:fill="FFFFFF"/>
          </w:tcPr>
          <w:p w:rsidR="00CB7581" w:rsidRPr="00CB7581" w:rsidRDefault="00CB7581" w:rsidP="00CB7581">
            <w:pPr>
              <w:rPr>
                <w:rFonts w:cs="Calibri"/>
                <w:b/>
                <w:sz w:val="16"/>
                <w:szCs w:val="16"/>
                <w:lang w:eastAsia="en-US"/>
              </w:rPr>
            </w:pPr>
            <w:r w:rsidRPr="00CB7581">
              <w:rPr>
                <w:rFonts w:cs="Calibri"/>
                <w:b/>
                <w:sz w:val="16"/>
                <w:szCs w:val="16"/>
                <w:lang w:eastAsia="en-US"/>
              </w:rPr>
              <w:t>Reporting</w:t>
            </w:r>
          </w:p>
        </w:tc>
        <w:tc>
          <w:tcPr>
            <w:tcW w:w="5811" w:type="dxa"/>
            <w:shd w:val="clear" w:color="auto" w:fill="FFFFFF"/>
          </w:tcPr>
          <w:p w:rsidR="00CB7581" w:rsidRPr="00CB7581" w:rsidRDefault="00CB7581" w:rsidP="00CB7581">
            <w:pPr>
              <w:rPr>
                <w:rFonts w:cs="Calibri"/>
                <w:sz w:val="16"/>
                <w:szCs w:val="16"/>
                <w:lang w:eastAsia="en-US"/>
              </w:rPr>
            </w:pPr>
            <w:r w:rsidRPr="00CB7581">
              <w:rPr>
                <w:rFonts w:cs="Calibri"/>
                <w:sz w:val="16"/>
                <w:szCs w:val="16"/>
                <w:lang w:eastAsia="en-US"/>
              </w:rPr>
              <w:t>Služba pravidelného měsíčního reportingu o plnění sjednaných SLA. Slouží k zajištění kontroly plnění SLA.</w:t>
            </w:r>
          </w:p>
        </w:tc>
      </w:tr>
      <w:tr w:rsidR="00682124" w:rsidRPr="00221F17" w:rsidTr="00CB7581">
        <w:tc>
          <w:tcPr>
            <w:tcW w:w="721" w:type="dxa"/>
            <w:shd w:val="clear" w:color="auto" w:fill="E5B8B7"/>
          </w:tcPr>
          <w:p w:rsidR="00CB7581" w:rsidRPr="00CB7581" w:rsidRDefault="00CB7581" w:rsidP="00CB7581">
            <w:pPr>
              <w:rPr>
                <w:rFonts w:cs="Calibri"/>
                <w:b/>
                <w:sz w:val="16"/>
                <w:szCs w:val="16"/>
                <w:lang w:eastAsia="en-US"/>
              </w:rPr>
            </w:pPr>
            <w:r w:rsidRPr="00CB7581">
              <w:rPr>
                <w:rFonts w:cs="Calibri"/>
                <w:b/>
                <w:sz w:val="16"/>
                <w:szCs w:val="16"/>
                <w:lang w:eastAsia="en-US"/>
              </w:rPr>
              <w:t>S12</w:t>
            </w:r>
          </w:p>
        </w:tc>
        <w:tc>
          <w:tcPr>
            <w:tcW w:w="2114" w:type="dxa"/>
            <w:shd w:val="clear" w:color="auto" w:fill="F2DBDB"/>
          </w:tcPr>
          <w:p w:rsidR="00CB7581" w:rsidRPr="00CB7581" w:rsidRDefault="00D51CFA" w:rsidP="00CB7581">
            <w:pPr>
              <w:rPr>
                <w:rFonts w:cs="Calibri"/>
                <w:b/>
                <w:sz w:val="16"/>
                <w:szCs w:val="16"/>
                <w:lang w:eastAsia="en-US"/>
              </w:rPr>
            </w:pPr>
            <w:r>
              <w:rPr>
                <w:rFonts w:cs="Calibri"/>
                <w:b/>
                <w:sz w:val="16"/>
                <w:szCs w:val="16"/>
                <w:lang w:eastAsia="en-US"/>
              </w:rPr>
              <w:t>Podpora</w:t>
            </w:r>
            <w:r w:rsidR="00CB7581" w:rsidRPr="00CB7581">
              <w:rPr>
                <w:rFonts w:cs="Calibri"/>
                <w:b/>
                <w:sz w:val="16"/>
                <w:szCs w:val="16"/>
                <w:lang w:eastAsia="en-US"/>
              </w:rPr>
              <w:t xml:space="preserve"> ASW ICIS</w:t>
            </w:r>
          </w:p>
        </w:tc>
        <w:tc>
          <w:tcPr>
            <w:tcW w:w="5811" w:type="dxa"/>
            <w:shd w:val="clear" w:color="auto" w:fill="F2DBDB"/>
          </w:tcPr>
          <w:p w:rsidR="00CB7581" w:rsidRPr="00CB7581" w:rsidRDefault="00CB7581" w:rsidP="00CB7581">
            <w:pPr>
              <w:rPr>
                <w:rFonts w:cs="Calibri"/>
                <w:sz w:val="16"/>
                <w:szCs w:val="16"/>
                <w:lang w:eastAsia="en-US"/>
              </w:rPr>
            </w:pPr>
            <w:r w:rsidRPr="00CB7581">
              <w:rPr>
                <w:rFonts w:cs="Calibri"/>
                <w:sz w:val="16"/>
                <w:szCs w:val="16"/>
                <w:lang w:eastAsia="en-US"/>
              </w:rPr>
              <w:t>Zahrnuje upgrade a update dodaného ASW, jak od dodavatelů třetích stran, tak k produktům specificky vytvořeným a dodaným pro ICIS. Obsahuje:</w:t>
            </w:r>
          </w:p>
          <w:p w:rsidR="00CB7581" w:rsidRPr="00CB7581" w:rsidRDefault="00CB7581" w:rsidP="00A4749D">
            <w:pPr>
              <w:numPr>
                <w:ilvl w:val="0"/>
                <w:numId w:val="5"/>
              </w:numPr>
              <w:ind w:left="269" w:hanging="141"/>
              <w:contextualSpacing/>
              <w:jc w:val="both"/>
              <w:rPr>
                <w:rFonts w:cs="Calibri"/>
                <w:sz w:val="16"/>
                <w:szCs w:val="16"/>
                <w:lang w:eastAsia="en-US"/>
              </w:rPr>
            </w:pPr>
            <w:r w:rsidRPr="00CB7581">
              <w:rPr>
                <w:rFonts w:cs="Calibri"/>
                <w:sz w:val="16"/>
                <w:szCs w:val="16"/>
                <w:lang w:eastAsia="en-US"/>
              </w:rPr>
              <w:t xml:space="preserve">právo na nové verze systémů třetích stran, součástí jejichž dodávky je služba </w:t>
            </w:r>
            <w:proofErr w:type="spellStart"/>
            <w:r w:rsidRPr="00CB7581">
              <w:rPr>
                <w:rFonts w:cs="Calibri"/>
                <w:sz w:val="16"/>
                <w:szCs w:val="16"/>
                <w:lang w:eastAsia="en-US"/>
              </w:rPr>
              <w:t>maintenance</w:t>
            </w:r>
            <w:proofErr w:type="spellEnd"/>
            <w:r w:rsidRPr="00CB7581">
              <w:rPr>
                <w:rFonts w:cs="Calibri"/>
                <w:sz w:val="16"/>
                <w:szCs w:val="16"/>
                <w:lang w:eastAsia="en-US"/>
              </w:rPr>
              <w:t xml:space="preserve">  resp. Software </w:t>
            </w:r>
            <w:proofErr w:type="spellStart"/>
            <w:r w:rsidRPr="00CB7581">
              <w:rPr>
                <w:rFonts w:cs="Calibri"/>
                <w:sz w:val="16"/>
                <w:szCs w:val="16"/>
                <w:lang w:eastAsia="en-US"/>
              </w:rPr>
              <w:t>Assurance</w:t>
            </w:r>
            <w:proofErr w:type="spellEnd"/>
            <w:r w:rsidRPr="00CB7581">
              <w:rPr>
                <w:rFonts w:cs="Calibri"/>
                <w:sz w:val="16"/>
                <w:szCs w:val="16"/>
                <w:lang w:eastAsia="en-US"/>
              </w:rPr>
              <w:t xml:space="preserve"> resp. podpory daného ASW</w:t>
            </w:r>
          </w:p>
          <w:p w:rsidR="00CB7581" w:rsidRPr="00CB7581" w:rsidRDefault="00CB7581" w:rsidP="00A4749D">
            <w:pPr>
              <w:numPr>
                <w:ilvl w:val="0"/>
                <w:numId w:val="5"/>
              </w:numPr>
              <w:ind w:left="269" w:hanging="141"/>
              <w:contextualSpacing/>
              <w:jc w:val="both"/>
              <w:rPr>
                <w:rFonts w:cs="Calibri"/>
                <w:sz w:val="16"/>
                <w:szCs w:val="16"/>
                <w:lang w:eastAsia="en-US"/>
              </w:rPr>
            </w:pPr>
            <w:r w:rsidRPr="00CB7581">
              <w:rPr>
                <w:rFonts w:cs="Calibri"/>
                <w:sz w:val="16"/>
                <w:szCs w:val="16"/>
                <w:lang w:eastAsia="en-US"/>
              </w:rPr>
              <w:t xml:space="preserve">právo na upgrade a update </w:t>
            </w:r>
          </w:p>
          <w:p w:rsidR="00CB7581" w:rsidRPr="00CB7581" w:rsidRDefault="00CB7581" w:rsidP="00A4749D">
            <w:pPr>
              <w:numPr>
                <w:ilvl w:val="0"/>
                <w:numId w:val="5"/>
              </w:numPr>
              <w:ind w:left="269" w:hanging="141"/>
              <w:contextualSpacing/>
              <w:jc w:val="both"/>
              <w:rPr>
                <w:rFonts w:cs="Calibri"/>
                <w:sz w:val="16"/>
                <w:szCs w:val="16"/>
                <w:lang w:eastAsia="en-US"/>
              </w:rPr>
            </w:pPr>
            <w:r w:rsidRPr="00CB7581">
              <w:rPr>
                <w:rFonts w:cs="Calibri"/>
                <w:sz w:val="16"/>
                <w:szCs w:val="16"/>
                <w:lang w:eastAsia="en-US"/>
              </w:rPr>
              <w:t>legislativní servis systému ICIS</w:t>
            </w:r>
          </w:p>
          <w:p w:rsidR="00CB7581" w:rsidRPr="00CB7581" w:rsidRDefault="00CB7581" w:rsidP="00AB50D1">
            <w:pPr>
              <w:rPr>
                <w:rFonts w:cs="Calibri"/>
                <w:sz w:val="16"/>
                <w:szCs w:val="16"/>
                <w:lang w:eastAsia="en-US"/>
              </w:rPr>
            </w:pPr>
            <w:proofErr w:type="spellStart"/>
            <w:r w:rsidRPr="00CB7581">
              <w:rPr>
                <w:rFonts w:cs="Calibri"/>
                <w:sz w:val="16"/>
                <w:szCs w:val="16"/>
                <w:lang w:eastAsia="en-US"/>
              </w:rPr>
              <w:t>Maintenance</w:t>
            </w:r>
            <w:proofErr w:type="spellEnd"/>
            <w:r w:rsidRPr="00CB7581">
              <w:rPr>
                <w:rFonts w:cs="Calibri"/>
                <w:sz w:val="16"/>
                <w:szCs w:val="16"/>
                <w:lang w:eastAsia="en-US"/>
              </w:rPr>
              <w:t xml:space="preserve"> legislativy (legislativní servis) zahrnuje sledování změn legislativy ve spolupráci se </w:t>
            </w:r>
            <w:r w:rsidR="00AB50D1">
              <w:rPr>
                <w:rFonts w:cs="Calibri"/>
                <w:sz w:val="16"/>
                <w:szCs w:val="16"/>
                <w:lang w:eastAsia="en-US"/>
              </w:rPr>
              <w:t>zadavatelem</w:t>
            </w:r>
            <w:r w:rsidR="00AB50D1" w:rsidRPr="00CB7581">
              <w:rPr>
                <w:rFonts w:cs="Calibri"/>
                <w:sz w:val="16"/>
                <w:szCs w:val="16"/>
                <w:lang w:eastAsia="en-US"/>
              </w:rPr>
              <w:t xml:space="preserve"> </w:t>
            </w:r>
            <w:r w:rsidRPr="00CB7581">
              <w:rPr>
                <w:rFonts w:cs="Calibri"/>
                <w:sz w:val="16"/>
                <w:szCs w:val="16"/>
                <w:lang w:eastAsia="en-US"/>
              </w:rPr>
              <w:t xml:space="preserve">s dopadem na podporovaný systém ICIS a zapracování změn této legislativy. </w:t>
            </w:r>
          </w:p>
        </w:tc>
      </w:tr>
    </w:tbl>
    <w:p w:rsidR="00CB7581" w:rsidRPr="00221F17" w:rsidRDefault="00CB7581" w:rsidP="00CB7581">
      <w:pPr>
        <w:ind w:left="284"/>
        <w:jc w:val="both"/>
        <w:rPr>
          <w:rFonts w:eastAsia="Calibri"/>
          <w:b/>
          <w:szCs w:val="22"/>
        </w:rPr>
      </w:pPr>
    </w:p>
    <w:p w:rsidR="00CB7581" w:rsidRPr="00221F17" w:rsidRDefault="00CB7581" w:rsidP="00A4749D">
      <w:pPr>
        <w:numPr>
          <w:ilvl w:val="0"/>
          <w:numId w:val="26"/>
        </w:numPr>
        <w:spacing w:before="120" w:after="120"/>
        <w:jc w:val="both"/>
        <w:rPr>
          <w:rFonts w:eastAsia="Calibri"/>
          <w:szCs w:val="22"/>
          <w:lang w:eastAsia="ar-SA"/>
        </w:rPr>
      </w:pPr>
      <w:r w:rsidRPr="00221F17">
        <w:rPr>
          <w:rFonts w:eastAsia="Calibri"/>
          <w:szCs w:val="22"/>
          <w:lang w:eastAsia="ar-SA"/>
        </w:rPr>
        <w:t>Minimální požadavky na úroveň služeb jsou rozděleny na následující oblasti:</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0D3916">
        <w:rPr>
          <w:rFonts w:eastAsia="Calibri"/>
          <w:szCs w:val="22"/>
          <w:lang w:eastAsia="ar-SA"/>
        </w:rPr>
        <w:t xml:space="preserve">Parametry SLA pro služby poskytované na vyžádání prostřednictvím </w:t>
      </w:r>
      <w:proofErr w:type="spellStart"/>
      <w:r w:rsidRPr="000D3916">
        <w:rPr>
          <w:rFonts w:eastAsia="Calibri"/>
          <w:szCs w:val="22"/>
          <w:lang w:eastAsia="ar-SA"/>
        </w:rPr>
        <w:t>ServiceDesk</w:t>
      </w:r>
      <w:proofErr w:type="spellEnd"/>
      <w:r w:rsidRPr="000D3916">
        <w:rPr>
          <w:rFonts w:eastAsia="Calibri"/>
          <w:szCs w:val="22"/>
          <w:lang w:eastAsia="ar-SA"/>
        </w:rPr>
        <w:t xml:space="preserve"> / </w:t>
      </w:r>
      <w:proofErr w:type="spellStart"/>
      <w:r w:rsidRPr="000D3916">
        <w:rPr>
          <w:rFonts w:eastAsia="Calibri"/>
          <w:szCs w:val="22"/>
          <w:lang w:eastAsia="ar-SA"/>
        </w:rPr>
        <w:t>HelpDesk</w:t>
      </w:r>
      <w:proofErr w:type="spellEnd"/>
      <w:r w:rsidRPr="000D3916">
        <w:rPr>
          <w:rFonts w:eastAsia="Calibri"/>
          <w:szCs w:val="22"/>
          <w:lang w:eastAsia="ar-SA"/>
        </w:rPr>
        <w:t xml:space="preserve"> dodavatelů (poskytovatelů služby),</w:t>
      </w:r>
    </w:p>
    <w:p w:rsidR="00CB7581" w:rsidRPr="000D3916" w:rsidRDefault="00CB7581" w:rsidP="00A4749D">
      <w:pPr>
        <w:numPr>
          <w:ilvl w:val="0"/>
          <w:numId w:val="18"/>
        </w:numPr>
        <w:spacing w:before="120" w:after="120"/>
        <w:ind w:left="993" w:hanging="284"/>
        <w:jc w:val="both"/>
        <w:rPr>
          <w:rFonts w:eastAsia="Calibri"/>
          <w:szCs w:val="22"/>
          <w:lang w:eastAsia="ar-SA"/>
        </w:rPr>
      </w:pPr>
      <w:r w:rsidRPr="000D3916">
        <w:rPr>
          <w:rFonts w:eastAsia="Calibri"/>
          <w:szCs w:val="22"/>
          <w:lang w:eastAsia="ar-SA"/>
        </w:rPr>
        <w:t>Parametry SLA pro služby poskytované paušálně</w:t>
      </w:r>
      <w:r w:rsidR="000D3916">
        <w:rPr>
          <w:rFonts w:eastAsia="Calibri"/>
          <w:szCs w:val="22"/>
          <w:lang w:eastAsia="ar-SA"/>
        </w:rPr>
        <w:t>.</w:t>
      </w:r>
    </w:p>
    <w:p w:rsidR="00682124" w:rsidRPr="00221F17" w:rsidRDefault="00682124" w:rsidP="00CB7581">
      <w:pPr>
        <w:ind w:left="284"/>
        <w:jc w:val="both"/>
        <w:rPr>
          <w:rFonts w:eastAsia="Calibri"/>
          <w:b/>
          <w:szCs w:val="22"/>
        </w:rPr>
      </w:pPr>
    </w:p>
    <w:p w:rsidR="00CB7581" w:rsidRPr="00221F17" w:rsidRDefault="00CB7581" w:rsidP="00CB7581">
      <w:pPr>
        <w:ind w:left="284"/>
        <w:jc w:val="both"/>
        <w:rPr>
          <w:rFonts w:eastAsia="Calibri"/>
          <w:b/>
          <w:szCs w:val="22"/>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HW infrastruktura</w:t>
      </w:r>
    </w:p>
    <w:p w:rsidR="00CB7581" w:rsidRPr="00221F17" w:rsidRDefault="00F06D29" w:rsidP="00A4749D">
      <w:pPr>
        <w:numPr>
          <w:ilvl w:val="0"/>
          <w:numId w:val="27"/>
        </w:numPr>
        <w:spacing w:before="120" w:after="120"/>
        <w:jc w:val="both"/>
        <w:rPr>
          <w:rFonts w:eastAsia="Calibri"/>
          <w:szCs w:val="22"/>
          <w:lang w:eastAsia="ar-SA"/>
        </w:rPr>
      </w:pPr>
      <w:r>
        <w:rPr>
          <w:rFonts w:eastAsia="Calibri"/>
          <w:szCs w:val="22"/>
          <w:lang w:eastAsia="ar-SA"/>
        </w:rPr>
        <w:t>Zadavatel</w:t>
      </w:r>
      <w:r w:rsidRPr="00221F17">
        <w:rPr>
          <w:rFonts w:eastAsia="Calibri"/>
          <w:szCs w:val="22"/>
          <w:lang w:eastAsia="ar-SA"/>
        </w:rPr>
        <w:t xml:space="preserve"> </w:t>
      </w:r>
      <w:r w:rsidR="00CB7581" w:rsidRPr="000D3916">
        <w:rPr>
          <w:rFonts w:eastAsia="Calibri"/>
          <w:szCs w:val="22"/>
          <w:lang w:eastAsia="ar-SA"/>
        </w:rPr>
        <w:t>předpokládá</w:t>
      </w:r>
      <w:r w:rsidR="00CB7581" w:rsidRPr="00221F17">
        <w:rPr>
          <w:rFonts w:eastAsia="Calibri"/>
          <w:szCs w:val="22"/>
          <w:lang w:eastAsia="ar-SA"/>
        </w:rPr>
        <w:t xml:space="preserve">, že ICIS bude provozován na nově dodané HW infrastruktuře, jejíž specifikaci určí </w:t>
      </w:r>
      <w:r w:rsidR="00AB50D1">
        <w:rPr>
          <w:rFonts w:eastAsia="Calibri"/>
          <w:szCs w:val="22"/>
          <w:lang w:eastAsia="ar-SA"/>
        </w:rPr>
        <w:t>d</w:t>
      </w:r>
      <w:r w:rsidR="000F7926">
        <w:rPr>
          <w:rFonts w:eastAsia="Calibri"/>
          <w:szCs w:val="22"/>
          <w:lang w:eastAsia="ar-SA"/>
        </w:rPr>
        <w:t>odavatel</w:t>
      </w:r>
      <w:r w:rsidR="00CB7581" w:rsidRPr="00221F17">
        <w:rPr>
          <w:rFonts w:eastAsia="Calibri"/>
          <w:szCs w:val="22"/>
          <w:lang w:eastAsia="ar-SA"/>
        </w:rPr>
        <w:t>. HW prvky budou rozmístěny ve třech nezávislých lokacích, přičemž dvě lokace budou sloužit pro redundanci HW prvků a budou výkonově a funkčně ekvivalentní. Třetí lokace bude určena jako geografická záloha systému ICIS.</w:t>
      </w:r>
    </w:p>
    <w:p w:rsidR="00CB7581" w:rsidRPr="00221F17" w:rsidRDefault="00CB7581" w:rsidP="00A4749D">
      <w:pPr>
        <w:numPr>
          <w:ilvl w:val="0"/>
          <w:numId w:val="27"/>
        </w:numPr>
        <w:spacing w:before="120" w:after="120"/>
        <w:jc w:val="both"/>
        <w:rPr>
          <w:rFonts w:eastAsia="Calibri"/>
          <w:szCs w:val="22"/>
          <w:lang w:eastAsia="ar-SA"/>
        </w:rPr>
      </w:pPr>
      <w:r w:rsidRPr="00221F17">
        <w:rPr>
          <w:rFonts w:eastAsia="Calibri"/>
          <w:szCs w:val="22"/>
          <w:lang w:eastAsia="ar-SA"/>
        </w:rPr>
        <w:t>Na dodané HW infrastruktuře budou provozovány tři kopie systému ICIS – ostrý provoz</w:t>
      </w:r>
      <w:r w:rsidR="007E2035">
        <w:rPr>
          <w:rFonts w:eastAsia="Calibri"/>
          <w:szCs w:val="22"/>
          <w:lang w:eastAsia="ar-SA"/>
        </w:rPr>
        <w:t xml:space="preserve"> (produkční)</w:t>
      </w:r>
      <w:r w:rsidRPr="00221F17">
        <w:rPr>
          <w:rFonts w:eastAsia="Calibri"/>
          <w:szCs w:val="22"/>
          <w:lang w:eastAsia="ar-SA"/>
        </w:rPr>
        <w:t xml:space="preserve">, testovací provoz (předávací) a školící provoz (cvičný). Tato infrastruktura musí </w:t>
      </w:r>
      <w:r w:rsidRPr="00221F17">
        <w:rPr>
          <w:rFonts w:eastAsia="Calibri"/>
          <w:szCs w:val="22"/>
          <w:lang w:eastAsia="ar-SA"/>
        </w:rPr>
        <w:lastRenderedPageBreak/>
        <w:t>být pokryta kompletně licencemi tak, aby nedošlo k žádnému zpochybnění OZP jako provozovatele.</w:t>
      </w:r>
    </w:p>
    <w:p w:rsidR="00CB7581" w:rsidRPr="00221F17" w:rsidRDefault="00CB7581" w:rsidP="00A4749D">
      <w:pPr>
        <w:numPr>
          <w:ilvl w:val="0"/>
          <w:numId w:val="27"/>
        </w:numPr>
        <w:spacing w:before="120" w:after="120"/>
        <w:jc w:val="both"/>
        <w:rPr>
          <w:rFonts w:eastAsia="Calibri"/>
          <w:szCs w:val="22"/>
          <w:lang w:eastAsia="ar-SA"/>
        </w:rPr>
      </w:pPr>
      <w:r w:rsidRPr="00221F17">
        <w:rPr>
          <w:rFonts w:eastAsia="Calibri"/>
          <w:szCs w:val="22"/>
          <w:lang w:eastAsia="ar-SA"/>
        </w:rPr>
        <w:t xml:space="preserve">Součástí specifikace HW infrastruktury budou požadavky na </w:t>
      </w:r>
      <w:r w:rsidR="00AB50D1">
        <w:rPr>
          <w:rFonts w:eastAsia="Calibri"/>
          <w:szCs w:val="22"/>
          <w:lang w:eastAsia="ar-SA"/>
        </w:rPr>
        <w:t>zadavatele</w:t>
      </w:r>
      <w:r w:rsidR="00AB50D1" w:rsidRPr="00221F17">
        <w:rPr>
          <w:rFonts w:eastAsia="Calibri"/>
          <w:szCs w:val="22"/>
          <w:lang w:eastAsia="ar-SA"/>
        </w:rPr>
        <w:t xml:space="preserve"> </w:t>
      </w:r>
      <w:r w:rsidRPr="00221F17">
        <w:rPr>
          <w:rFonts w:eastAsia="Calibri"/>
          <w:szCs w:val="22"/>
          <w:lang w:eastAsia="ar-SA"/>
        </w:rPr>
        <w:t>(v detailu minimálně dle lokací):</w:t>
      </w:r>
    </w:p>
    <w:p w:rsidR="00CB7581" w:rsidRPr="00221F17" w:rsidRDefault="000D3916" w:rsidP="00A4749D">
      <w:pPr>
        <w:numPr>
          <w:ilvl w:val="0"/>
          <w:numId w:val="18"/>
        </w:numPr>
        <w:spacing w:before="120" w:after="120"/>
        <w:ind w:left="993" w:hanging="284"/>
        <w:jc w:val="both"/>
        <w:rPr>
          <w:rFonts w:eastAsia="Calibri"/>
          <w:szCs w:val="22"/>
          <w:lang w:eastAsia="ar-SA"/>
        </w:rPr>
      </w:pPr>
      <w:r>
        <w:rPr>
          <w:rFonts w:eastAsia="Calibri"/>
          <w:szCs w:val="22"/>
          <w:lang w:eastAsia="ar-SA"/>
        </w:rPr>
        <w:t>p</w:t>
      </w:r>
      <w:r w:rsidR="00CB7581" w:rsidRPr="00221F17">
        <w:rPr>
          <w:rFonts w:eastAsia="Calibri"/>
          <w:szCs w:val="22"/>
          <w:lang w:eastAsia="ar-SA"/>
        </w:rPr>
        <w:t>o</w:t>
      </w:r>
      <w:r>
        <w:rPr>
          <w:rFonts w:eastAsia="Calibri"/>
          <w:szCs w:val="22"/>
          <w:lang w:eastAsia="ar-SA"/>
        </w:rPr>
        <w:t>žadovaný příkon elektrické sítě,</w:t>
      </w:r>
    </w:p>
    <w:p w:rsidR="00CB7581" w:rsidRPr="00221F17" w:rsidRDefault="000D3916" w:rsidP="00A4749D">
      <w:pPr>
        <w:numPr>
          <w:ilvl w:val="0"/>
          <w:numId w:val="18"/>
        </w:numPr>
        <w:spacing w:before="120" w:after="120"/>
        <w:ind w:left="993" w:hanging="284"/>
        <w:jc w:val="both"/>
        <w:rPr>
          <w:rFonts w:eastAsia="Calibri"/>
          <w:szCs w:val="22"/>
          <w:lang w:eastAsia="ar-SA"/>
        </w:rPr>
      </w:pPr>
      <w:r>
        <w:rPr>
          <w:rFonts w:eastAsia="Calibri"/>
          <w:szCs w:val="22"/>
          <w:lang w:eastAsia="ar-SA"/>
        </w:rPr>
        <w:t>p</w:t>
      </w:r>
      <w:r w:rsidR="00CB7581" w:rsidRPr="00221F17">
        <w:rPr>
          <w:rFonts w:eastAsia="Calibri"/>
          <w:szCs w:val="22"/>
          <w:lang w:eastAsia="ar-SA"/>
        </w:rPr>
        <w:t>rosto</w:t>
      </w:r>
      <w:r>
        <w:rPr>
          <w:rFonts w:eastAsia="Calibri"/>
          <w:szCs w:val="22"/>
          <w:lang w:eastAsia="ar-SA"/>
        </w:rPr>
        <w:t>rové nároky HW prvků,</w:t>
      </w:r>
    </w:p>
    <w:p w:rsidR="00CB7581" w:rsidRPr="00221F17" w:rsidRDefault="000D3916" w:rsidP="00A4749D">
      <w:pPr>
        <w:numPr>
          <w:ilvl w:val="0"/>
          <w:numId w:val="18"/>
        </w:numPr>
        <w:spacing w:before="120" w:after="120"/>
        <w:ind w:left="993" w:hanging="284"/>
        <w:jc w:val="both"/>
        <w:rPr>
          <w:rFonts w:eastAsia="Calibri"/>
          <w:szCs w:val="22"/>
          <w:lang w:eastAsia="ar-SA"/>
        </w:rPr>
      </w:pPr>
      <w:r>
        <w:rPr>
          <w:rFonts w:eastAsia="Calibri"/>
          <w:szCs w:val="22"/>
          <w:lang w:eastAsia="ar-SA"/>
        </w:rPr>
        <w:t>hmotnost HW prvků,</w:t>
      </w:r>
    </w:p>
    <w:p w:rsidR="00CB7581" w:rsidRPr="00221F17" w:rsidRDefault="000D3916" w:rsidP="00A4749D">
      <w:pPr>
        <w:numPr>
          <w:ilvl w:val="0"/>
          <w:numId w:val="18"/>
        </w:numPr>
        <w:spacing w:before="120" w:after="120"/>
        <w:ind w:left="993" w:hanging="284"/>
        <w:jc w:val="both"/>
        <w:rPr>
          <w:rFonts w:eastAsia="Calibri"/>
          <w:szCs w:val="22"/>
          <w:lang w:eastAsia="ar-SA"/>
        </w:rPr>
      </w:pPr>
      <w:r>
        <w:rPr>
          <w:rFonts w:eastAsia="Calibri"/>
          <w:szCs w:val="22"/>
          <w:lang w:eastAsia="ar-SA"/>
        </w:rPr>
        <w:t>požadavky na chladící jednotky,</w:t>
      </w:r>
    </w:p>
    <w:p w:rsidR="00CB7581" w:rsidRPr="00221F17" w:rsidRDefault="000D3916" w:rsidP="00A4749D">
      <w:pPr>
        <w:numPr>
          <w:ilvl w:val="0"/>
          <w:numId w:val="18"/>
        </w:numPr>
        <w:spacing w:before="120" w:after="120"/>
        <w:ind w:left="993" w:hanging="284"/>
        <w:jc w:val="both"/>
        <w:rPr>
          <w:rFonts w:eastAsia="Calibri"/>
          <w:szCs w:val="22"/>
          <w:lang w:eastAsia="ar-SA"/>
        </w:rPr>
      </w:pPr>
      <w:r>
        <w:rPr>
          <w:rFonts w:eastAsia="Calibri"/>
          <w:szCs w:val="22"/>
          <w:lang w:eastAsia="ar-SA"/>
        </w:rPr>
        <w:t>p</w:t>
      </w:r>
      <w:r w:rsidR="00CB7581" w:rsidRPr="00221F17">
        <w:rPr>
          <w:rFonts w:eastAsia="Calibri"/>
          <w:szCs w:val="22"/>
          <w:lang w:eastAsia="ar-SA"/>
        </w:rPr>
        <w:t>ožadavky na síťovou infrastrukturu pro propojení lokací, uživatelských stanic.</w:t>
      </w:r>
    </w:p>
    <w:p w:rsidR="00CB7581" w:rsidRPr="00221F17" w:rsidRDefault="00CB7581" w:rsidP="00A4749D">
      <w:pPr>
        <w:numPr>
          <w:ilvl w:val="0"/>
          <w:numId w:val="27"/>
        </w:numPr>
        <w:spacing w:before="120" w:after="120"/>
        <w:jc w:val="both"/>
        <w:rPr>
          <w:rFonts w:eastAsia="Calibri"/>
          <w:szCs w:val="22"/>
          <w:lang w:eastAsia="ar-SA"/>
        </w:rPr>
      </w:pPr>
      <w:r w:rsidRPr="00221F17">
        <w:rPr>
          <w:rFonts w:eastAsia="Calibri"/>
          <w:szCs w:val="22"/>
          <w:lang w:eastAsia="ar-SA"/>
        </w:rPr>
        <w:t xml:space="preserve">ICIS bude podporovat stávající tiskárny provozované v prostředí </w:t>
      </w:r>
      <w:r w:rsidR="00AB50D1">
        <w:rPr>
          <w:rFonts w:eastAsia="Calibri"/>
          <w:szCs w:val="22"/>
          <w:lang w:eastAsia="ar-SA"/>
        </w:rPr>
        <w:t>zadavatele</w:t>
      </w:r>
      <w:r w:rsidRPr="00221F17">
        <w:rPr>
          <w:rFonts w:eastAsia="Calibri"/>
          <w:szCs w:val="22"/>
          <w:lang w:eastAsia="ar-SA"/>
        </w:rPr>
        <w:t xml:space="preserve">. Bude-li některá z funkčností ICIS vyžadovat použití specifického typu tiskárny, musí být tato informace explicitně uvedena. Výčet používaných typů tiskáren je uveden v souboru </w:t>
      </w:r>
      <w:r w:rsidRPr="000D3916">
        <w:rPr>
          <w:rFonts w:eastAsia="Calibri"/>
          <w:szCs w:val="22"/>
          <w:lang w:eastAsia="ar-SA"/>
        </w:rPr>
        <w:t>OZP-ICIS-Studie-P22-HW-Typy-tiskáren.docx.</w:t>
      </w:r>
    </w:p>
    <w:p w:rsidR="00CB7581" w:rsidRPr="00221F17" w:rsidRDefault="00CB7581" w:rsidP="00A4749D">
      <w:pPr>
        <w:numPr>
          <w:ilvl w:val="0"/>
          <w:numId w:val="27"/>
        </w:numPr>
        <w:spacing w:before="120" w:after="120"/>
        <w:jc w:val="both"/>
        <w:rPr>
          <w:rFonts w:eastAsia="Calibri"/>
          <w:szCs w:val="22"/>
          <w:lang w:eastAsia="ar-SA"/>
        </w:rPr>
      </w:pPr>
      <w:r w:rsidRPr="00221F17">
        <w:rPr>
          <w:rFonts w:eastAsia="Calibri"/>
          <w:szCs w:val="22"/>
          <w:lang w:eastAsia="ar-SA"/>
        </w:rPr>
        <w:t xml:space="preserve">ICIS bude podporovat čtečky čárových kódů provozované v prostředí </w:t>
      </w:r>
      <w:r w:rsidR="00AB50D1">
        <w:rPr>
          <w:rFonts w:eastAsia="Calibri"/>
          <w:szCs w:val="22"/>
          <w:lang w:eastAsia="ar-SA"/>
        </w:rPr>
        <w:t>zadavatele</w:t>
      </w:r>
      <w:r w:rsidRPr="00221F17">
        <w:rPr>
          <w:rFonts w:eastAsia="Calibri"/>
          <w:szCs w:val="22"/>
          <w:lang w:eastAsia="ar-SA"/>
        </w:rPr>
        <w:t xml:space="preserve">. Bude-li ICIS vyžadovat specifickou čtečku čárových kódů, musí být tato informace explicitně uvedena. Výčet používaných čteček čárových kódů je uveden v příloze </w:t>
      </w:r>
      <w:r w:rsidRPr="000D3916">
        <w:rPr>
          <w:rFonts w:eastAsia="Calibri"/>
          <w:szCs w:val="22"/>
          <w:lang w:eastAsia="ar-SA"/>
        </w:rPr>
        <w:t>OZP-ICIS-Studie-P23-HW-Čtečky.docx.</w:t>
      </w:r>
    </w:p>
    <w:p w:rsidR="00CB7581" w:rsidRPr="00221F17" w:rsidRDefault="00CB7581" w:rsidP="00A4749D">
      <w:pPr>
        <w:numPr>
          <w:ilvl w:val="0"/>
          <w:numId w:val="27"/>
        </w:numPr>
        <w:spacing w:before="120" w:after="120"/>
        <w:jc w:val="both"/>
        <w:rPr>
          <w:rFonts w:eastAsia="Calibri"/>
          <w:szCs w:val="22"/>
          <w:lang w:eastAsia="ar-SA"/>
        </w:rPr>
      </w:pPr>
      <w:r w:rsidRPr="00221F17">
        <w:rPr>
          <w:rFonts w:eastAsia="Calibri"/>
          <w:szCs w:val="22"/>
          <w:lang w:eastAsia="ar-SA"/>
        </w:rPr>
        <w:t xml:space="preserve">ICIS bude podporovat terminály pro bezhotovostní platby provozované v prostředí </w:t>
      </w:r>
      <w:r w:rsidR="00AB50D1">
        <w:rPr>
          <w:rFonts w:eastAsia="Calibri"/>
          <w:szCs w:val="22"/>
          <w:lang w:eastAsia="ar-SA"/>
        </w:rPr>
        <w:t>zadavatele</w:t>
      </w:r>
      <w:r w:rsidRPr="00221F17">
        <w:rPr>
          <w:rFonts w:eastAsia="Calibri"/>
          <w:szCs w:val="22"/>
          <w:lang w:eastAsia="ar-SA"/>
        </w:rPr>
        <w:t xml:space="preserve">. Výčet používaných terminálů bezhotovostních plateb je uveden v příloze </w:t>
      </w:r>
      <w:r w:rsidRPr="000D3916">
        <w:rPr>
          <w:rFonts w:eastAsia="Calibri"/>
          <w:szCs w:val="22"/>
          <w:lang w:eastAsia="ar-SA"/>
        </w:rPr>
        <w:t>OZP-ICIS-Studie-P24-HW-Terminály-bezhotovostních-plateb.docx.</w:t>
      </w:r>
    </w:p>
    <w:p w:rsidR="00F37424" w:rsidRPr="00221F17" w:rsidRDefault="00F37424" w:rsidP="00CB7581">
      <w:pPr>
        <w:ind w:left="720"/>
        <w:jc w:val="both"/>
        <w:rPr>
          <w:rFonts w:eastAsia="Calibri"/>
          <w:szCs w:val="22"/>
          <w:lang w:eastAsia="en-US"/>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Komunikační infrastruktura</w:t>
      </w:r>
    </w:p>
    <w:p w:rsidR="00CB7581" w:rsidRPr="00916BAD" w:rsidRDefault="00CB7581" w:rsidP="00A4749D">
      <w:pPr>
        <w:numPr>
          <w:ilvl w:val="0"/>
          <w:numId w:val="28"/>
        </w:numPr>
        <w:spacing w:before="120" w:after="120"/>
        <w:jc w:val="both"/>
        <w:rPr>
          <w:rFonts w:eastAsia="Calibri"/>
          <w:szCs w:val="22"/>
          <w:lang w:eastAsia="ar-SA"/>
        </w:rPr>
      </w:pPr>
      <w:r w:rsidRPr="00F37424">
        <w:rPr>
          <w:rFonts w:eastAsia="Calibri"/>
          <w:szCs w:val="22"/>
          <w:lang w:eastAsia="ar-SA"/>
        </w:rPr>
        <w:t xml:space="preserve">Výpočetní systém bude umístěn v jednom místě - v sídle </w:t>
      </w:r>
      <w:r w:rsidR="00AB50D1">
        <w:rPr>
          <w:rFonts w:eastAsia="Calibri"/>
          <w:szCs w:val="22"/>
          <w:lang w:eastAsia="ar-SA"/>
        </w:rPr>
        <w:t>zadavatele</w:t>
      </w:r>
      <w:r w:rsidRPr="00F37424">
        <w:rPr>
          <w:rFonts w:eastAsia="Calibri"/>
          <w:szCs w:val="22"/>
          <w:lang w:eastAsia="ar-SA"/>
        </w:rPr>
        <w:t>. K výpočetnímu systému se uživatelé připojují jak v místě přes LAN, tak z poboček přes WAN síť. Rychlost jednotlivých LAN lokalit 10/100 Mbps. Páteřní rozvody v datových centrech jsou  1Gbps Kapacita linek je v níže uvedené tabulce:</w:t>
      </w:r>
    </w:p>
    <w:p w:rsidR="00CB7581" w:rsidRPr="00221F17" w:rsidRDefault="00CB7581" w:rsidP="00CB7581">
      <w:pPr>
        <w:ind w:left="720"/>
        <w:jc w:val="both"/>
        <w:rPr>
          <w:rFonts w:eastAsia="Calibri"/>
          <w:szCs w:val="22"/>
          <w:lang w:eastAsia="en-US"/>
        </w:rPr>
      </w:pPr>
    </w:p>
    <w:tbl>
      <w:tblPr>
        <w:tblW w:w="8804" w:type="dxa"/>
        <w:tblInd w:w="55" w:type="dxa"/>
        <w:tblCellMar>
          <w:left w:w="70" w:type="dxa"/>
          <w:right w:w="70" w:type="dxa"/>
        </w:tblCellMar>
        <w:tblLook w:val="04A0" w:firstRow="1" w:lastRow="0" w:firstColumn="1" w:lastColumn="0" w:noHBand="0" w:noVBand="1"/>
      </w:tblPr>
      <w:tblGrid>
        <w:gridCol w:w="2283"/>
        <w:gridCol w:w="1418"/>
        <w:gridCol w:w="3544"/>
        <w:gridCol w:w="1559"/>
      </w:tblGrid>
      <w:tr w:rsidR="00CB7581" w:rsidRPr="00221F17" w:rsidTr="00682124">
        <w:trPr>
          <w:trHeight w:val="315"/>
        </w:trPr>
        <w:tc>
          <w:tcPr>
            <w:tcW w:w="8804" w:type="dxa"/>
            <w:gridSpan w:val="4"/>
            <w:tcBorders>
              <w:top w:val="nil"/>
              <w:left w:val="nil"/>
              <w:right w:val="nil"/>
            </w:tcBorders>
            <w:shd w:val="clear" w:color="auto" w:fill="auto"/>
            <w:noWrap/>
            <w:vAlign w:val="center"/>
            <w:hideMark/>
          </w:tcPr>
          <w:p w:rsidR="00CB7581" w:rsidRPr="00221F17" w:rsidRDefault="00CB7581" w:rsidP="00CB7581">
            <w:pPr>
              <w:jc w:val="center"/>
              <w:rPr>
                <w:rFonts w:eastAsia="Calibri" w:cs="Calibri"/>
                <w:sz w:val="16"/>
                <w:szCs w:val="16"/>
                <w:lang w:eastAsia="en-US"/>
              </w:rPr>
            </w:pPr>
            <w:r w:rsidRPr="00221F17">
              <w:rPr>
                <w:rFonts w:eastAsia="Calibri" w:cs="Calibri"/>
                <w:b/>
                <w:sz w:val="16"/>
                <w:szCs w:val="16"/>
                <w:lang w:eastAsia="en-US"/>
              </w:rPr>
              <w:t>Lokality, včetně identifikátoru, rychlosti v jednotlivých lokalitách</w:t>
            </w:r>
          </w:p>
        </w:tc>
      </w:tr>
      <w:tr w:rsidR="00CB7581" w:rsidRPr="00221F17" w:rsidTr="00682124">
        <w:trPr>
          <w:trHeight w:val="300"/>
        </w:trPr>
        <w:tc>
          <w:tcPr>
            <w:tcW w:w="2283" w:type="dxa"/>
            <w:tcBorders>
              <w:top w:val="nil"/>
              <w:left w:val="single" w:sz="4" w:space="0" w:color="auto"/>
              <w:bottom w:val="single" w:sz="4" w:space="0" w:color="auto"/>
              <w:right w:val="single" w:sz="4" w:space="0" w:color="auto"/>
            </w:tcBorders>
            <w:shd w:val="clear" w:color="000000" w:fill="C00000"/>
            <w:vAlign w:val="center"/>
            <w:hideMark/>
          </w:tcPr>
          <w:p w:rsidR="00CB7581" w:rsidRPr="00221F17" w:rsidRDefault="00CB7581" w:rsidP="00CB7581">
            <w:pPr>
              <w:rPr>
                <w:rFonts w:eastAsia="Calibri" w:cs="Calibri"/>
                <w:color w:val="FFFFFF"/>
                <w:sz w:val="16"/>
                <w:szCs w:val="16"/>
                <w:lang w:eastAsia="en-US"/>
              </w:rPr>
            </w:pPr>
            <w:r w:rsidRPr="00221F17">
              <w:rPr>
                <w:rFonts w:eastAsia="Calibri" w:cs="Calibri"/>
                <w:b/>
                <w:color w:val="FFFFFF"/>
                <w:sz w:val="16"/>
                <w:szCs w:val="16"/>
                <w:lang w:eastAsia="en-US"/>
              </w:rPr>
              <w:t>Služba</w:t>
            </w:r>
          </w:p>
        </w:tc>
        <w:tc>
          <w:tcPr>
            <w:tcW w:w="1418" w:type="dxa"/>
            <w:tcBorders>
              <w:top w:val="nil"/>
              <w:left w:val="nil"/>
              <w:bottom w:val="single" w:sz="4" w:space="0" w:color="auto"/>
              <w:right w:val="single" w:sz="4" w:space="0" w:color="auto"/>
            </w:tcBorders>
            <w:shd w:val="clear" w:color="000000" w:fill="C00000"/>
            <w:noWrap/>
            <w:vAlign w:val="center"/>
            <w:hideMark/>
          </w:tcPr>
          <w:p w:rsidR="00CB7581" w:rsidRPr="00221F17" w:rsidRDefault="00CB7581" w:rsidP="00CB7581">
            <w:pPr>
              <w:rPr>
                <w:rFonts w:eastAsia="Calibri" w:cs="Calibri"/>
                <w:color w:val="FFFFFF"/>
                <w:sz w:val="16"/>
                <w:szCs w:val="16"/>
                <w:lang w:eastAsia="en-US"/>
              </w:rPr>
            </w:pPr>
            <w:r w:rsidRPr="00221F17">
              <w:rPr>
                <w:rFonts w:eastAsia="Calibri" w:cs="Calibri"/>
                <w:b/>
                <w:color w:val="FFFFFF"/>
                <w:sz w:val="16"/>
                <w:szCs w:val="16"/>
                <w:lang w:eastAsia="en-US"/>
              </w:rPr>
              <w:t>Identifikátor</w:t>
            </w:r>
          </w:p>
        </w:tc>
        <w:tc>
          <w:tcPr>
            <w:tcW w:w="3544" w:type="dxa"/>
            <w:tcBorders>
              <w:top w:val="nil"/>
              <w:left w:val="nil"/>
              <w:bottom w:val="single" w:sz="4" w:space="0" w:color="auto"/>
              <w:right w:val="single" w:sz="4" w:space="0" w:color="auto"/>
            </w:tcBorders>
            <w:shd w:val="clear" w:color="000000" w:fill="C00000"/>
            <w:vAlign w:val="center"/>
            <w:hideMark/>
          </w:tcPr>
          <w:p w:rsidR="00CB7581" w:rsidRPr="00221F17" w:rsidRDefault="00CB7581" w:rsidP="00CB7581">
            <w:pPr>
              <w:rPr>
                <w:rFonts w:eastAsia="Calibri" w:cs="Calibri"/>
                <w:color w:val="FFFFFF"/>
                <w:sz w:val="16"/>
                <w:szCs w:val="16"/>
                <w:lang w:eastAsia="en-US"/>
              </w:rPr>
            </w:pPr>
            <w:r w:rsidRPr="00221F17">
              <w:rPr>
                <w:rFonts w:eastAsia="Calibri" w:cs="Calibri"/>
                <w:b/>
                <w:color w:val="FFFFFF"/>
                <w:sz w:val="16"/>
                <w:szCs w:val="16"/>
                <w:lang w:eastAsia="en-US"/>
              </w:rPr>
              <w:t>Adresa</w:t>
            </w:r>
          </w:p>
        </w:tc>
        <w:tc>
          <w:tcPr>
            <w:tcW w:w="1559" w:type="dxa"/>
            <w:tcBorders>
              <w:top w:val="nil"/>
              <w:left w:val="nil"/>
              <w:bottom w:val="single" w:sz="4" w:space="0" w:color="auto"/>
              <w:right w:val="single" w:sz="4" w:space="0" w:color="auto"/>
            </w:tcBorders>
            <w:shd w:val="clear" w:color="000000" w:fill="C00000"/>
            <w:vAlign w:val="center"/>
            <w:hideMark/>
          </w:tcPr>
          <w:p w:rsidR="00CB7581" w:rsidRPr="00221F17" w:rsidRDefault="00CB7581" w:rsidP="00CB7581">
            <w:pPr>
              <w:rPr>
                <w:rFonts w:eastAsia="Calibri" w:cs="Calibri"/>
                <w:color w:val="FFFFFF"/>
                <w:sz w:val="16"/>
                <w:szCs w:val="16"/>
                <w:lang w:eastAsia="en-US"/>
              </w:rPr>
            </w:pPr>
            <w:r w:rsidRPr="00221F17">
              <w:rPr>
                <w:rFonts w:eastAsia="Calibri" w:cs="Calibri"/>
                <w:b/>
                <w:color w:val="FFFFFF"/>
                <w:sz w:val="16"/>
                <w:szCs w:val="16"/>
                <w:lang w:eastAsia="en-US"/>
              </w:rPr>
              <w:t xml:space="preserve">upgrade </w:t>
            </w:r>
            <w:proofErr w:type="gramStart"/>
            <w:r w:rsidRPr="00221F17">
              <w:rPr>
                <w:rFonts w:eastAsia="Calibri" w:cs="Calibri"/>
                <w:b/>
                <w:color w:val="FFFFFF"/>
                <w:sz w:val="16"/>
                <w:szCs w:val="16"/>
                <w:lang w:eastAsia="en-US"/>
              </w:rPr>
              <w:t>na</w:t>
            </w:r>
            <w:proofErr w:type="gramEnd"/>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IOL </w:t>
            </w:r>
            <w:proofErr w:type="spellStart"/>
            <w:r w:rsidRPr="00221F17">
              <w:rPr>
                <w:rFonts w:eastAsia="Calibri" w:cs="Calibri"/>
                <w:sz w:val="16"/>
                <w:szCs w:val="16"/>
                <w:lang w:eastAsia="en-US"/>
              </w:rPr>
              <w:t>Fixed</w:t>
            </w:r>
            <w:proofErr w:type="spellEnd"/>
            <w:r w:rsidRPr="00221F17">
              <w:rPr>
                <w:rFonts w:eastAsia="Calibri" w:cs="Calibri"/>
                <w:sz w:val="16"/>
                <w:szCs w:val="16"/>
                <w:lang w:eastAsia="en-US"/>
              </w:rPr>
              <w:t xml:space="preserve"> Digital 4 Mbps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IOL26903</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 Roškotova 1225/1 14200 Praha Braník</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20 Mbps</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CMA </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OS5928616</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 </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1024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10010002130</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Praha Nové Město (Praha 1), Na příkopě 8</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2048</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2048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10010002131</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Tusarova 1152/36 17000 Praha Holešovice </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852AB" w:rsidP="00CB7581">
            <w:pPr>
              <w:jc w:val="right"/>
              <w:rPr>
                <w:rFonts w:eastAsia="Calibri" w:cs="Calibri"/>
                <w:sz w:val="16"/>
                <w:szCs w:val="16"/>
                <w:lang w:eastAsia="en-US"/>
              </w:rPr>
            </w:pPr>
            <w:r>
              <w:rPr>
                <w:rFonts w:eastAsia="Calibri" w:cs="Calibri"/>
                <w:sz w:val="16"/>
                <w:szCs w:val="16"/>
                <w:lang w:eastAsia="en-US"/>
              </w:rPr>
              <w:t>12 Mbps</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256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10010002132</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Praha Smíchov, Radlická 1170/61</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256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10010002217</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Palackého 31/2 26601 Beroun -Centrum</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2048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10010003116</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Brno Zábrdovice (Brno-střed), Příkop 843</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4096</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10010004049</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Dr. Jiřího Procházky 5281/ 58601 Jihlava</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10010005111</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Olomouc, Denisova 345/2</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256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10010005113</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Dolní náměstí 304/22 74601 Opava Město</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10010005114</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Ostrava Moravská Ostrava, Přívozská 949/</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10010007122</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Zlín, </w:t>
            </w:r>
            <w:proofErr w:type="spellStart"/>
            <w:r w:rsidRPr="00221F17">
              <w:rPr>
                <w:rFonts w:eastAsia="Calibri" w:cs="Calibri"/>
                <w:sz w:val="16"/>
                <w:szCs w:val="16"/>
                <w:lang w:eastAsia="en-US"/>
              </w:rPr>
              <w:t>Zarámí</w:t>
            </w:r>
            <w:proofErr w:type="spellEnd"/>
            <w:r w:rsidRPr="00221F17">
              <w:rPr>
                <w:rFonts w:eastAsia="Calibri" w:cs="Calibri"/>
                <w:sz w:val="16"/>
                <w:szCs w:val="16"/>
                <w:lang w:eastAsia="en-US"/>
              </w:rPr>
              <w:t xml:space="preserve"> 92/</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10010008121</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Pardubice, Hronovická 1470</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10010010055</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Plzeň Jižní Předměstí, Purkyňova 736/17</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lastRenderedPageBreak/>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256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10010011066</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nám. F. Křižíka 2840/ 39002 Tábor</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10010011067</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České Budějovice, K. Weisse</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10010012061</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Hradec Králové, Pražské předměstí 40/7</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10010014090</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Liberec, Jablonecká 264/16a</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10010016117</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Ústí nad Labem Ústí nad Labem-centrum, K</w:t>
            </w:r>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512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10010024076</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Karlovy Vary, </w:t>
            </w:r>
            <w:proofErr w:type="spellStart"/>
            <w:proofErr w:type="gramStart"/>
            <w:r w:rsidRPr="00221F17">
              <w:rPr>
                <w:rFonts w:eastAsia="Calibri" w:cs="Calibri"/>
                <w:sz w:val="16"/>
                <w:szCs w:val="16"/>
                <w:lang w:eastAsia="en-US"/>
              </w:rPr>
              <w:t>T.G.Masaryka</w:t>
            </w:r>
            <w:proofErr w:type="spellEnd"/>
            <w:proofErr w:type="gramEnd"/>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256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MO1179241</w:t>
            </w:r>
          </w:p>
        </w:tc>
        <w:tc>
          <w:tcPr>
            <w:tcW w:w="3544"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Dolní 165/1 59101 Žďár nad </w:t>
            </w:r>
            <w:proofErr w:type="gramStart"/>
            <w:r w:rsidRPr="00221F17">
              <w:rPr>
                <w:rFonts w:eastAsia="Calibri" w:cs="Calibri"/>
                <w:sz w:val="16"/>
                <w:szCs w:val="16"/>
                <w:lang w:eastAsia="en-US"/>
              </w:rPr>
              <w:t>Sázavou  1</w:t>
            </w:r>
            <w:proofErr w:type="gramEnd"/>
          </w:p>
        </w:tc>
        <w:tc>
          <w:tcPr>
            <w:tcW w:w="1559" w:type="dxa"/>
            <w:tcBorders>
              <w:top w:val="single" w:sz="4" w:space="0" w:color="auto"/>
              <w:left w:val="nil"/>
              <w:bottom w:val="single" w:sz="4" w:space="0" w:color="auto"/>
              <w:right w:val="single" w:sz="4" w:space="0" w:color="auto"/>
            </w:tcBorders>
            <w:shd w:val="clear" w:color="C0C0C0" w:fill="F2DBDB"/>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1024</w:t>
            </w:r>
          </w:p>
        </w:tc>
      </w:tr>
      <w:tr w:rsidR="00CB7581" w:rsidRPr="00221F17" w:rsidTr="00682124">
        <w:trPr>
          <w:trHeight w:val="300"/>
        </w:trPr>
        <w:tc>
          <w:tcPr>
            <w:tcW w:w="2283" w:type="dxa"/>
            <w:tcBorders>
              <w:top w:val="single" w:sz="4" w:space="0" w:color="auto"/>
              <w:left w:val="single" w:sz="4" w:space="0" w:color="auto"/>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 xml:space="preserve">IP </w:t>
            </w:r>
            <w:proofErr w:type="spellStart"/>
            <w:r w:rsidRPr="00221F17">
              <w:rPr>
                <w:rFonts w:eastAsia="Calibri" w:cs="Calibri"/>
                <w:sz w:val="16"/>
                <w:szCs w:val="16"/>
                <w:lang w:eastAsia="en-US"/>
              </w:rPr>
              <w:t>Connect</w:t>
            </w:r>
            <w:proofErr w:type="spellEnd"/>
            <w:r w:rsidRPr="00221F17">
              <w:rPr>
                <w:rFonts w:eastAsia="Calibri" w:cs="Calibri"/>
                <w:sz w:val="16"/>
                <w:szCs w:val="16"/>
                <w:lang w:eastAsia="en-US"/>
              </w:rPr>
              <w:t xml:space="preserve"> </w:t>
            </w:r>
            <w:proofErr w:type="spellStart"/>
            <w:r w:rsidRPr="00221F17">
              <w:rPr>
                <w:rFonts w:eastAsia="Calibri" w:cs="Calibri"/>
                <w:sz w:val="16"/>
                <w:szCs w:val="16"/>
                <w:lang w:eastAsia="en-US"/>
              </w:rPr>
              <w:t>Trunk</w:t>
            </w:r>
            <w:proofErr w:type="spellEnd"/>
            <w:r w:rsidRPr="00221F17">
              <w:rPr>
                <w:rFonts w:eastAsia="Calibri" w:cs="Calibri"/>
                <w:sz w:val="16"/>
                <w:szCs w:val="16"/>
                <w:lang w:eastAsia="en-US"/>
              </w:rPr>
              <w:t xml:space="preserve"> 8192 </w:t>
            </w:r>
            <w:proofErr w:type="spellStart"/>
            <w:r w:rsidRPr="00221F17">
              <w:rPr>
                <w:rFonts w:eastAsia="Calibri" w:cs="Calibri"/>
                <w:sz w:val="16"/>
                <w:szCs w:val="16"/>
                <w:lang w:eastAsia="en-US"/>
              </w:rPr>
              <w:t>kbit</w:t>
            </w:r>
            <w:proofErr w:type="spellEnd"/>
            <w:r w:rsidRPr="00221F17">
              <w:rPr>
                <w:rFonts w:eastAsia="Calibri" w:cs="Calibri"/>
                <w:sz w:val="16"/>
                <w:szCs w:val="16"/>
                <w:lang w:eastAsia="en-US"/>
              </w:rPr>
              <w:t>/s</w:t>
            </w:r>
          </w:p>
        </w:tc>
        <w:tc>
          <w:tcPr>
            <w:tcW w:w="1418"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center"/>
              <w:rPr>
                <w:rFonts w:eastAsia="Calibri" w:cs="Calibri"/>
                <w:sz w:val="16"/>
                <w:szCs w:val="16"/>
                <w:lang w:eastAsia="en-US"/>
              </w:rPr>
            </w:pPr>
            <w:r w:rsidRPr="00221F17">
              <w:rPr>
                <w:rFonts w:eastAsia="Calibri" w:cs="Calibri"/>
                <w:sz w:val="16"/>
                <w:szCs w:val="16"/>
                <w:lang w:eastAsia="en-US"/>
              </w:rPr>
              <w:t>MO1215572</w:t>
            </w:r>
          </w:p>
        </w:tc>
        <w:tc>
          <w:tcPr>
            <w:tcW w:w="3544"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rPr>
                <w:rFonts w:eastAsia="Calibri" w:cs="Calibri"/>
                <w:sz w:val="16"/>
                <w:szCs w:val="16"/>
                <w:lang w:eastAsia="en-US"/>
              </w:rPr>
            </w:pPr>
            <w:r w:rsidRPr="00221F17">
              <w:rPr>
                <w:rFonts w:eastAsia="Calibri" w:cs="Calibri"/>
                <w:sz w:val="16"/>
                <w:szCs w:val="16"/>
                <w:lang w:eastAsia="en-US"/>
              </w:rPr>
              <w:t>Roškotova 1225/1 14200 Praha Braník</w:t>
            </w:r>
          </w:p>
        </w:tc>
        <w:tc>
          <w:tcPr>
            <w:tcW w:w="1559" w:type="dxa"/>
            <w:tcBorders>
              <w:top w:val="single" w:sz="4" w:space="0" w:color="auto"/>
              <w:left w:val="nil"/>
              <w:bottom w:val="single" w:sz="4" w:space="0" w:color="auto"/>
              <w:right w:val="single" w:sz="4" w:space="0" w:color="auto"/>
            </w:tcBorders>
            <w:shd w:val="clear" w:color="C0C0C0" w:fill="auto"/>
            <w:noWrap/>
            <w:vAlign w:val="bottom"/>
            <w:hideMark/>
          </w:tcPr>
          <w:p w:rsidR="00CB7581" w:rsidRPr="00221F17" w:rsidRDefault="00CB7581" w:rsidP="00CB7581">
            <w:pPr>
              <w:jc w:val="right"/>
              <w:rPr>
                <w:rFonts w:eastAsia="Calibri" w:cs="Calibri"/>
                <w:sz w:val="16"/>
                <w:szCs w:val="16"/>
                <w:lang w:eastAsia="en-US"/>
              </w:rPr>
            </w:pPr>
            <w:r w:rsidRPr="00221F17">
              <w:rPr>
                <w:rFonts w:eastAsia="Calibri" w:cs="Calibri"/>
                <w:sz w:val="16"/>
                <w:szCs w:val="16"/>
                <w:lang w:eastAsia="en-US"/>
              </w:rPr>
              <w:t>20480</w:t>
            </w:r>
          </w:p>
        </w:tc>
      </w:tr>
    </w:tbl>
    <w:p w:rsidR="00CB7581" w:rsidRPr="00221F17" w:rsidRDefault="00CB7581" w:rsidP="00CB7581">
      <w:pPr>
        <w:jc w:val="both"/>
        <w:rPr>
          <w:rFonts w:eastAsia="Calibri"/>
          <w:b/>
          <w:szCs w:val="22"/>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Bezpečnost dat</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t>Nový ICIS musí splňovat požadavky na bezpečnost dat:</w:t>
      </w:r>
    </w:p>
    <w:p w:rsidR="00CB7581" w:rsidRPr="00221F17" w:rsidRDefault="00F37424" w:rsidP="00A4749D">
      <w:pPr>
        <w:numPr>
          <w:ilvl w:val="0"/>
          <w:numId w:val="18"/>
        </w:numPr>
        <w:spacing w:before="120" w:after="120"/>
        <w:ind w:left="993" w:hanging="284"/>
        <w:jc w:val="both"/>
        <w:rPr>
          <w:rFonts w:eastAsia="Calibri"/>
          <w:szCs w:val="22"/>
          <w:lang w:eastAsia="ar-SA"/>
        </w:rPr>
      </w:pPr>
      <w:proofErr w:type="spellStart"/>
      <w:r>
        <w:rPr>
          <w:rFonts w:eastAsia="Calibri"/>
          <w:szCs w:val="22"/>
          <w:lang w:eastAsia="ar-SA"/>
        </w:rPr>
        <w:t>d</w:t>
      </w:r>
      <w:r w:rsidR="00CB7581" w:rsidRPr="00221F17">
        <w:rPr>
          <w:rFonts w:eastAsia="Calibri"/>
          <w:szCs w:val="22"/>
          <w:lang w:eastAsia="ar-SA"/>
        </w:rPr>
        <w:t>ohledatelnost</w:t>
      </w:r>
      <w:proofErr w:type="spellEnd"/>
      <w:r w:rsidR="00CB7581" w:rsidRPr="00221F17">
        <w:rPr>
          <w:rFonts w:eastAsia="Calibri"/>
          <w:szCs w:val="22"/>
          <w:lang w:eastAsia="ar-SA"/>
        </w:rPr>
        <w:t xml:space="preserve"> a právní prokazatelnost údajů a jejich změn v ICIS, p</w:t>
      </w:r>
      <w:r>
        <w:rPr>
          <w:rFonts w:eastAsia="Calibri"/>
          <w:szCs w:val="22"/>
          <w:lang w:eastAsia="ar-SA"/>
        </w:rPr>
        <w:t>rávní prokazatelnost účetnictví,</w:t>
      </w:r>
    </w:p>
    <w:p w:rsidR="00CB7581" w:rsidRPr="00221F17" w:rsidRDefault="00F37424" w:rsidP="00A4749D">
      <w:pPr>
        <w:numPr>
          <w:ilvl w:val="0"/>
          <w:numId w:val="18"/>
        </w:numPr>
        <w:spacing w:before="120" w:after="120"/>
        <w:ind w:left="993" w:hanging="284"/>
        <w:jc w:val="both"/>
        <w:rPr>
          <w:rFonts w:eastAsia="Calibri"/>
          <w:szCs w:val="22"/>
          <w:lang w:eastAsia="ar-SA"/>
        </w:rPr>
      </w:pPr>
      <w:proofErr w:type="spellStart"/>
      <w:r>
        <w:rPr>
          <w:rFonts w:eastAsia="Calibri"/>
          <w:szCs w:val="22"/>
          <w:lang w:eastAsia="ar-SA"/>
        </w:rPr>
        <w:t>d</w:t>
      </w:r>
      <w:r w:rsidR="00CB7581" w:rsidRPr="00221F17">
        <w:rPr>
          <w:rFonts w:eastAsia="Calibri"/>
          <w:szCs w:val="22"/>
          <w:lang w:eastAsia="ar-SA"/>
        </w:rPr>
        <w:t>ohledatelnost</w:t>
      </w:r>
      <w:proofErr w:type="spellEnd"/>
      <w:r w:rsidR="00CB7581" w:rsidRPr="00221F17">
        <w:rPr>
          <w:rFonts w:eastAsia="Calibri"/>
          <w:szCs w:val="22"/>
          <w:lang w:eastAsia="ar-SA"/>
        </w:rPr>
        <w:t xml:space="preserve"> a právní prokazatelnost dokumentů distribuovaných ICIS – standardní používání certifikátů, šifrované komunikace a elektronic</w:t>
      </w:r>
      <w:r>
        <w:rPr>
          <w:rFonts w:eastAsia="Calibri"/>
          <w:szCs w:val="22"/>
          <w:lang w:eastAsia="ar-SA"/>
        </w:rPr>
        <w:t>kých podpisů s časovým razítkem,</w:t>
      </w:r>
    </w:p>
    <w:p w:rsidR="00CB7581" w:rsidRPr="00221F17" w:rsidRDefault="00F37424" w:rsidP="00A4749D">
      <w:pPr>
        <w:numPr>
          <w:ilvl w:val="0"/>
          <w:numId w:val="18"/>
        </w:numPr>
        <w:spacing w:before="120" w:after="120"/>
        <w:ind w:left="993" w:hanging="284"/>
        <w:jc w:val="both"/>
        <w:rPr>
          <w:rFonts w:eastAsia="Calibri"/>
          <w:szCs w:val="22"/>
          <w:lang w:eastAsia="ar-SA"/>
        </w:rPr>
      </w:pPr>
      <w:r>
        <w:rPr>
          <w:rFonts w:eastAsia="Calibri"/>
          <w:szCs w:val="22"/>
          <w:lang w:eastAsia="ar-SA"/>
        </w:rPr>
        <w:t>o</w:t>
      </w:r>
      <w:r w:rsidR="00CB7581" w:rsidRPr="00221F17">
        <w:rPr>
          <w:rFonts w:eastAsia="Calibri"/>
          <w:szCs w:val="22"/>
          <w:lang w:eastAsia="ar-SA"/>
        </w:rPr>
        <w:t>chranu údajů proti zneužití (neoprávněnému přístupu), vče</w:t>
      </w:r>
      <w:r>
        <w:rPr>
          <w:rFonts w:eastAsia="Calibri"/>
          <w:szCs w:val="22"/>
          <w:lang w:eastAsia="ar-SA"/>
        </w:rPr>
        <w:t>tně logování přístupu uživatelů,</w:t>
      </w:r>
    </w:p>
    <w:p w:rsidR="00CB7581" w:rsidRPr="00221F17" w:rsidRDefault="00F37424" w:rsidP="00A4749D">
      <w:pPr>
        <w:numPr>
          <w:ilvl w:val="0"/>
          <w:numId w:val="18"/>
        </w:numPr>
        <w:spacing w:before="120" w:after="120"/>
        <w:ind w:left="993" w:hanging="284"/>
        <w:jc w:val="both"/>
        <w:rPr>
          <w:rFonts w:eastAsia="Calibri"/>
          <w:szCs w:val="22"/>
          <w:lang w:eastAsia="ar-SA"/>
        </w:rPr>
      </w:pPr>
      <w:r>
        <w:rPr>
          <w:rFonts w:eastAsia="Calibri"/>
          <w:szCs w:val="22"/>
          <w:lang w:eastAsia="ar-SA"/>
        </w:rPr>
        <w:t>o</w:t>
      </w:r>
      <w:r w:rsidR="00CB7581" w:rsidRPr="00221F17">
        <w:rPr>
          <w:rFonts w:eastAsia="Calibri"/>
          <w:szCs w:val="22"/>
          <w:lang w:eastAsia="ar-SA"/>
        </w:rPr>
        <w:t>chranu proti neoprávněnému přís</w:t>
      </w:r>
      <w:r>
        <w:rPr>
          <w:rFonts w:eastAsia="Calibri"/>
          <w:szCs w:val="22"/>
          <w:lang w:eastAsia="ar-SA"/>
        </w:rPr>
        <w:t>tupu nástroji mimo systém ICIS,</w:t>
      </w:r>
    </w:p>
    <w:p w:rsidR="00CB7581" w:rsidRPr="00221F17" w:rsidRDefault="00F37424" w:rsidP="00A4749D">
      <w:pPr>
        <w:numPr>
          <w:ilvl w:val="0"/>
          <w:numId w:val="18"/>
        </w:numPr>
        <w:spacing w:before="120" w:after="120"/>
        <w:ind w:left="993" w:hanging="284"/>
        <w:jc w:val="both"/>
        <w:rPr>
          <w:rFonts w:eastAsia="Calibri"/>
          <w:szCs w:val="22"/>
          <w:lang w:eastAsia="ar-SA"/>
        </w:rPr>
      </w:pPr>
      <w:r>
        <w:rPr>
          <w:rFonts w:eastAsia="Calibri"/>
          <w:szCs w:val="22"/>
          <w:lang w:eastAsia="ar-SA"/>
        </w:rPr>
        <w:t>o</w:t>
      </w:r>
      <w:r w:rsidR="00CB7581" w:rsidRPr="00221F17">
        <w:rPr>
          <w:rFonts w:eastAsia="Calibri"/>
          <w:szCs w:val="22"/>
          <w:lang w:eastAsia="ar-SA"/>
        </w:rPr>
        <w:t>chranu proti</w:t>
      </w:r>
      <w:r>
        <w:rPr>
          <w:rFonts w:eastAsia="Calibri"/>
          <w:szCs w:val="22"/>
          <w:lang w:eastAsia="ar-SA"/>
        </w:rPr>
        <w:t xml:space="preserve"> neoprávněné změně dat a funkcí,</w:t>
      </w:r>
    </w:p>
    <w:p w:rsidR="00CB7581" w:rsidRPr="00221F17" w:rsidRDefault="00F37424" w:rsidP="00A4749D">
      <w:pPr>
        <w:numPr>
          <w:ilvl w:val="0"/>
          <w:numId w:val="18"/>
        </w:numPr>
        <w:spacing w:before="120" w:after="120"/>
        <w:ind w:left="993" w:hanging="284"/>
        <w:jc w:val="both"/>
        <w:rPr>
          <w:rFonts w:eastAsia="Calibri"/>
          <w:szCs w:val="22"/>
          <w:lang w:eastAsia="ar-SA"/>
        </w:rPr>
      </w:pPr>
      <w:r>
        <w:rPr>
          <w:rFonts w:eastAsia="Calibri"/>
          <w:szCs w:val="22"/>
          <w:lang w:eastAsia="ar-SA"/>
        </w:rPr>
        <w:t>o</w:t>
      </w:r>
      <w:r w:rsidR="00CB7581" w:rsidRPr="00221F17">
        <w:rPr>
          <w:rFonts w:eastAsia="Calibri"/>
          <w:szCs w:val="22"/>
          <w:lang w:eastAsia="ar-SA"/>
        </w:rPr>
        <w:t>chranu konzistence dat uvnitř ICIS i v rámci komunikačních kanálů</w:t>
      </w:r>
      <w:r>
        <w:rPr>
          <w:rFonts w:eastAsia="Calibri"/>
          <w:szCs w:val="22"/>
          <w:lang w:eastAsia="ar-SA"/>
        </w:rPr>
        <w:t xml:space="preserve"> a protokolů s okolními systémy,</w:t>
      </w:r>
    </w:p>
    <w:p w:rsidR="00CB7581" w:rsidRPr="00221F17" w:rsidRDefault="00F37424" w:rsidP="00A4749D">
      <w:pPr>
        <w:numPr>
          <w:ilvl w:val="0"/>
          <w:numId w:val="18"/>
        </w:numPr>
        <w:spacing w:before="120" w:after="120"/>
        <w:ind w:left="993" w:hanging="284"/>
        <w:jc w:val="both"/>
        <w:rPr>
          <w:rFonts w:eastAsia="Calibri"/>
          <w:szCs w:val="22"/>
          <w:lang w:eastAsia="ar-SA"/>
        </w:rPr>
      </w:pPr>
      <w:r>
        <w:rPr>
          <w:rFonts w:eastAsia="Calibri"/>
          <w:szCs w:val="22"/>
          <w:lang w:eastAsia="ar-SA"/>
        </w:rPr>
        <w:t>k</w:t>
      </w:r>
      <w:r w:rsidR="00CB7581" w:rsidRPr="00221F17">
        <w:rPr>
          <w:rFonts w:eastAsia="Calibri"/>
          <w:szCs w:val="22"/>
          <w:lang w:eastAsia="ar-SA"/>
        </w:rPr>
        <w:t xml:space="preserve">ontrolu proti vnitřnímu </w:t>
      </w:r>
      <w:proofErr w:type="spellStart"/>
      <w:r w:rsidR="00CB7581" w:rsidRPr="00221F17">
        <w:rPr>
          <w:rFonts w:eastAsia="Calibri"/>
          <w:szCs w:val="22"/>
          <w:lang w:eastAsia="ar-SA"/>
        </w:rPr>
        <w:t>fraudu</w:t>
      </w:r>
      <w:proofErr w:type="spellEnd"/>
      <w:r w:rsidR="00CB7581" w:rsidRPr="00221F17">
        <w:rPr>
          <w:rFonts w:eastAsia="Calibri"/>
          <w:szCs w:val="22"/>
          <w:lang w:eastAsia="ar-SA"/>
        </w:rPr>
        <w:t xml:space="preserve"> – ICIS bude podporovat nástroje pro identifikaci podezřelých situací indikujících možné snahy o neoprávněné obohacení </w:t>
      </w:r>
      <w:r>
        <w:rPr>
          <w:rFonts w:eastAsia="Calibri"/>
          <w:szCs w:val="22"/>
          <w:lang w:eastAsia="ar-SA"/>
        </w:rPr>
        <w:t>ze strany pracovníků pojišťovny,</w:t>
      </w:r>
    </w:p>
    <w:p w:rsidR="00CB7581" w:rsidRPr="00221F17" w:rsidRDefault="00F37424" w:rsidP="00A4749D">
      <w:pPr>
        <w:numPr>
          <w:ilvl w:val="0"/>
          <w:numId w:val="18"/>
        </w:numPr>
        <w:spacing w:before="120" w:after="120"/>
        <w:ind w:left="993" w:hanging="284"/>
        <w:jc w:val="both"/>
        <w:rPr>
          <w:rFonts w:eastAsia="Calibri"/>
          <w:szCs w:val="22"/>
          <w:lang w:eastAsia="ar-SA"/>
        </w:rPr>
      </w:pPr>
      <w:r>
        <w:rPr>
          <w:rFonts w:eastAsia="Calibri"/>
          <w:szCs w:val="22"/>
          <w:lang w:eastAsia="ar-SA"/>
        </w:rPr>
        <w:t>v</w:t>
      </w:r>
      <w:r w:rsidR="00CB7581" w:rsidRPr="00221F17">
        <w:rPr>
          <w:rFonts w:eastAsia="Calibri"/>
          <w:szCs w:val="22"/>
          <w:lang w:eastAsia="ar-SA"/>
        </w:rPr>
        <w:t>ýstupy pro inter</w:t>
      </w:r>
      <w:r>
        <w:rPr>
          <w:rFonts w:eastAsia="Calibri"/>
          <w:szCs w:val="22"/>
          <w:lang w:eastAsia="ar-SA"/>
        </w:rPr>
        <w:t>ní a externí bezpečnostní audit,</w:t>
      </w:r>
    </w:p>
    <w:p w:rsidR="00CB7581" w:rsidRPr="00221F17" w:rsidRDefault="00F37424" w:rsidP="00A4749D">
      <w:pPr>
        <w:numPr>
          <w:ilvl w:val="0"/>
          <w:numId w:val="18"/>
        </w:numPr>
        <w:spacing w:before="120" w:after="120"/>
        <w:ind w:left="993" w:hanging="284"/>
        <w:jc w:val="both"/>
        <w:rPr>
          <w:rFonts w:eastAsia="Calibri"/>
          <w:szCs w:val="22"/>
          <w:lang w:eastAsia="ar-SA"/>
        </w:rPr>
      </w:pPr>
      <w:r>
        <w:rPr>
          <w:rFonts w:eastAsia="Calibri"/>
          <w:szCs w:val="22"/>
          <w:lang w:eastAsia="ar-SA"/>
        </w:rPr>
        <w:t>o</w:t>
      </w:r>
      <w:r w:rsidR="00CB7581" w:rsidRPr="00221F17">
        <w:rPr>
          <w:rFonts w:eastAsia="Calibri"/>
          <w:szCs w:val="22"/>
          <w:lang w:eastAsia="ar-SA"/>
        </w:rPr>
        <w:t>chranu proti úniku informací neoprávněným uživatelům.</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t>Zabezpečení dat uvnitř systému ICIS není explicitně vyžadováno. Serverové prostředí ICIS včetně datových úložišť bude považováno za důvěryhodné, není nutné šifrovat data na datovém úložišti nebo při komunikaci mezi systémy. Systém musí být připraven na možnou změnu legislativy v oblasti vnitřního zabezpečení dat (např. nový zákon o kybernetické bezpečnosti).</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t xml:space="preserve">Bude-li nový ICIS ukládat důvěrná data mimo samotný systém (serverovou infrastrukturu), musí být tato funkce explicitně zdůvodněna a schválena </w:t>
      </w:r>
      <w:r w:rsidR="00BE0838">
        <w:rPr>
          <w:rFonts w:eastAsia="Calibri"/>
          <w:szCs w:val="22"/>
          <w:lang w:eastAsia="ar-SA"/>
        </w:rPr>
        <w:t>zadavatelem</w:t>
      </w:r>
      <w:r w:rsidRPr="00221F17">
        <w:rPr>
          <w:rFonts w:eastAsia="Calibri"/>
          <w:szCs w:val="22"/>
          <w:lang w:eastAsia="ar-SA"/>
        </w:rPr>
        <w:t xml:space="preserve">. Toto se netýká ostatních interních systémů </w:t>
      </w:r>
      <w:r w:rsidR="00BE0838">
        <w:rPr>
          <w:rFonts w:eastAsia="Calibri"/>
          <w:szCs w:val="22"/>
          <w:lang w:eastAsia="ar-SA"/>
        </w:rPr>
        <w:t>zadavatele</w:t>
      </w:r>
      <w:r w:rsidRPr="00221F17">
        <w:rPr>
          <w:rFonts w:eastAsia="Calibri"/>
          <w:szCs w:val="22"/>
          <w:lang w:eastAsia="ar-SA"/>
        </w:rPr>
        <w:t>, které jsou také považovány za důvěryhodné.</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t>Uživatelé budou k datům přistupovat prostředky ICIS, případně budou mít pro reporting přístup do definovaného datového skladu. Přímý přístup k datům transakčních částí systému musí být uživatelům zamezen s výjimkou odpovědných pracovníků odboru informatiky.</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t xml:space="preserve">Oprávněný uživatel bude moci data přenášet na PC </w:t>
      </w:r>
      <w:r w:rsidR="00BE0838">
        <w:rPr>
          <w:rFonts w:eastAsia="Calibri"/>
          <w:szCs w:val="22"/>
          <w:lang w:eastAsia="ar-SA"/>
        </w:rPr>
        <w:t>zadavatele</w:t>
      </w:r>
      <w:r w:rsidRPr="00221F17">
        <w:rPr>
          <w:rFonts w:eastAsia="Calibri"/>
          <w:szCs w:val="22"/>
          <w:lang w:eastAsia="ar-SA"/>
        </w:rPr>
        <w:t xml:space="preserve">. Řízení přístupu k datům </w:t>
      </w:r>
      <w:r w:rsidRPr="009038E6">
        <w:rPr>
          <w:rFonts w:eastAsia="Calibri"/>
          <w:szCs w:val="22"/>
          <w:lang w:eastAsia="ar-SA"/>
        </w:rPr>
        <w:t>mimo systém ICIS není součástí poptávky</w:t>
      </w:r>
      <w:r w:rsidRPr="00221F17">
        <w:rPr>
          <w:rFonts w:eastAsia="Calibri"/>
          <w:szCs w:val="22"/>
          <w:lang w:eastAsia="ar-SA"/>
        </w:rPr>
        <w:t>.</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t>Datové úložiště by mělo být pro celý systém ICIS na jedné technologické platformě. Datové úložiště musí zajistit požadavky na zabezpečení, výkon a integritu spravovaných dat. Nový ICIS musí v maximální míře omezit duplicitu dat.</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lastRenderedPageBreak/>
        <w:t xml:space="preserve">Datové úložiště musí umožnit propojení na stávající datový sklad provozovaný na platformě Microsoft SQL Server, a to zaměstnanci odboru informatiky </w:t>
      </w:r>
      <w:r w:rsidR="00BE0838">
        <w:rPr>
          <w:rFonts w:eastAsia="Calibri"/>
          <w:szCs w:val="22"/>
          <w:lang w:eastAsia="ar-SA"/>
        </w:rPr>
        <w:t>zadavatele</w:t>
      </w:r>
      <w:r w:rsidRPr="00221F17">
        <w:rPr>
          <w:rFonts w:eastAsia="Calibri"/>
          <w:szCs w:val="22"/>
          <w:lang w:eastAsia="ar-SA"/>
        </w:rPr>
        <w:t xml:space="preserve">. Pro tvorbu sestav </w:t>
      </w:r>
      <w:r w:rsidR="00BE0838">
        <w:rPr>
          <w:rFonts w:eastAsia="Calibri"/>
          <w:szCs w:val="22"/>
          <w:lang w:eastAsia="ar-SA"/>
        </w:rPr>
        <w:t>zadavatel</w:t>
      </w:r>
      <w:r w:rsidR="00BE0838" w:rsidRPr="00221F17">
        <w:rPr>
          <w:rFonts w:eastAsia="Calibri"/>
          <w:szCs w:val="22"/>
          <w:lang w:eastAsia="ar-SA"/>
        </w:rPr>
        <w:t xml:space="preserve"> </w:t>
      </w:r>
      <w:r w:rsidRPr="00221F17">
        <w:rPr>
          <w:rFonts w:eastAsia="Calibri"/>
          <w:szCs w:val="22"/>
          <w:lang w:eastAsia="ar-SA"/>
        </w:rPr>
        <w:t xml:space="preserve">předpokládá, že součástí ICIS bude datový prostor pro provádění analýz, ke kterému bude přístup z technologií Microsoft SQL Server (SSIS, SSAS, SSRS) za účelem vlastních analýz a tvorby vlastních sestav </w:t>
      </w:r>
      <w:r w:rsidR="00BE0838">
        <w:rPr>
          <w:rFonts w:eastAsia="Calibri"/>
          <w:szCs w:val="22"/>
          <w:lang w:eastAsia="ar-SA"/>
        </w:rPr>
        <w:t>zadavatele</w:t>
      </w:r>
      <w:r w:rsidRPr="00221F17">
        <w:rPr>
          <w:rFonts w:eastAsia="Calibri"/>
          <w:szCs w:val="22"/>
          <w:lang w:eastAsia="ar-SA"/>
        </w:rPr>
        <w:t>.</w:t>
      </w:r>
    </w:p>
    <w:p w:rsidR="00CB7581" w:rsidRPr="00221F17" w:rsidRDefault="00CB7581" w:rsidP="00A4749D">
      <w:pPr>
        <w:numPr>
          <w:ilvl w:val="0"/>
          <w:numId w:val="29"/>
        </w:numPr>
        <w:spacing w:before="120" w:after="120"/>
        <w:jc w:val="both"/>
        <w:rPr>
          <w:rFonts w:eastAsia="Calibri"/>
          <w:szCs w:val="22"/>
          <w:lang w:eastAsia="ar-SA"/>
        </w:rPr>
      </w:pPr>
      <w:r w:rsidRPr="00221F17">
        <w:rPr>
          <w:rFonts w:eastAsia="Calibri"/>
          <w:szCs w:val="22"/>
          <w:lang w:eastAsia="ar-SA"/>
        </w:rPr>
        <w:t xml:space="preserve">Pro specifické aplikace uvedené v návrhu systému musí ICIS umožnit zaměstnancům odboru informatiky </w:t>
      </w:r>
      <w:r w:rsidR="00BE0838">
        <w:rPr>
          <w:rFonts w:eastAsia="Calibri"/>
          <w:szCs w:val="22"/>
          <w:lang w:eastAsia="ar-SA"/>
        </w:rPr>
        <w:t>zadavatele</w:t>
      </w:r>
      <w:r w:rsidR="00BE0838" w:rsidRPr="00221F17">
        <w:rPr>
          <w:rFonts w:eastAsia="Calibri"/>
          <w:szCs w:val="22"/>
          <w:lang w:eastAsia="ar-SA"/>
        </w:rPr>
        <w:t xml:space="preserve"> </w:t>
      </w:r>
      <w:r w:rsidRPr="00221F17">
        <w:rPr>
          <w:rFonts w:eastAsia="Calibri"/>
          <w:szCs w:val="22"/>
          <w:lang w:eastAsia="ar-SA"/>
        </w:rPr>
        <w:t xml:space="preserve">vytvořit vlastní programy zpracování dat, které budou postaveny na technologiích </w:t>
      </w:r>
      <w:proofErr w:type="gramStart"/>
      <w:r w:rsidRPr="00221F17">
        <w:rPr>
          <w:rFonts w:eastAsia="Calibri"/>
          <w:szCs w:val="22"/>
          <w:lang w:eastAsia="ar-SA"/>
        </w:rPr>
        <w:t>Microsoft.NET</w:t>
      </w:r>
      <w:proofErr w:type="gramEnd"/>
      <w:r w:rsidRPr="00221F17">
        <w:rPr>
          <w:rFonts w:eastAsia="Calibri"/>
          <w:szCs w:val="22"/>
          <w:lang w:eastAsia="ar-SA"/>
        </w:rPr>
        <w:t>. Nový ICIS musí minimálně podporovat vzájemnou výměnu dat za použití standardních služeb (SOAP, REST, XML).</w:t>
      </w:r>
    </w:p>
    <w:p w:rsidR="00CB7581" w:rsidRPr="00221F17" w:rsidRDefault="00CB7581" w:rsidP="00CB7581">
      <w:pPr>
        <w:ind w:left="284"/>
        <w:jc w:val="both"/>
        <w:rPr>
          <w:rFonts w:eastAsia="Calibri"/>
          <w:b/>
          <w:szCs w:val="22"/>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Řízení přístupu uživatelů</w:t>
      </w:r>
    </w:p>
    <w:p w:rsidR="00CB7581" w:rsidRPr="00221F17" w:rsidRDefault="00CB7581" w:rsidP="00A4749D">
      <w:pPr>
        <w:numPr>
          <w:ilvl w:val="0"/>
          <w:numId w:val="30"/>
        </w:numPr>
        <w:spacing w:before="120" w:after="120"/>
        <w:jc w:val="both"/>
        <w:rPr>
          <w:rFonts w:eastAsia="Calibri"/>
          <w:szCs w:val="22"/>
          <w:lang w:eastAsia="ar-SA"/>
        </w:rPr>
      </w:pPr>
      <w:r w:rsidRPr="00221F17">
        <w:rPr>
          <w:rFonts w:eastAsia="Calibri"/>
          <w:szCs w:val="22"/>
          <w:lang w:eastAsia="ar-SA"/>
        </w:rPr>
        <w:t xml:space="preserve">Přihlašování do systému ICIS bude řešeno technologií Single Sign-On s využitím Microsoft </w:t>
      </w:r>
      <w:proofErr w:type="spellStart"/>
      <w:r w:rsidRPr="00221F17">
        <w:rPr>
          <w:rFonts w:eastAsia="Calibri"/>
          <w:szCs w:val="22"/>
          <w:lang w:eastAsia="ar-SA"/>
        </w:rPr>
        <w:t>Active</w:t>
      </w:r>
      <w:proofErr w:type="spellEnd"/>
      <w:r w:rsidRPr="00221F17">
        <w:rPr>
          <w:rFonts w:eastAsia="Calibri"/>
          <w:szCs w:val="22"/>
          <w:lang w:eastAsia="ar-SA"/>
        </w:rPr>
        <w:t xml:space="preserve"> </w:t>
      </w:r>
      <w:proofErr w:type="spellStart"/>
      <w:r w:rsidRPr="00221F17">
        <w:rPr>
          <w:rFonts w:eastAsia="Calibri"/>
          <w:szCs w:val="22"/>
          <w:lang w:eastAsia="ar-SA"/>
        </w:rPr>
        <w:t>Directory</w:t>
      </w:r>
      <w:proofErr w:type="spellEnd"/>
      <w:r w:rsidR="00CF5E3C">
        <w:rPr>
          <w:rFonts w:eastAsia="Calibri"/>
          <w:szCs w:val="22"/>
          <w:lang w:eastAsia="ar-SA"/>
        </w:rPr>
        <w:t xml:space="preserve"> (dále také </w:t>
      </w:r>
      <w:proofErr w:type="spellStart"/>
      <w:r w:rsidR="00CF5E3C" w:rsidRPr="00221F17">
        <w:rPr>
          <w:rFonts w:eastAsia="Calibri"/>
          <w:szCs w:val="22"/>
          <w:lang w:eastAsia="ar-SA"/>
        </w:rPr>
        <w:t>Active</w:t>
      </w:r>
      <w:proofErr w:type="spellEnd"/>
      <w:r w:rsidR="00CF5E3C" w:rsidRPr="00221F17">
        <w:rPr>
          <w:rFonts w:eastAsia="Calibri"/>
          <w:szCs w:val="22"/>
          <w:lang w:eastAsia="ar-SA"/>
        </w:rPr>
        <w:t xml:space="preserve"> </w:t>
      </w:r>
      <w:proofErr w:type="spellStart"/>
      <w:r w:rsidR="00CF5E3C" w:rsidRPr="00221F17">
        <w:rPr>
          <w:rFonts w:eastAsia="Calibri"/>
          <w:szCs w:val="22"/>
          <w:lang w:eastAsia="ar-SA"/>
        </w:rPr>
        <w:t>Directory</w:t>
      </w:r>
      <w:proofErr w:type="spellEnd"/>
      <w:r w:rsidR="00CF5E3C">
        <w:rPr>
          <w:rFonts w:eastAsia="Calibri"/>
          <w:szCs w:val="22"/>
          <w:lang w:eastAsia="ar-SA"/>
        </w:rPr>
        <w:t>)</w:t>
      </w:r>
      <w:r w:rsidRPr="00221F17">
        <w:rPr>
          <w:rFonts w:eastAsia="Calibri"/>
          <w:szCs w:val="22"/>
          <w:lang w:eastAsia="ar-SA"/>
        </w:rPr>
        <w:t xml:space="preserve"> provozované </w:t>
      </w:r>
      <w:r w:rsidR="002B1330">
        <w:rPr>
          <w:rFonts w:eastAsia="Calibri"/>
          <w:szCs w:val="22"/>
          <w:lang w:eastAsia="ar-SA"/>
        </w:rPr>
        <w:t>zadavatelem</w:t>
      </w:r>
      <w:r w:rsidRPr="00221F17">
        <w:rPr>
          <w:rFonts w:eastAsia="Calibri"/>
          <w:szCs w:val="22"/>
          <w:lang w:eastAsia="ar-SA"/>
        </w:rPr>
        <w:t xml:space="preserve">. </w:t>
      </w:r>
      <w:proofErr w:type="spellStart"/>
      <w:r w:rsidRPr="00221F17">
        <w:rPr>
          <w:rFonts w:eastAsia="Calibri"/>
          <w:szCs w:val="22"/>
          <w:lang w:eastAsia="ar-SA"/>
        </w:rPr>
        <w:t>Active</w:t>
      </w:r>
      <w:proofErr w:type="spellEnd"/>
      <w:r w:rsidRPr="00221F17">
        <w:rPr>
          <w:rFonts w:eastAsia="Calibri"/>
          <w:szCs w:val="22"/>
          <w:lang w:eastAsia="ar-SA"/>
        </w:rPr>
        <w:t xml:space="preserve"> </w:t>
      </w:r>
      <w:proofErr w:type="spellStart"/>
      <w:r w:rsidRPr="00221F17">
        <w:rPr>
          <w:rFonts w:eastAsia="Calibri"/>
          <w:szCs w:val="22"/>
          <w:lang w:eastAsia="ar-SA"/>
        </w:rPr>
        <w:t>Directory</w:t>
      </w:r>
      <w:proofErr w:type="spellEnd"/>
      <w:r w:rsidRPr="00221F17">
        <w:rPr>
          <w:rFonts w:eastAsia="Calibri"/>
          <w:szCs w:val="22"/>
          <w:lang w:eastAsia="ar-SA"/>
        </w:rPr>
        <w:t xml:space="preserve"> je aktuálně na technologické úrovni Windows 2008 R2. Bude-li </w:t>
      </w:r>
      <w:r w:rsidR="002B1330">
        <w:rPr>
          <w:rFonts w:eastAsia="Calibri"/>
          <w:szCs w:val="22"/>
          <w:lang w:eastAsia="ar-SA"/>
        </w:rPr>
        <w:t>d</w:t>
      </w:r>
      <w:r w:rsidR="000F7926">
        <w:rPr>
          <w:rFonts w:eastAsia="Calibri"/>
          <w:szCs w:val="22"/>
          <w:lang w:eastAsia="ar-SA"/>
        </w:rPr>
        <w:t>odavatel</w:t>
      </w:r>
      <w:r w:rsidRPr="00221F17">
        <w:rPr>
          <w:rFonts w:eastAsia="Calibri"/>
          <w:szCs w:val="22"/>
          <w:lang w:eastAsia="ar-SA"/>
        </w:rPr>
        <w:t xml:space="preserve"> požadovat jinou technologickou úroveň, musí být tato informace explicitně uvedena a náklady na tuto změnu musí být součástí nabídkové ceny. Ochrana specifických částí systému (heslo, certifikát, HW token) musí být explicitně uvedena. </w:t>
      </w:r>
      <w:r w:rsidR="000F7926">
        <w:rPr>
          <w:rFonts w:eastAsia="Calibri"/>
          <w:szCs w:val="22"/>
          <w:lang w:eastAsia="ar-SA"/>
        </w:rPr>
        <w:t>Dodavatel</w:t>
      </w:r>
      <w:r w:rsidRPr="00221F17">
        <w:rPr>
          <w:rFonts w:eastAsia="Calibri"/>
          <w:szCs w:val="22"/>
          <w:lang w:eastAsia="ar-SA"/>
        </w:rPr>
        <w:t xml:space="preserve"> může navrhnout vlastní způsob realizace Single Sign-On s využitím stávající </w:t>
      </w:r>
      <w:proofErr w:type="spellStart"/>
      <w:r w:rsidRPr="00221F17">
        <w:rPr>
          <w:rFonts w:eastAsia="Calibri"/>
          <w:szCs w:val="22"/>
          <w:lang w:eastAsia="ar-SA"/>
        </w:rPr>
        <w:t>Active</w:t>
      </w:r>
      <w:proofErr w:type="spellEnd"/>
      <w:r w:rsidRPr="00221F17">
        <w:rPr>
          <w:rFonts w:eastAsia="Calibri"/>
          <w:szCs w:val="22"/>
          <w:lang w:eastAsia="ar-SA"/>
        </w:rPr>
        <w:t xml:space="preserve"> </w:t>
      </w:r>
      <w:proofErr w:type="spellStart"/>
      <w:r w:rsidRPr="00221F17">
        <w:rPr>
          <w:rFonts w:eastAsia="Calibri"/>
          <w:szCs w:val="22"/>
          <w:lang w:eastAsia="ar-SA"/>
        </w:rPr>
        <w:t>Directory</w:t>
      </w:r>
      <w:proofErr w:type="spellEnd"/>
      <w:r w:rsidRPr="00221F17">
        <w:rPr>
          <w:rFonts w:eastAsia="Calibri"/>
          <w:szCs w:val="22"/>
          <w:lang w:eastAsia="ar-SA"/>
        </w:rPr>
        <w:t xml:space="preserve">, např. v kombinaci s dalšími identifikačními nástroji, avšak správa uživatelů musí být napříč řešením jednotná a probíhat nad </w:t>
      </w:r>
      <w:proofErr w:type="spellStart"/>
      <w:r w:rsidRPr="00221F17">
        <w:rPr>
          <w:rFonts w:eastAsia="Calibri"/>
          <w:szCs w:val="22"/>
          <w:lang w:eastAsia="ar-SA"/>
        </w:rPr>
        <w:t>Active</w:t>
      </w:r>
      <w:proofErr w:type="spellEnd"/>
      <w:r w:rsidRPr="00221F17">
        <w:rPr>
          <w:rFonts w:eastAsia="Calibri"/>
          <w:szCs w:val="22"/>
          <w:lang w:eastAsia="ar-SA"/>
        </w:rPr>
        <w:t xml:space="preserve"> </w:t>
      </w:r>
      <w:proofErr w:type="spellStart"/>
      <w:r w:rsidRPr="00221F17">
        <w:rPr>
          <w:rFonts w:eastAsia="Calibri"/>
          <w:szCs w:val="22"/>
          <w:lang w:eastAsia="ar-SA"/>
        </w:rPr>
        <w:t>Directory</w:t>
      </w:r>
      <w:proofErr w:type="spellEnd"/>
      <w:r w:rsidRPr="00221F17">
        <w:rPr>
          <w:rFonts w:eastAsia="Calibri"/>
          <w:szCs w:val="22"/>
          <w:lang w:eastAsia="ar-SA"/>
        </w:rPr>
        <w:t>.</w:t>
      </w:r>
    </w:p>
    <w:p w:rsidR="00CB7581" w:rsidRPr="00221F17" w:rsidRDefault="00CB7581" w:rsidP="00A4749D">
      <w:pPr>
        <w:numPr>
          <w:ilvl w:val="0"/>
          <w:numId w:val="30"/>
        </w:numPr>
        <w:spacing w:before="120" w:after="120"/>
        <w:jc w:val="both"/>
        <w:rPr>
          <w:rFonts w:eastAsia="Calibri"/>
          <w:szCs w:val="22"/>
          <w:lang w:eastAsia="ar-SA"/>
        </w:rPr>
      </w:pPr>
      <w:r w:rsidRPr="00221F17">
        <w:rPr>
          <w:rFonts w:eastAsia="Calibri"/>
          <w:szCs w:val="22"/>
          <w:lang w:eastAsia="ar-SA"/>
        </w:rPr>
        <w:t xml:space="preserve">Zabezpečení přístupu k funkcím ICIS bude řízeno víceúrovňovou definicí oprávnění. Základní autentizační jednotkou bude identita uživatele v prostředí </w:t>
      </w:r>
      <w:proofErr w:type="spellStart"/>
      <w:r w:rsidRPr="00221F17">
        <w:rPr>
          <w:rFonts w:eastAsia="Calibri"/>
          <w:szCs w:val="22"/>
          <w:lang w:eastAsia="ar-SA"/>
        </w:rPr>
        <w:t>Active</w:t>
      </w:r>
      <w:proofErr w:type="spellEnd"/>
      <w:r w:rsidRPr="00221F17">
        <w:rPr>
          <w:rFonts w:eastAsia="Calibri"/>
          <w:szCs w:val="22"/>
          <w:lang w:eastAsia="ar-SA"/>
        </w:rPr>
        <w:t xml:space="preserve"> </w:t>
      </w:r>
      <w:proofErr w:type="spellStart"/>
      <w:r w:rsidRPr="00221F17">
        <w:rPr>
          <w:rFonts w:eastAsia="Calibri"/>
          <w:szCs w:val="22"/>
          <w:lang w:eastAsia="ar-SA"/>
        </w:rPr>
        <w:t>Directory</w:t>
      </w:r>
      <w:proofErr w:type="spellEnd"/>
      <w:r w:rsidRPr="00221F17">
        <w:rPr>
          <w:rFonts w:eastAsia="Calibri"/>
          <w:szCs w:val="22"/>
          <w:lang w:eastAsia="ar-SA"/>
        </w:rPr>
        <w:t xml:space="preserve">. Pro řízení přístupu k prostředkům systému ICIS </w:t>
      </w:r>
      <w:r w:rsidR="002B1330">
        <w:rPr>
          <w:rFonts w:eastAsia="Calibri"/>
          <w:szCs w:val="22"/>
          <w:lang w:eastAsia="ar-SA"/>
        </w:rPr>
        <w:t>zadavatel</w:t>
      </w:r>
      <w:r w:rsidR="002B1330" w:rsidRPr="00221F17">
        <w:rPr>
          <w:rFonts w:eastAsia="Calibri"/>
          <w:szCs w:val="22"/>
          <w:lang w:eastAsia="ar-SA"/>
        </w:rPr>
        <w:t xml:space="preserve"> </w:t>
      </w:r>
      <w:r w:rsidRPr="00221F17">
        <w:rPr>
          <w:rFonts w:eastAsia="Calibri"/>
          <w:szCs w:val="22"/>
          <w:lang w:eastAsia="ar-SA"/>
        </w:rPr>
        <w:t>předpokládá využití bezpečnostních skupin, uživatelé budou zařazováni do připravených skupin dle rolí, které budou vykonávat.</w:t>
      </w:r>
    </w:p>
    <w:p w:rsidR="00CB7581" w:rsidRPr="00221F17" w:rsidRDefault="00CB7581" w:rsidP="00A4749D">
      <w:pPr>
        <w:numPr>
          <w:ilvl w:val="0"/>
          <w:numId w:val="30"/>
        </w:numPr>
        <w:spacing w:before="120" w:after="120"/>
        <w:jc w:val="both"/>
        <w:rPr>
          <w:rFonts w:eastAsia="Calibri"/>
          <w:szCs w:val="22"/>
          <w:lang w:eastAsia="ar-SA"/>
        </w:rPr>
      </w:pPr>
      <w:r w:rsidRPr="00221F17">
        <w:rPr>
          <w:rFonts w:eastAsia="Calibri"/>
          <w:szCs w:val="22"/>
          <w:lang w:eastAsia="ar-SA"/>
        </w:rPr>
        <w:t>ICIS bude pro vybrané agendy podporovat řízení přístupu až k jednotlivým datovým záznamům (např. filtrovat přístup k datům dle vybraného atributu), viz požadavky na funkce systému.</w:t>
      </w:r>
    </w:p>
    <w:p w:rsidR="00CB7581" w:rsidRPr="00221F17" w:rsidRDefault="00CB7581" w:rsidP="00A4749D">
      <w:pPr>
        <w:numPr>
          <w:ilvl w:val="0"/>
          <w:numId w:val="30"/>
        </w:numPr>
        <w:spacing w:before="120" w:after="120"/>
        <w:jc w:val="both"/>
        <w:rPr>
          <w:rFonts w:eastAsia="Calibri"/>
          <w:szCs w:val="22"/>
          <w:lang w:eastAsia="ar-SA"/>
        </w:rPr>
      </w:pPr>
      <w:r w:rsidRPr="00221F17">
        <w:rPr>
          <w:rFonts w:eastAsia="Calibri"/>
          <w:szCs w:val="22"/>
          <w:lang w:eastAsia="ar-SA"/>
        </w:rPr>
        <w:t xml:space="preserve">ICIS bude podporovat ověřování identity klientů v externích aplikacích uvedených </w:t>
      </w:r>
      <w:r w:rsidR="00027A17">
        <w:rPr>
          <w:rFonts w:eastAsia="Calibri"/>
          <w:szCs w:val="22"/>
          <w:lang w:eastAsia="ar-SA"/>
        </w:rPr>
        <w:t>v tabulce bodu č. 11 a č. 12.</w:t>
      </w:r>
    </w:p>
    <w:p w:rsidR="00CB7581" w:rsidRPr="00221F17" w:rsidRDefault="00CB7581" w:rsidP="00A4749D">
      <w:pPr>
        <w:numPr>
          <w:ilvl w:val="0"/>
          <w:numId w:val="30"/>
        </w:numPr>
        <w:spacing w:before="120" w:after="120"/>
        <w:jc w:val="both"/>
        <w:rPr>
          <w:rFonts w:eastAsia="Calibri"/>
          <w:szCs w:val="22"/>
          <w:lang w:eastAsia="ar-SA"/>
        </w:rPr>
      </w:pPr>
      <w:r w:rsidRPr="00221F17">
        <w:rPr>
          <w:rFonts w:eastAsia="Calibri"/>
          <w:szCs w:val="22"/>
          <w:lang w:eastAsia="ar-SA"/>
        </w:rPr>
        <w:t>ICIS bude obsahovat víceúrovňovou administraci uživatelských oprávnění. ICIS umožní vybraným uživatelům spravovat uživatelské přístupy jemu podřízených zaměstnanců.</w:t>
      </w:r>
    </w:p>
    <w:p w:rsidR="00CB7581" w:rsidRPr="00221F17" w:rsidRDefault="00CB7581" w:rsidP="00CB7581">
      <w:pPr>
        <w:ind w:left="284"/>
        <w:jc w:val="both"/>
        <w:rPr>
          <w:rFonts w:eastAsia="Calibri"/>
          <w:b/>
          <w:szCs w:val="22"/>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Klientské stanice</w:t>
      </w:r>
    </w:p>
    <w:p w:rsidR="00CB7581" w:rsidRPr="00221F17" w:rsidRDefault="00CB7581" w:rsidP="00A4749D">
      <w:pPr>
        <w:numPr>
          <w:ilvl w:val="0"/>
          <w:numId w:val="31"/>
        </w:numPr>
        <w:spacing w:before="120" w:after="120"/>
        <w:jc w:val="both"/>
        <w:rPr>
          <w:rFonts w:eastAsia="Calibri"/>
          <w:szCs w:val="22"/>
          <w:lang w:eastAsia="ar-SA"/>
        </w:rPr>
      </w:pPr>
      <w:r w:rsidRPr="00221F17">
        <w:rPr>
          <w:rFonts w:eastAsia="Calibri"/>
          <w:szCs w:val="22"/>
          <w:lang w:eastAsia="ar-SA"/>
        </w:rPr>
        <w:t>Systém ICIS bude podporovat stávající klientské stanice uživatelů, s následující specifikací:</w:t>
      </w:r>
    </w:p>
    <w:p w:rsidR="00CB7581" w:rsidRPr="00221F17" w:rsidRDefault="00027A17" w:rsidP="00A4749D">
      <w:pPr>
        <w:numPr>
          <w:ilvl w:val="0"/>
          <w:numId w:val="18"/>
        </w:numPr>
        <w:spacing w:before="120" w:after="120"/>
        <w:ind w:left="993" w:hanging="284"/>
        <w:jc w:val="both"/>
        <w:rPr>
          <w:rFonts w:eastAsia="Calibri"/>
          <w:szCs w:val="22"/>
          <w:lang w:eastAsia="ar-SA"/>
        </w:rPr>
      </w:pPr>
      <w:r>
        <w:rPr>
          <w:rFonts w:eastAsia="Calibri"/>
          <w:szCs w:val="22"/>
          <w:lang w:eastAsia="ar-SA"/>
        </w:rPr>
        <w:t>o</w:t>
      </w:r>
      <w:r w:rsidR="00CB7581" w:rsidRPr="00221F17">
        <w:rPr>
          <w:rFonts w:eastAsia="Calibri"/>
          <w:szCs w:val="22"/>
          <w:lang w:eastAsia="ar-SA"/>
        </w:rPr>
        <w:t>perační systém: Microsoft Windows (</w:t>
      </w:r>
      <w:r w:rsidR="0016670D">
        <w:rPr>
          <w:rFonts w:eastAsia="Calibri"/>
          <w:szCs w:val="22"/>
          <w:lang w:eastAsia="ar-SA"/>
        </w:rPr>
        <w:t>verze</w:t>
      </w:r>
      <w:r w:rsidR="00CB7581" w:rsidRPr="00221F17">
        <w:rPr>
          <w:rFonts w:eastAsia="Calibri"/>
          <w:szCs w:val="22"/>
          <w:lang w:eastAsia="ar-SA"/>
        </w:rPr>
        <w:t xml:space="preserve"> 7, 8 a nově</w:t>
      </w:r>
      <w:r>
        <w:rPr>
          <w:rFonts w:eastAsia="Calibri"/>
          <w:szCs w:val="22"/>
          <w:lang w:eastAsia="ar-SA"/>
        </w:rPr>
        <w:t>jší),</w:t>
      </w:r>
    </w:p>
    <w:p w:rsidR="00CB7581" w:rsidRPr="00221F17" w:rsidRDefault="00027A17" w:rsidP="00A4749D">
      <w:pPr>
        <w:numPr>
          <w:ilvl w:val="0"/>
          <w:numId w:val="18"/>
        </w:numPr>
        <w:spacing w:before="120" w:after="120"/>
        <w:ind w:left="993" w:hanging="284"/>
        <w:jc w:val="both"/>
        <w:rPr>
          <w:rFonts w:eastAsia="Calibri"/>
          <w:szCs w:val="22"/>
          <w:lang w:eastAsia="ar-SA"/>
        </w:rPr>
      </w:pPr>
      <w:r>
        <w:rPr>
          <w:rFonts w:eastAsia="Calibri"/>
          <w:szCs w:val="22"/>
          <w:lang w:eastAsia="ar-SA"/>
        </w:rPr>
        <w:t>k</w:t>
      </w:r>
      <w:r w:rsidR="00CB7581" w:rsidRPr="00221F17">
        <w:rPr>
          <w:rFonts w:eastAsia="Calibri"/>
          <w:szCs w:val="22"/>
          <w:lang w:eastAsia="ar-SA"/>
        </w:rPr>
        <w:t>ancelářský balík: Microsoft Offi</w:t>
      </w:r>
      <w:r>
        <w:rPr>
          <w:rFonts w:eastAsia="Calibri"/>
          <w:szCs w:val="22"/>
          <w:lang w:eastAsia="ar-SA"/>
        </w:rPr>
        <w:t>ce (2007, 2010, 2013 a novější),</w:t>
      </w:r>
    </w:p>
    <w:p w:rsidR="00CB7581" w:rsidRPr="00221F17" w:rsidRDefault="00027A17" w:rsidP="00A4749D">
      <w:pPr>
        <w:numPr>
          <w:ilvl w:val="0"/>
          <w:numId w:val="18"/>
        </w:numPr>
        <w:spacing w:before="120" w:after="120"/>
        <w:ind w:left="993" w:hanging="284"/>
        <w:jc w:val="both"/>
        <w:rPr>
          <w:rFonts w:eastAsia="Calibri"/>
          <w:szCs w:val="22"/>
          <w:lang w:eastAsia="ar-SA"/>
        </w:rPr>
      </w:pPr>
      <w:r>
        <w:rPr>
          <w:rFonts w:eastAsia="Calibri"/>
          <w:szCs w:val="22"/>
          <w:lang w:eastAsia="ar-SA"/>
        </w:rPr>
        <w:t>i</w:t>
      </w:r>
      <w:r w:rsidR="00CB7581" w:rsidRPr="00221F17">
        <w:rPr>
          <w:rFonts w:eastAsia="Calibri"/>
          <w:szCs w:val="22"/>
          <w:lang w:eastAsia="ar-SA"/>
        </w:rPr>
        <w:t xml:space="preserve">nternetový prohlížeč: Microsoft Internet Explorer verze 7 a vyšší, </w:t>
      </w:r>
      <w:proofErr w:type="spellStart"/>
      <w:r w:rsidR="00CB7581" w:rsidRPr="00221F17">
        <w:rPr>
          <w:rFonts w:eastAsia="Calibri"/>
          <w:szCs w:val="22"/>
          <w:lang w:eastAsia="ar-SA"/>
        </w:rPr>
        <w:t>FireFox</w:t>
      </w:r>
      <w:proofErr w:type="spellEnd"/>
      <w:r w:rsidR="00CB7581" w:rsidRPr="00221F17">
        <w:rPr>
          <w:rFonts w:eastAsia="Calibri"/>
          <w:szCs w:val="22"/>
          <w:lang w:eastAsia="ar-SA"/>
        </w:rPr>
        <w:t xml:space="preserve"> verze 4 a vyšší</w:t>
      </w:r>
      <w:r>
        <w:rPr>
          <w:rFonts w:eastAsia="Calibri"/>
          <w:szCs w:val="22"/>
          <w:lang w:eastAsia="ar-SA"/>
        </w:rPr>
        <w:t>,</w:t>
      </w:r>
    </w:p>
    <w:p w:rsidR="00CB7581" w:rsidRPr="00221F17" w:rsidRDefault="00CB7581" w:rsidP="00A4749D">
      <w:pPr>
        <w:numPr>
          <w:ilvl w:val="0"/>
          <w:numId w:val="18"/>
        </w:numPr>
        <w:spacing w:before="120" w:after="120"/>
        <w:ind w:left="993" w:hanging="284"/>
        <w:jc w:val="both"/>
        <w:rPr>
          <w:rFonts w:eastAsia="Calibri"/>
          <w:szCs w:val="22"/>
          <w:lang w:eastAsia="ar-SA"/>
        </w:rPr>
      </w:pPr>
      <w:r w:rsidRPr="00221F17">
        <w:rPr>
          <w:rFonts w:eastAsia="Calibri"/>
          <w:szCs w:val="22"/>
          <w:lang w:eastAsia="ar-SA"/>
        </w:rPr>
        <w:t>HW splňuje požadavky na provoz daného operačního systému.</w:t>
      </w:r>
    </w:p>
    <w:p w:rsidR="00CB7581" w:rsidRPr="00221F17" w:rsidRDefault="000F7926" w:rsidP="00A4749D">
      <w:pPr>
        <w:numPr>
          <w:ilvl w:val="0"/>
          <w:numId w:val="31"/>
        </w:numPr>
        <w:spacing w:before="120" w:after="120"/>
        <w:jc w:val="both"/>
        <w:rPr>
          <w:rFonts w:eastAsia="Calibri"/>
          <w:szCs w:val="22"/>
          <w:lang w:eastAsia="ar-SA"/>
        </w:rPr>
      </w:pPr>
      <w:r>
        <w:rPr>
          <w:rFonts w:eastAsia="Calibri"/>
          <w:szCs w:val="22"/>
          <w:lang w:eastAsia="ar-SA"/>
        </w:rPr>
        <w:t>Dodavatel</w:t>
      </w:r>
      <w:r w:rsidR="00CB7581" w:rsidRPr="00221F17">
        <w:rPr>
          <w:rFonts w:eastAsia="Calibri"/>
          <w:szCs w:val="22"/>
          <w:lang w:eastAsia="ar-SA"/>
        </w:rPr>
        <w:t xml:space="preserve"> bude specifikovat dodatečné nároky na klientské stanice uživatelů, jak na centrálním pracovišti, tak na vzdálených pobočkách.</w:t>
      </w:r>
    </w:p>
    <w:p w:rsidR="00CB7581" w:rsidRPr="00221F17" w:rsidRDefault="00CB7581" w:rsidP="00CB7581">
      <w:pPr>
        <w:ind w:left="720"/>
        <w:jc w:val="both"/>
        <w:rPr>
          <w:rFonts w:eastAsia="Calibri"/>
          <w:szCs w:val="22"/>
          <w:lang w:eastAsia="en-US"/>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Integrace na stávající SW</w:t>
      </w:r>
    </w:p>
    <w:p w:rsidR="00CB7581" w:rsidRPr="00221F17" w:rsidRDefault="00CB7581" w:rsidP="00A4749D">
      <w:pPr>
        <w:numPr>
          <w:ilvl w:val="0"/>
          <w:numId w:val="32"/>
        </w:numPr>
        <w:spacing w:before="120" w:after="120"/>
        <w:jc w:val="both"/>
        <w:rPr>
          <w:rFonts w:eastAsia="Calibri"/>
          <w:szCs w:val="22"/>
          <w:lang w:eastAsia="ar-SA"/>
        </w:rPr>
      </w:pPr>
      <w:r w:rsidRPr="00221F17">
        <w:rPr>
          <w:rFonts w:eastAsia="Calibri"/>
          <w:szCs w:val="22"/>
          <w:lang w:eastAsia="ar-SA"/>
        </w:rPr>
        <w:lastRenderedPageBreak/>
        <w:t xml:space="preserve">ICIS musí podporovat komunikaci se stávajícími aplikacemi </w:t>
      </w:r>
      <w:r w:rsidR="002B1330">
        <w:rPr>
          <w:rFonts w:eastAsia="Calibri"/>
          <w:szCs w:val="22"/>
          <w:lang w:eastAsia="ar-SA"/>
        </w:rPr>
        <w:t>zadavatele</w:t>
      </w:r>
      <w:r w:rsidRPr="00221F17">
        <w:rPr>
          <w:rFonts w:eastAsia="Calibri"/>
          <w:szCs w:val="22"/>
          <w:lang w:eastAsia="ar-SA"/>
        </w:rPr>
        <w:t>, které nebudou systémem ICIS nahrazeny. ICIS primárně obousměrně a přímo, bez využití vnějšího interface, komunikuje s okolními systémy, které se nachází ve vnitřním zabezpečeném prostředí OZP.</w:t>
      </w:r>
    </w:p>
    <w:p w:rsidR="00CB7581" w:rsidRDefault="00CB7581" w:rsidP="00A4749D">
      <w:pPr>
        <w:numPr>
          <w:ilvl w:val="0"/>
          <w:numId w:val="32"/>
        </w:numPr>
        <w:spacing w:before="120" w:after="120"/>
        <w:jc w:val="both"/>
        <w:rPr>
          <w:rFonts w:eastAsia="Calibri"/>
          <w:szCs w:val="22"/>
          <w:lang w:eastAsia="ar-SA"/>
        </w:rPr>
      </w:pPr>
      <w:r w:rsidRPr="00221F17">
        <w:rPr>
          <w:rFonts w:eastAsia="Calibri"/>
          <w:szCs w:val="22"/>
          <w:lang w:eastAsia="ar-SA"/>
        </w:rPr>
        <w:t xml:space="preserve">ICIS musí podporovat plnou integraci na produkty provozované u </w:t>
      </w:r>
      <w:r w:rsidR="002B1330">
        <w:rPr>
          <w:rFonts w:eastAsia="Calibri"/>
          <w:szCs w:val="22"/>
          <w:lang w:eastAsia="ar-SA"/>
        </w:rPr>
        <w:t>zadavatele</w:t>
      </w:r>
      <w:r w:rsidRPr="00221F17">
        <w:rPr>
          <w:rFonts w:eastAsia="Calibri"/>
          <w:szCs w:val="22"/>
          <w:lang w:eastAsia="ar-SA"/>
        </w:rPr>
        <w:t>:</w:t>
      </w:r>
    </w:p>
    <w:p w:rsidR="00CB7581" w:rsidRPr="00221F17" w:rsidRDefault="00CB7581" w:rsidP="00CB7581">
      <w:pPr>
        <w:ind w:left="720"/>
        <w:jc w:val="both"/>
        <w:rPr>
          <w:rFonts w:eastAsia="Calibri"/>
          <w:szCs w:val="22"/>
          <w:lang w:eastAsia="en-US"/>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482"/>
        <w:gridCol w:w="6595"/>
      </w:tblGrid>
      <w:tr w:rsidR="00682124" w:rsidRPr="00221F17" w:rsidTr="00CB7581">
        <w:trPr>
          <w:tblHeader/>
        </w:trPr>
        <w:tc>
          <w:tcPr>
            <w:tcW w:w="2482" w:type="dxa"/>
            <w:shd w:val="clear" w:color="auto" w:fill="A50021"/>
            <w:vAlign w:val="center"/>
            <w:hideMark/>
          </w:tcPr>
          <w:p w:rsidR="00CB7581" w:rsidRPr="00CB7581" w:rsidRDefault="00CB7581" w:rsidP="00CB7581">
            <w:pPr>
              <w:rPr>
                <w:b/>
                <w:sz w:val="16"/>
                <w:szCs w:val="16"/>
                <w:lang w:eastAsia="en-US"/>
              </w:rPr>
            </w:pPr>
            <w:r w:rsidRPr="00CB7581">
              <w:rPr>
                <w:b/>
                <w:sz w:val="16"/>
                <w:szCs w:val="16"/>
                <w:lang w:eastAsia="en-US"/>
              </w:rPr>
              <w:t>Interní IS</w:t>
            </w:r>
          </w:p>
        </w:tc>
        <w:tc>
          <w:tcPr>
            <w:tcW w:w="6595" w:type="dxa"/>
            <w:shd w:val="clear" w:color="auto" w:fill="A50021"/>
            <w:vAlign w:val="center"/>
          </w:tcPr>
          <w:p w:rsidR="00CB7581" w:rsidRPr="00CB7581" w:rsidRDefault="00CB7581" w:rsidP="00CB7581">
            <w:pPr>
              <w:rPr>
                <w:b/>
                <w:sz w:val="16"/>
                <w:szCs w:val="16"/>
                <w:lang w:eastAsia="en-US"/>
              </w:rPr>
            </w:pPr>
            <w:r w:rsidRPr="00CB7581">
              <w:rPr>
                <w:b/>
                <w:sz w:val="16"/>
                <w:szCs w:val="16"/>
                <w:lang w:eastAsia="en-US"/>
              </w:rPr>
              <w:t>Popis</w:t>
            </w:r>
          </w:p>
        </w:tc>
      </w:tr>
      <w:tr w:rsidR="00682124" w:rsidRPr="00221F17" w:rsidTr="00CB7581">
        <w:tc>
          <w:tcPr>
            <w:tcW w:w="2482"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 xml:space="preserve">DMS SAFE </w:t>
            </w:r>
          </w:p>
        </w:tc>
        <w:tc>
          <w:tcPr>
            <w:tcW w:w="6595"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Systém spisové služby a důvěryhodného dlouhodobého úložiště dokumentů. Správa dokumentů (generované dokumenty z ICIS pro účely vypravení, příchozí elektronické dokumenty související s agendami ICIS).</w:t>
            </w:r>
          </w:p>
        </w:tc>
      </w:tr>
      <w:tr w:rsidR="00682124" w:rsidRPr="00221F17" w:rsidTr="00CB7581">
        <w:tc>
          <w:tcPr>
            <w:tcW w:w="2482" w:type="dxa"/>
            <w:shd w:val="clear" w:color="auto" w:fill="F2DBDB"/>
            <w:vAlign w:val="center"/>
            <w:hideMark/>
          </w:tcPr>
          <w:p w:rsidR="00CB7581" w:rsidRPr="00CB7581" w:rsidRDefault="00CB7581" w:rsidP="00CB7581">
            <w:pPr>
              <w:rPr>
                <w:sz w:val="16"/>
                <w:szCs w:val="16"/>
                <w:lang w:eastAsia="en-US"/>
              </w:rPr>
            </w:pPr>
            <w:r w:rsidRPr="00CB7581">
              <w:rPr>
                <w:sz w:val="16"/>
                <w:szCs w:val="16"/>
                <w:lang w:eastAsia="en-US"/>
              </w:rPr>
              <w:t>MS Office SharePoint Server</w:t>
            </w:r>
          </w:p>
        </w:tc>
        <w:tc>
          <w:tcPr>
            <w:tcW w:w="6595" w:type="dxa"/>
            <w:shd w:val="clear" w:color="auto" w:fill="F2DBDB"/>
            <w:vAlign w:val="center"/>
            <w:hideMark/>
          </w:tcPr>
          <w:p w:rsidR="00CB7581" w:rsidRPr="00CB7581" w:rsidRDefault="00CB7581" w:rsidP="00CB7581">
            <w:pPr>
              <w:rPr>
                <w:sz w:val="16"/>
                <w:szCs w:val="16"/>
                <w:lang w:eastAsia="en-US"/>
              </w:rPr>
            </w:pPr>
            <w:r w:rsidRPr="00CB7581">
              <w:rPr>
                <w:sz w:val="16"/>
                <w:szCs w:val="16"/>
                <w:lang w:eastAsia="en-US"/>
              </w:rPr>
              <w:t>Úložiště interních dokumentů (pracovní verze dokumentů před jejich uložením do spisové služby, kopie oficiálních dokumentů uložených ve spisové službě, dokumentace nepodléhající evidenci ve spisové službě v souladu se spisovým a skartačním plánem, …).</w:t>
            </w:r>
          </w:p>
        </w:tc>
      </w:tr>
      <w:tr w:rsidR="00682124" w:rsidRPr="00221F17" w:rsidTr="00CB7581">
        <w:tc>
          <w:tcPr>
            <w:tcW w:w="2482"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MS Exchange</w:t>
            </w:r>
          </w:p>
        </w:tc>
        <w:tc>
          <w:tcPr>
            <w:tcW w:w="6595"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 xml:space="preserve">Brána pro tvorbu </w:t>
            </w:r>
            <w:proofErr w:type="spellStart"/>
            <w:r w:rsidRPr="00CB7581">
              <w:rPr>
                <w:sz w:val="16"/>
                <w:szCs w:val="16"/>
                <w:lang w:eastAsia="en-US"/>
              </w:rPr>
              <w:t>alertů</w:t>
            </w:r>
            <w:proofErr w:type="spellEnd"/>
            <w:r w:rsidRPr="00CB7581">
              <w:rPr>
                <w:sz w:val="16"/>
                <w:szCs w:val="16"/>
                <w:lang w:eastAsia="en-US"/>
              </w:rPr>
              <w:t xml:space="preserve">, správu událostí v kalendáři a podpory hromadné emailové komunikace. </w:t>
            </w:r>
          </w:p>
        </w:tc>
      </w:tr>
      <w:tr w:rsidR="00682124" w:rsidRPr="00221F17" w:rsidTr="00CB7581">
        <w:tc>
          <w:tcPr>
            <w:tcW w:w="2482" w:type="dxa"/>
            <w:shd w:val="clear" w:color="auto" w:fill="F2DBDB"/>
            <w:vAlign w:val="center"/>
            <w:hideMark/>
          </w:tcPr>
          <w:p w:rsidR="00CB7581" w:rsidRPr="00CB7581" w:rsidRDefault="00CB7581" w:rsidP="00CB7581">
            <w:pPr>
              <w:rPr>
                <w:sz w:val="16"/>
                <w:szCs w:val="16"/>
                <w:lang w:eastAsia="en-US"/>
              </w:rPr>
            </w:pPr>
            <w:proofErr w:type="spellStart"/>
            <w:r w:rsidRPr="00CB7581">
              <w:rPr>
                <w:sz w:val="16"/>
                <w:szCs w:val="16"/>
                <w:lang w:eastAsia="en-US"/>
              </w:rPr>
              <w:t>Security</w:t>
            </w:r>
            <w:proofErr w:type="spellEnd"/>
          </w:p>
        </w:tc>
        <w:tc>
          <w:tcPr>
            <w:tcW w:w="6595" w:type="dxa"/>
            <w:shd w:val="clear" w:color="auto" w:fill="F2DBDB"/>
            <w:vAlign w:val="center"/>
            <w:hideMark/>
          </w:tcPr>
          <w:p w:rsidR="00CB7581" w:rsidRPr="00CB7581" w:rsidRDefault="00CB7581" w:rsidP="00CB7581">
            <w:pPr>
              <w:rPr>
                <w:sz w:val="16"/>
                <w:szCs w:val="16"/>
                <w:lang w:eastAsia="en-US"/>
              </w:rPr>
            </w:pPr>
            <w:r w:rsidRPr="00CB7581">
              <w:rPr>
                <w:sz w:val="16"/>
                <w:szCs w:val="16"/>
                <w:lang w:eastAsia="en-US"/>
              </w:rPr>
              <w:t xml:space="preserve">Spojení MS </w:t>
            </w:r>
            <w:proofErr w:type="spellStart"/>
            <w:r w:rsidRPr="00CB7581">
              <w:rPr>
                <w:sz w:val="16"/>
                <w:szCs w:val="16"/>
                <w:lang w:eastAsia="en-US"/>
              </w:rPr>
              <w:t>Active</w:t>
            </w:r>
            <w:proofErr w:type="spellEnd"/>
            <w:r w:rsidRPr="00CB7581">
              <w:rPr>
                <w:sz w:val="16"/>
                <w:szCs w:val="16"/>
                <w:lang w:eastAsia="en-US"/>
              </w:rPr>
              <w:t xml:space="preserve"> </w:t>
            </w:r>
            <w:proofErr w:type="spellStart"/>
            <w:r w:rsidRPr="00CB7581">
              <w:rPr>
                <w:sz w:val="16"/>
                <w:szCs w:val="16"/>
                <w:lang w:eastAsia="en-US"/>
              </w:rPr>
              <w:t>Directory</w:t>
            </w:r>
            <w:proofErr w:type="spellEnd"/>
            <w:r w:rsidRPr="00CB7581">
              <w:rPr>
                <w:sz w:val="16"/>
                <w:szCs w:val="16"/>
                <w:lang w:eastAsia="en-US"/>
              </w:rPr>
              <w:t xml:space="preserve"> a Single Sign On (SSO) slouží pro centrální správu uživatelů a jejich oprávnění k přístupu do ICIS.</w:t>
            </w:r>
          </w:p>
        </w:tc>
      </w:tr>
      <w:tr w:rsidR="00682124" w:rsidRPr="00221F17" w:rsidTr="00CB7581">
        <w:tc>
          <w:tcPr>
            <w:tcW w:w="2482"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Tel. Ústředna (TIC)</w:t>
            </w:r>
          </w:p>
        </w:tc>
        <w:tc>
          <w:tcPr>
            <w:tcW w:w="6595"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Systém pro podporu evidování tel. komunikace v rámci ICIS.</w:t>
            </w:r>
          </w:p>
        </w:tc>
      </w:tr>
      <w:tr w:rsidR="00682124" w:rsidRPr="00221F17" w:rsidTr="00CB7581">
        <w:tc>
          <w:tcPr>
            <w:tcW w:w="2482" w:type="dxa"/>
            <w:shd w:val="clear" w:color="auto" w:fill="F2DBDB"/>
            <w:vAlign w:val="center"/>
            <w:hideMark/>
          </w:tcPr>
          <w:p w:rsidR="00CB7581" w:rsidRPr="00CB7581" w:rsidRDefault="00CB7581" w:rsidP="00CB7581">
            <w:pPr>
              <w:rPr>
                <w:sz w:val="16"/>
                <w:szCs w:val="16"/>
                <w:lang w:eastAsia="en-US"/>
              </w:rPr>
            </w:pPr>
            <w:proofErr w:type="spellStart"/>
            <w:r w:rsidRPr="00CB7581">
              <w:rPr>
                <w:sz w:val="16"/>
                <w:szCs w:val="16"/>
                <w:lang w:eastAsia="en-US"/>
              </w:rPr>
              <w:t>Reportovací</w:t>
            </w:r>
            <w:proofErr w:type="spellEnd"/>
            <w:r w:rsidRPr="00CB7581">
              <w:rPr>
                <w:sz w:val="16"/>
                <w:szCs w:val="16"/>
                <w:lang w:eastAsia="en-US"/>
              </w:rPr>
              <w:t xml:space="preserve"> prostředí</w:t>
            </w:r>
          </w:p>
        </w:tc>
        <w:tc>
          <w:tcPr>
            <w:tcW w:w="6595" w:type="dxa"/>
            <w:shd w:val="clear" w:color="auto" w:fill="F2DBDB"/>
            <w:vAlign w:val="center"/>
            <w:hideMark/>
          </w:tcPr>
          <w:p w:rsidR="00CB7581" w:rsidRPr="00CB7581" w:rsidRDefault="00CB7581" w:rsidP="00CB7581">
            <w:pPr>
              <w:rPr>
                <w:sz w:val="16"/>
                <w:szCs w:val="16"/>
                <w:lang w:eastAsia="en-US"/>
              </w:rPr>
            </w:pPr>
            <w:proofErr w:type="spellStart"/>
            <w:r w:rsidRPr="00CB7581">
              <w:rPr>
                <w:sz w:val="16"/>
                <w:szCs w:val="16"/>
                <w:lang w:eastAsia="en-US"/>
              </w:rPr>
              <w:t>Reportovací</w:t>
            </w:r>
            <w:proofErr w:type="spellEnd"/>
            <w:r w:rsidRPr="00CB7581">
              <w:rPr>
                <w:sz w:val="16"/>
                <w:szCs w:val="16"/>
                <w:lang w:eastAsia="en-US"/>
              </w:rPr>
              <w:t xml:space="preserve"> prostředí v rámci OZP postavené na MS-SQL a Reporting </w:t>
            </w:r>
            <w:proofErr w:type="spellStart"/>
            <w:r w:rsidRPr="00CB7581">
              <w:rPr>
                <w:sz w:val="16"/>
                <w:szCs w:val="16"/>
                <w:lang w:eastAsia="en-US"/>
              </w:rPr>
              <w:t>Services</w:t>
            </w:r>
            <w:proofErr w:type="spellEnd"/>
            <w:r w:rsidRPr="00CB7581">
              <w:rPr>
                <w:sz w:val="16"/>
                <w:szCs w:val="16"/>
                <w:lang w:eastAsia="en-US"/>
              </w:rPr>
              <w:t xml:space="preserve">. Po implementaci ICIS by toto prostředí mělo být napojeno na budoucí jádro tzv. „business </w:t>
            </w:r>
            <w:r w:rsidRPr="00CB7581">
              <w:rPr>
                <w:sz w:val="16"/>
                <w:szCs w:val="16"/>
                <w:lang w:eastAsia="en-US"/>
              </w:rPr>
              <w:pgNum/>
            </w:r>
            <w:proofErr w:type="spellStart"/>
            <w:r w:rsidRPr="00CB7581">
              <w:rPr>
                <w:sz w:val="16"/>
                <w:szCs w:val="16"/>
                <w:lang w:eastAsia="en-US"/>
              </w:rPr>
              <w:t>nteligence</w:t>
            </w:r>
            <w:proofErr w:type="spellEnd"/>
            <w:r w:rsidRPr="00CB7581">
              <w:rPr>
                <w:sz w:val="16"/>
                <w:szCs w:val="16"/>
                <w:lang w:eastAsia="en-US"/>
              </w:rPr>
              <w:t>“ části informačního systému (tedy datový sklad) sloužící jako datová základna pro analýzy, reporting, predikci vývoje.</w:t>
            </w:r>
          </w:p>
        </w:tc>
      </w:tr>
      <w:tr w:rsidR="00682124" w:rsidRPr="00221F17" w:rsidTr="00CB7581">
        <w:tc>
          <w:tcPr>
            <w:tcW w:w="2482" w:type="dxa"/>
            <w:shd w:val="clear" w:color="auto" w:fill="FFFFFF"/>
            <w:vAlign w:val="center"/>
            <w:hideMark/>
          </w:tcPr>
          <w:p w:rsidR="00CB7581" w:rsidRPr="00CB7581" w:rsidRDefault="00CB7581" w:rsidP="00136ED9">
            <w:pPr>
              <w:rPr>
                <w:sz w:val="16"/>
                <w:szCs w:val="16"/>
                <w:lang w:eastAsia="en-US"/>
              </w:rPr>
            </w:pPr>
            <w:r w:rsidRPr="00CB7581">
              <w:rPr>
                <w:sz w:val="16"/>
                <w:szCs w:val="16"/>
                <w:lang w:eastAsia="en-US"/>
              </w:rPr>
              <w:t xml:space="preserve">Komunikační infrastruktura </w:t>
            </w:r>
            <w:r w:rsidRPr="00CB7581">
              <w:rPr>
                <w:sz w:val="16"/>
                <w:szCs w:val="16"/>
                <w:lang w:eastAsia="en-US"/>
              </w:rPr>
              <w:br/>
            </w:r>
          </w:p>
        </w:tc>
        <w:tc>
          <w:tcPr>
            <w:tcW w:w="6595"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Komunikační rozhraní, přes které je vedena veškerá komunikace s externími systémy, založena na on-line webových službách.</w:t>
            </w:r>
          </w:p>
        </w:tc>
      </w:tr>
      <w:tr w:rsidR="00682124" w:rsidRPr="00221F17" w:rsidTr="00CB7581">
        <w:tc>
          <w:tcPr>
            <w:tcW w:w="2482" w:type="dxa"/>
            <w:shd w:val="clear" w:color="auto" w:fill="F2DBDB"/>
            <w:vAlign w:val="center"/>
            <w:hideMark/>
          </w:tcPr>
          <w:p w:rsidR="00CB7581" w:rsidRPr="00CB7581" w:rsidRDefault="00CB7581" w:rsidP="00CB7581">
            <w:pPr>
              <w:rPr>
                <w:sz w:val="16"/>
                <w:szCs w:val="16"/>
                <w:lang w:eastAsia="en-US"/>
              </w:rPr>
            </w:pPr>
            <w:r w:rsidRPr="00CB7581">
              <w:rPr>
                <w:sz w:val="16"/>
                <w:szCs w:val="16"/>
                <w:lang w:eastAsia="en-US"/>
              </w:rPr>
              <w:t>MS CRM</w:t>
            </w:r>
          </w:p>
        </w:tc>
        <w:tc>
          <w:tcPr>
            <w:tcW w:w="6595" w:type="dxa"/>
            <w:shd w:val="clear" w:color="auto" w:fill="F2DBDB"/>
            <w:vAlign w:val="center"/>
            <w:hideMark/>
          </w:tcPr>
          <w:p w:rsidR="00CB7581" w:rsidRPr="00CB7581" w:rsidRDefault="00CB7581" w:rsidP="00CB7581">
            <w:pPr>
              <w:rPr>
                <w:sz w:val="16"/>
                <w:szCs w:val="16"/>
                <w:lang w:eastAsia="en-US"/>
              </w:rPr>
            </w:pPr>
            <w:r w:rsidRPr="00CB7581">
              <w:rPr>
                <w:sz w:val="16"/>
                <w:szCs w:val="16"/>
                <w:lang w:eastAsia="en-US"/>
              </w:rPr>
              <w:t>Podpora pro vedení agendy a komunikaci s klienty v rámci asistenční služby OZP.</w:t>
            </w:r>
          </w:p>
        </w:tc>
      </w:tr>
      <w:tr w:rsidR="00682124" w:rsidRPr="00221F17" w:rsidTr="00CB7581">
        <w:tc>
          <w:tcPr>
            <w:tcW w:w="2482"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 xml:space="preserve">DRG </w:t>
            </w:r>
            <w:proofErr w:type="spellStart"/>
            <w:r w:rsidRPr="00CB7581">
              <w:rPr>
                <w:sz w:val="16"/>
                <w:szCs w:val="16"/>
                <w:lang w:eastAsia="en-US"/>
              </w:rPr>
              <w:t>Wiever</w:t>
            </w:r>
            <w:proofErr w:type="spellEnd"/>
          </w:p>
        </w:tc>
        <w:tc>
          <w:tcPr>
            <w:tcW w:w="6595" w:type="dxa"/>
            <w:shd w:val="clear" w:color="auto" w:fill="FFFFFF"/>
            <w:vAlign w:val="center"/>
            <w:hideMark/>
          </w:tcPr>
          <w:p w:rsidR="00CB7581" w:rsidRPr="00CB7581" w:rsidRDefault="00CB7581" w:rsidP="00CB7581">
            <w:pPr>
              <w:rPr>
                <w:sz w:val="16"/>
                <w:szCs w:val="16"/>
                <w:lang w:eastAsia="en-US"/>
              </w:rPr>
            </w:pPr>
            <w:r w:rsidRPr="00027A17">
              <w:rPr>
                <w:sz w:val="16"/>
                <w:szCs w:val="16"/>
                <w:lang w:eastAsia="en-US"/>
              </w:rPr>
              <w:t>Podpora pro vyhodnocení úhrad zdravotních služeb dle DRG.</w:t>
            </w:r>
          </w:p>
        </w:tc>
      </w:tr>
    </w:tbl>
    <w:p w:rsidR="00CB7581" w:rsidRDefault="00CB7581" w:rsidP="00CB7581">
      <w:pPr>
        <w:ind w:left="720"/>
        <w:jc w:val="both"/>
        <w:rPr>
          <w:rFonts w:eastAsia="Calibri"/>
          <w:szCs w:val="22"/>
          <w:lang w:eastAsia="en-US"/>
        </w:rPr>
      </w:pPr>
    </w:p>
    <w:p w:rsidR="00027A17" w:rsidRDefault="00027A17" w:rsidP="00CB7581">
      <w:pPr>
        <w:ind w:left="720"/>
        <w:jc w:val="both"/>
        <w:rPr>
          <w:rFonts w:eastAsia="Calibri"/>
          <w:szCs w:val="22"/>
          <w:lang w:eastAsia="en-US"/>
        </w:rPr>
      </w:pPr>
    </w:p>
    <w:p w:rsidR="00027A17" w:rsidRPr="00221F17" w:rsidRDefault="00027A17" w:rsidP="00CB7581">
      <w:pPr>
        <w:ind w:left="720"/>
        <w:jc w:val="both"/>
        <w:rPr>
          <w:rFonts w:eastAsia="Calibri"/>
          <w:szCs w:val="22"/>
          <w:lang w:eastAsia="en-US"/>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Externí portály se sdílenou identitou</w:t>
      </w:r>
    </w:p>
    <w:p w:rsidR="00CB7581" w:rsidRPr="00221F17" w:rsidRDefault="00CB7581" w:rsidP="00A4749D">
      <w:pPr>
        <w:numPr>
          <w:ilvl w:val="0"/>
          <w:numId w:val="33"/>
        </w:numPr>
        <w:spacing w:before="120" w:after="120"/>
        <w:jc w:val="both"/>
        <w:rPr>
          <w:rFonts w:eastAsia="Calibri"/>
          <w:szCs w:val="22"/>
          <w:lang w:eastAsia="ar-SA"/>
        </w:rPr>
      </w:pPr>
      <w:r w:rsidRPr="00221F17">
        <w:rPr>
          <w:rFonts w:eastAsia="Calibri"/>
          <w:szCs w:val="22"/>
          <w:lang w:eastAsia="ar-SA"/>
        </w:rPr>
        <w:t>ICIS aktivně, pomocí striktně definovaného interface</w:t>
      </w:r>
      <w:r w:rsidR="00C67C07">
        <w:rPr>
          <w:rStyle w:val="Znakapoznpodarou"/>
          <w:rFonts w:eastAsia="Calibri"/>
          <w:szCs w:val="22"/>
          <w:lang w:eastAsia="ar-SA"/>
        </w:rPr>
        <w:footnoteReference w:id="2"/>
      </w:r>
      <w:r w:rsidRPr="00221F17">
        <w:rPr>
          <w:rFonts w:eastAsia="Calibri"/>
          <w:szCs w:val="22"/>
          <w:lang w:eastAsia="ar-SA"/>
        </w:rPr>
        <w:t>, zahajuje komunikaci s portály, kdy na základě požadavků a odpovědí probíhá aktivní on-line komunikace.</w:t>
      </w:r>
    </w:p>
    <w:p w:rsidR="00CB7581" w:rsidRDefault="00CB7581" w:rsidP="00A4749D">
      <w:pPr>
        <w:numPr>
          <w:ilvl w:val="0"/>
          <w:numId w:val="33"/>
        </w:numPr>
        <w:spacing w:before="120" w:after="120"/>
        <w:jc w:val="both"/>
        <w:rPr>
          <w:rFonts w:eastAsia="Calibri"/>
          <w:szCs w:val="22"/>
          <w:lang w:eastAsia="ar-SA"/>
        </w:rPr>
      </w:pPr>
      <w:r w:rsidRPr="00221F17">
        <w:rPr>
          <w:rFonts w:eastAsia="Calibri"/>
          <w:szCs w:val="22"/>
          <w:lang w:eastAsia="ar-SA"/>
        </w:rPr>
        <w:t>ICIS musí podporovat komunikaci s externími portály:</w:t>
      </w:r>
    </w:p>
    <w:p w:rsidR="00CB7581" w:rsidRPr="00221F17" w:rsidRDefault="00CB7581" w:rsidP="00CB7581">
      <w:pPr>
        <w:ind w:left="720"/>
        <w:jc w:val="both"/>
        <w:rPr>
          <w:rFonts w:eastAsia="Calibri"/>
          <w:szCs w:val="22"/>
          <w:lang w:eastAsia="en-US"/>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415"/>
        <w:gridCol w:w="6662"/>
      </w:tblGrid>
      <w:tr w:rsidR="00682124" w:rsidRPr="00221F17" w:rsidTr="00CB7581">
        <w:trPr>
          <w:cantSplit/>
          <w:tblHeader/>
        </w:trPr>
        <w:tc>
          <w:tcPr>
            <w:tcW w:w="2415" w:type="dxa"/>
            <w:shd w:val="clear" w:color="auto" w:fill="A50021"/>
            <w:vAlign w:val="center"/>
            <w:hideMark/>
          </w:tcPr>
          <w:p w:rsidR="00CB7581" w:rsidRPr="00CB7581" w:rsidRDefault="00CB7581" w:rsidP="00CB7581">
            <w:pPr>
              <w:rPr>
                <w:rFonts w:ascii="Trebuchet MS" w:hAnsi="Trebuchet MS"/>
                <w:b/>
                <w:sz w:val="16"/>
                <w:szCs w:val="16"/>
                <w:lang w:eastAsia="en-US"/>
              </w:rPr>
            </w:pPr>
            <w:r w:rsidRPr="00CB7581">
              <w:rPr>
                <w:b/>
                <w:sz w:val="16"/>
                <w:szCs w:val="16"/>
                <w:lang w:eastAsia="en-US"/>
              </w:rPr>
              <w:t>Portály</w:t>
            </w:r>
          </w:p>
        </w:tc>
        <w:tc>
          <w:tcPr>
            <w:tcW w:w="6662" w:type="dxa"/>
            <w:shd w:val="clear" w:color="auto" w:fill="A50021"/>
            <w:vAlign w:val="center"/>
          </w:tcPr>
          <w:p w:rsidR="00CB7581" w:rsidRPr="00CB7581" w:rsidRDefault="00CB7581" w:rsidP="00CB7581">
            <w:pPr>
              <w:rPr>
                <w:b/>
                <w:sz w:val="16"/>
                <w:szCs w:val="16"/>
                <w:lang w:eastAsia="en-US"/>
              </w:rPr>
            </w:pPr>
          </w:p>
        </w:tc>
      </w:tr>
      <w:tr w:rsidR="00682124" w:rsidRPr="00221F17" w:rsidTr="00CB7581">
        <w:tc>
          <w:tcPr>
            <w:tcW w:w="2415"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Portál OZP ONLINE</w:t>
            </w:r>
          </w:p>
        </w:tc>
        <w:tc>
          <w:tcPr>
            <w:tcW w:w="6662" w:type="dxa"/>
            <w:shd w:val="clear" w:color="auto" w:fill="FFFFFF"/>
            <w:vAlign w:val="center"/>
            <w:hideMark/>
          </w:tcPr>
          <w:p w:rsidR="00CB7581" w:rsidRPr="00CB7581" w:rsidRDefault="00CB7581" w:rsidP="00CB7581">
            <w:pPr>
              <w:rPr>
                <w:rFonts w:ascii="Trebuchet MS" w:hAnsi="Trebuchet MS"/>
                <w:sz w:val="16"/>
                <w:szCs w:val="16"/>
                <w:lang w:eastAsia="en-US"/>
              </w:rPr>
            </w:pPr>
            <w:r w:rsidRPr="00CB7581">
              <w:rPr>
                <w:sz w:val="16"/>
                <w:szCs w:val="16"/>
                <w:lang w:eastAsia="en-US"/>
              </w:rPr>
              <w:t xml:space="preserve">Primární komunikační kanál s pojištěnci, který může být dále rozšiřován pro komunikaci se zdravotnickými zařízeními, plátci či lékaři. Primárně se přenáší data o pojištěncích, jejich vykázané péči (Individuální účet) a další informace týkající se zdravotního stavu pojištěnců (projekt </w:t>
            </w:r>
            <w:proofErr w:type="spellStart"/>
            <w:r w:rsidRPr="00CB7581">
              <w:rPr>
                <w:sz w:val="16"/>
                <w:szCs w:val="16"/>
                <w:lang w:eastAsia="en-US"/>
              </w:rPr>
              <w:t>Vitakarta</w:t>
            </w:r>
            <w:proofErr w:type="spellEnd"/>
            <w:r w:rsidRPr="00CB7581">
              <w:rPr>
                <w:sz w:val="16"/>
                <w:szCs w:val="16"/>
                <w:lang w:eastAsia="en-US"/>
              </w:rPr>
              <w:t xml:space="preserve">). Mezi jeho hlavní služby patří například: Osobní účet pojištěnce, Osobní deník pojištěnce, Individuální zdravotní plán pojištěnce, KHN lékaře, e-Formuláře jako Přehled OSVČ, Přihláška k asistenční službě apod.  </w:t>
            </w:r>
          </w:p>
        </w:tc>
      </w:tr>
      <w:tr w:rsidR="00682124" w:rsidRPr="00221F17" w:rsidTr="00CB7581">
        <w:tc>
          <w:tcPr>
            <w:tcW w:w="2415" w:type="dxa"/>
            <w:shd w:val="clear" w:color="auto" w:fill="F2DBDB"/>
            <w:vAlign w:val="center"/>
            <w:hideMark/>
          </w:tcPr>
          <w:p w:rsidR="00CB7581" w:rsidRPr="00CB7581" w:rsidRDefault="00CB7581" w:rsidP="00CB7581">
            <w:pPr>
              <w:rPr>
                <w:rFonts w:ascii="Trebuchet MS" w:hAnsi="Trebuchet MS"/>
                <w:sz w:val="16"/>
                <w:szCs w:val="16"/>
                <w:lang w:eastAsia="en-US"/>
              </w:rPr>
            </w:pPr>
            <w:r w:rsidRPr="00CB7581">
              <w:rPr>
                <w:sz w:val="16"/>
                <w:szCs w:val="16"/>
                <w:lang w:eastAsia="en-US"/>
              </w:rPr>
              <w:t>Portál ZP</w:t>
            </w:r>
          </w:p>
        </w:tc>
        <w:tc>
          <w:tcPr>
            <w:tcW w:w="6662" w:type="dxa"/>
            <w:shd w:val="clear" w:color="auto" w:fill="F2DBDB"/>
            <w:vAlign w:val="center"/>
            <w:hideMark/>
          </w:tcPr>
          <w:p w:rsidR="00CB7581" w:rsidRPr="00CB7581" w:rsidRDefault="00CB7581" w:rsidP="00CB7581">
            <w:pPr>
              <w:rPr>
                <w:rFonts w:ascii="Trebuchet MS" w:hAnsi="Trebuchet MS"/>
                <w:sz w:val="16"/>
                <w:szCs w:val="16"/>
                <w:lang w:eastAsia="en-US"/>
              </w:rPr>
            </w:pPr>
            <w:r w:rsidRPr="00CB7581">
              <w:rPr>
                <w:sz w:val="16"/>
                <w:szCs w:val="16"/>
                <w:lang w:eastAsia="en-US"/>
              </w:rPr>
              <w:t xml:space="preserve">Primární komunikační kanál sdružení více ZP pro komunikaci se zdravotnickými zařízeními, plátci, exekutory, policií apod. Mezi hlavní agendy, pro které je využíván, patří: načítání Dávek vykázané péče, HOZ, Hlášení úrazů, Požadavky na součinnost, Žádosti o výpis vykázané zdravotní péče, Výpisy registrovaných pojištěnců k lékaři, ověřování zaměstnavatelů a pojištěnců na portále na základě předávaných seznamů a nově příjem tzv. Příloh2 a další agendy. Vstupní brána pro přístup k produktu </w:t>
            </w:r>
            <w:proofErr w:type="spellStart"/>
            <w:r w:rsidRPr="00CB7581">
              <w:rPr>
                <w:sz w:val="16"/>
                <w:szCs w:val="16"/>
                <w:lang w:eastAsia="en-US"/>
              </w:rPr>
              <w:t>Vitakarta</w:t>
            </w:r>
            <w:proofErr w:type="spellEnd"/>
            <w:r w:rsidRPr="00CB7581">
              <w:rPr>
                <w:sz w:val="16"/>
                <w:szCs w:val="16"/>
                <w:lang w:eastAsia="en-US"/>
              </w:rPr>
              <w:t>+ pro lékaře. Na Portál ZP je napojen Portál OZP ONLINE přes komunikační rozhraní (Kobra).</w:t>
            </w:r>
          </w:p>
        </w:tc>
      </w:tr>
      <w:tr w:rsidR="00682124" w:rsidRPr="00221F17" w:rsidTr="00CB7581">
        <w:tc>
          <w:tcPr>
            <w:tcW w:w="2415"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Portál ČSOB</w:t>
            </w:r>
          </w:p>
        </w:tc>
        <w:tc>
          <w:tcPr>
            <w:tcW w:w="6662" w:type="dxa"/>
            <w:shd w:val="clear" w:color="auto" w:fill="FFFFFF"/>
            <w:vAlign w:val="center"/>
            <w:hideMark/>
          </w:tcPr>
          <w:p w:rsidR="00CB7581" w:rsidRPr="00CB7581" w:rsidRDefault="00CB7581" w:rsidP="00CB7581">
            <w:pPr>
              <w:rPr>
                <w:sz w:val="16"/>
                <w:szCs w:val="16"/>
                <w:lang w:eastAsia="en-US"/>
              </w:rPr>
            </w:pPr>
            <w:r w:rsidRPr="00CB7581">
              <w:rPr>
                <w:sz w:val="16"/>
                <w:szCs w:val="16"/>
                <w:lang w:eastAsia="en-US"/>
              </w:rPr>
              <w:t>Napojení Portálu OZP ONLINE na službu elektronického bankovnictví ČSOB a ERA v oblasti předávání údajů o klientech OZP.</w:t>
            </w:r>
          </w:p>
        </w:tc>
      </w:tr>
      <w:tr w:rsidR="00682124" w:rsidRPr="00221F17" w:rsidTr="00CB7581">
        <w:tc>
          <w:tcPr>
            <w:tcW w:w="2415" w:type="dxa"/>
            <w:shd w:val="clear" w:color="auto" w:fill="F2DBDB"/>
            <w:vAlign w:val="center"/>
            <w:hideMark/>
          </w:tcPr>
          <w:p w:rsidR="00CB7581" w:rsidRPr="00CB7581" w:rsidRDefault="00CB7581" w:rsidP="00CB7581">
            <w:pPr>
              <w:rPr>
                <w:sz w:val="16"/>
                <w:szCs w:val="16"/>
                <w:lang w:eastAsia="en-US"/>
              </w:rPr>
            </w:pPr>
            <w:r w:rsidRPr="00CB7581">
              <w:rPr>
                <w:sz w:val="16"/>
                <w:szCs w:val="16"/>
                <w:lang w:eastAsia="en-US"/>
              </w:rPr>
              <w:t xml:space="preserve">Portál </w:t>
            </w:r>
            <w:proofErr w:type="spellStart"/>
            <w:r w:rsidRPr="00CB7581">
              <w:rPr>
                <w:sz w:val="16"/>
                <w:szCs w:val="16"/>
                <w:lang w:eastAsia="en-US"/>
              </w:rPr>
              <w:t>Vitalitas</w:t>
            </w:r>
            <w:proofErr w:type="spellEnd"/>
          </w:p>
        </w:tc>
        <w:tc>
          <w:tcPr>
            <w:tcW w:w="6662" w:type="dxa"/>
            <w:shd w:val="clear" w:color="auto" w:fill="F2DBDB"/>
            <w:vAlign w:val="center"/>
            <w:hideMark/>
          </w:tcPr>
          <w:p w:rsidR="00CB7581" w:rsidRPr="00CB7581" w:rsidRDefault="00CB7581" w:rsidP="00CB7581">
            <w:pPr>
              <w:rPr>
                <w:sz w:val="16"/>
                <w:szCs w:val="16"/>
                <w:lang w:eastAsia="en-US"/>
              </w:rPr>
            </w:pPr>
            <w:r w:rsidRPr="00CB7581">
              <w:rPr>
                <w:sz w:val="16"/>
                <w:szCs w:val="16"/>
                <w:lang w:eastAsia="en-US"/>
              </w:rPr>
              <w:t xml:space="preserve">Napojení Portálu OZP ONLINE na službu cestovního pojištění společnosti </w:t>
            </w:r>
            <w:proofErr w:type="spellStart"/>
            <w:r w:rsidRPr="00CB7581">
              <w:rPr>
                <w:sz w:val="16"/>
                <w:szCs w:val="16"/>
                <w:lang w:eastAsia="en-US"/>
              </w:rPr>
              <w:t>Vitalitas</w:t>
            </w:r>
            <w:proofErr w:type="spellEnd"/>
            <w:r w:rsidRPr="00CB7581">
              <w:rPr>
                <w:sz w:val="16"/>
                <w:szCs w:val="16"/>
                <w:lang w:eastAsia="en-US"/>
              </w:rPr>
              <w:t xml:space="preserve"> v oblasti předávání údajů o klientech OZP.</w:t>
            </w:r>
          </w:p>
        </w:tc>
      </w:tr>
    </w:tbl>
    <w:p w:rsidR="00CB7581" w:rsidRPr="00027A17" w:rsidRDefault="00CB7581" w:rsidP="00A4749D">
      <w:pPr>
        <w:numPr>
          <w:ilvl w:val="0"/>
          <w:numId w:val="33"/>
        </w:numPr>
        <w:spacing w:before="120" w:after="120"/>
        <w:jc w:val="both"/>
        <w:rPr>
          <w:rFonts w:eastAsia="Calibri"/>
          <w:szCs w:val="22"/>
          <w:lang w:eastAsia="ar-SA"/>
        </w:rPr>
      </w:pPr>
      <w:r w:rsidRPr="00027A17">
        <w:rPr>
          <w:rFonts w:eastAsia="Calibri"/>
          <w:szCs w:val="22"/>
          <w:lang w:eastAsia="ar-SA"/>
        </w:rPr>
        <w:lastRenderedPageBreak/>
        <w:t>Součástí dodávky je i obměna komunikačního rozhraní mezi Portálem OZP ONLINE a Portálem ZP, tzv. Kobra.</w:t>
      </w:r>
    </w:p>
    <w:p w:rsidR="00CB7581" w:rsidRPr="00221F17" w:rsidRDefault="00CB7581" w:rsidP="00CB7581">
      <w:pPr>
        <w:ind w:left="360"/>
        <w:jc w:val="both"/>
        <w:rPr>
          <w:rFonts w:eastAsia="Calibri"/>
          <w:szCs w:val="22"/>
          <w:highlight w:val="yellow"/>
          <w:lang w:eastAsia="en-US"/>
        </w:rPr>
      </w:pPr>
    </w:p>
    <w:p w:rsidR="00CB7581" w:rsidRPr="00221F17" w:rsidRDefault="00CB7581" w:rsidP="00A4749D">
      <w:pPr>
        <w:numPr>
          <w:ilvl w:val="0"/>
          <w:numId w:val="4"/>
        </w:numPr>
        <w:ind w:left="284" w:hanging="284"/>
        <w:jc w:val="both"/>
        <w:rPr>
          <w:rFonts w:eastAsia="Calibri"/>
          <w:b/>
          <w:szCs w:val="22"/>
        </w:rPr>
      </w:pPr>
      <w:r w:rsidRPr="00221F17">
        <w:rPr>
          <w:rFonts w:eastAsia="Calibri"/>
          <w:b/>
          <w:szCs w:val="22"/>
        </w:rPr>
        <w:t>Externí systémy</w:t>
      </w:r>
    </w:p>
    <w:p w:rsidR="00CB7581" w:rsidRPr="00221F17" w:rsidRDefault="00CB7581" w:rsidP="00A4749D">
      <w:pPr>
        <w:numPr>
          <w:ilvl w:val="0"/>
          <w:numId w:val="34"/>
        </w:numPr>
        <w:spacing w:before="120" w:after="120"/>
        <w:jc w:val="both"/>
        <w:rPr>
          <w:rFonts w:eastAsia="Calibri"/>
          <w:szCs w:val="22"/>
          <w:lang w:eastAsia="ar-SA"/>
        </w:rPr>
      </w:pPr>
      <w:r w:rsidRPr="00221F17">
        <w:rPr>
          <w:rFonts w:eastAsia="Calibri"/>
          <w:szCs w:val="22"/>
          <w:lang w:eastAsia="ar-SA"/>
        </w:rPr>
        <w:t xml:space="preserve">ICIS musí podporovat komunikaci s existujícími systémy partnerů </w:t>
      </w:r>
      <w:r w:rsidR="002B1330">
        <w:rPr>
          <w:rFonts w:eastAsia="Calibri"/>
          <w:szCs w:val="22"/>
          <w:lang w:eastAsia="ar-SA"/>
        </w:rPr>
        <w:t>zadavatele</w:t>
      </w:r>
      <w:r w:rsidRPr="00221F17">
        <w:rPr>
          <w:rFonts w:eastAsia="Calibri"/>
          <w:szCs w:val="22"/>
          <w:lang w:eastAsia="ar-SA"/>
        </w:rPr>
        <w:t>. Popis externích systémů je uveden v tabulce bodu 11. ICIS musí umožnit budoucí rozvoj systému, aby bylo možné realizovat nově poptávanou komunikaci, minimálně s využitím stávajících standardů: WS, SOAP, REST, XML.</w:t>
      </w:r>
    </w:p>
    <w:p w:rsidR="00CB7581" w:rsidRPr="00221F17" w:rsidRDefault="00CB7581" w:rsidP="00A4749D">
      <w:pPr>
        <w:numPr>
          <w:ilvl w:val="0"/>
          <w:numId w:val="34"/>
        </w:numPr>
        <w:spacing w:before="120" w:after="120"/>
        <w:jc w:val="both"/>
        <w:rPr>
          <w:rFonts w:eastAsia="Calibri"/>
          <w:szCs w:val="22"/>
          <w:lang w:eastAsia="ar-SA"/>
        </w:rPr>
      </w:pPr>
      <w:r w:rsidRPr="00221F17">
        <w:rPr>
          <w:rFonts w:eastAsia="Calibri"/>
          <w:szCs w:val="22"/>
          <w:lang w:eastAsia="ar-SA"/>
        </w:rPr>
        <w:t xml:space="preserve">Komunikace s externími systémy do vnitřního prostředí ICIS musí být řešena v off-line režimu. On-line požadavky nesmí vstupovat do ICIS přímo (např. přímé dotazy na data na úrovni databázového stroje), nýbrž budou zpracovány v asynchronním módu, tj. budou zařazovány do front pro zpracování, které následně ICIS zpracuje. </w:t>
      </w:r>
    </w:p>
    <w:p w:rsidR="00CB7581" w:rsidRPr="00221F17" w:rsidRDefault="002B1330" w:rsidP="00A4749D">
      <w:pPr>
        <w:numPr>
          <w:ilvl w:val="0"/>
          <w:numId w:val="34"/>
        </w:numPr>
        <w:spacing w:before="120" w:after="120"/>
        <w:jc w:val="both"/>
        <w:rPr>
          <w:rFonts w:eastAsia="Calibri"/>
          <w:szCs w:val="22"/>
          <w:lang w:eastAsia="ar-SA"/>
        </w:rPr>
      </w:pPr>
      <w:r>
        <w:rPr>
          <w:rFonts w:eastAsia="Calibri"/>
          <w:szCs w:val="22"/>
          <w:lang w:eastAsia="ar-SA"/>
        </w:rPr>
        <w:t>Zadavatel</w:t>
      </w:r>
      <w:r w:rsidRPr="00221F17">
        <w:rPr>
          <w:rFonts w:eastAsia="Calibri"/>
          <w:szCs w:val="22"/>
          <w:lang w:eastAsia="ar-SA"/>
        </w:rPr>
        <w:t xml:space="preserve"> </w:t>
      </w:r>
      <w:r w:rsidR="00CB7581" w:rsidRPr="00221F17">
        <w:rPr>
          <w:rFonts w:eastAsia="Calibri"/>
          <w:szCs w:val="22"/>
          <w:lang w:eastAsia="ar-SA"/>
        </w:rPr>
        <w:t xml:space="preserve">předpokládá využití některé z ESB platforem pro zajištění bezpečné a </w:t>
      </w:r>
      <w:proofErr w:type="spellStart"/>
      <w:r w:rsidR="00CB7581" w:rsidRPr="00221F17">
        <w:rPr>
          <w:rFonts w:eastAsia="Calibri"/>
          <w:szCs w:val="22"/>
          <w:lang w:eastAsia="ar-SA"/>
        </w:rPr>
        <w:t>customizovatelné</w:t>
      </w:r>
      <w:proofErr w:type="spellEnd"/>
      <w:r w:rsidR="00CB7581" w:rsidRPr="00221F17">
        <w:rPr>
          <w:rFonts w:eastAsia="Calibri"/>
          <w:szCs w:val="22"/>
          <w:lang w:eastAsia="ar-SA"/>
        </w:rPr>
        <w:t xml:space="preserve"> platformy pro implementaci integračních řešení.</w:t>
      </w:r>
    </w:p>
    <w:p w:rsidR="00CB7581" w:rsidRPr="00221F17" w:rsidRDefault="00CB7581" w:rsidP="00A4749D">
      <w:pPr>
        <w:numPr>
          <w:ilvl w:val="0"/>
          <w:numId w:val="34"/>
        </w:numPr>
        <w:spacing w:before="120" w:after="120"/>
        <w:jc w:val="both"/>
        <w:rPr>
          <w:rFonts w:eastAsia="Calibri"/>
          <w:szCs w:val="22"/>
          <w:lang w:eastAsia="ar-SA"/>
        </w:rPr>
      </w:pPr>
      <w:r w:rsidRPr="00221F17">
        <w:rPr>
          <w:rFonts w:eastAsia="Calibri"/>
          <w:szCs w:val="22"/>
          <w:lang w:eastAsia="ar-SA"/>
        </w:rPr>
        <w:t>ICIS aktivně, pomocí striktně definovaného interface, zahajuje komunikaci s externími systémy, kdy na základě požadavků a odpovědí probíhá aktivní on-line komunikace. S některými externími systémy probíhá komunikace jednostranně (data jsou pouze načítána či odesílána), s jinými oboustranně.</w:t>
      </w:r>
    </w:p>
    <w:p w:rsidR="00CB7581" w:rsidRDefault="00CB7581" w:rsidP="00A4749D">
      <w:pPr>
        <w:numPr>
          <w:ilvl w:val="0"/>
          <w:numId w:val="34"/>
        </w:numPr>
        <w:spacing w:before="120" w:after="120"/>
        <w:jc w:val="both"/>
        <w:rPr>
          <w:rFonts w:eastAsia="Calibri"/>
          <w:szCs w:val="22"/>
          <w:lang w:eastAsia="ar-SA"/>
        </w:rPr>
      </w:pPr>
      <w:r w:rsidRPr="00221F17">
        <w:rPr>
          <w:rFonts w:eastAsia="Calibri"/>
          <w:szCs w:val="22"/>
          <w:lang w:eastAsia="ar-SA"/>
        </w:rPr>
        <w:t>ICIS musí podporovat komunikaci s externími systémy:</w:t>
      </w:r>
    </w:p>
    <w:p w:rsidR="00CB7581" w:rsidRPr="00221F17" w:rsidRDefault="00CB7581" w:rsidP="00CB7581">
      <w:pPr>
        <w:ind w:left="720"/>
        <w:jc w:val="both"/>
        <w:rPr>
          <w:rFonts w:eastAsia="Calibri"/>
          <w:szCs w:val="22"/>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567"/>
        <w:gridCol w:w="6510"/>
      </w:tblGrid>
      <w:tr w:rsidR="00682124" w:rsidRPr="00221F17" w:rsidTr="00CB7581">
        <w:trPr>
          <w:tblHeader/>
        </w:trPr>
        <w:tc>
          <w:tcPr>
            <w:tcW w:w="2567" w:type="dxa"/>
            <w:shd w:val="clear" w:color="auto" w:fill="A50021"/>
            <w:vAlign w:val="center"/>
            <w:hideMark/>
          </w:tcPr>
          <w:p w:rsidR="00CB7581" w:rsidRPr="00CB7581" w:rsidRDefault="00CB7581" w:rsidP="00CB7581">
            <w:pPr>
              <w:rPr>
                <w:rFonts w:cs="Calibri"/>
                <w:b/>
                <w:sz w:val="16"/>
                <w:szCs w:val="16"/>
                <w:lang w:eastAsia="en-US"/>
              </w:rPr>
            </w:pPr>
            <w:r w:rsidRPr="00CB7581">
              <w:rPr>
                <w:rFonts w:cs="Calibri"/>
                <w:b/>
                <w:sz w:val="16"/>
                <w:szCs w:val="16"/>
                <w:lang w:eastAsia="en-US"/>
              </w:rPr>
              <w:t>Externí subjekt / systém</w:t>
            </w:r>
          </w:p>
        </w:tc>
        <w:tc>
          <w:tcPr>
            <w:tcW w:w="6510" w:type="dxa"/>
            <w:shd w:val="clear" w:color="auto" w:fill="A50021"/>
            <w:vAlign w:val="center"/>
          </w:tcPr>
          <w:p w:rsidR="00CB7581" w:rsidRPr="00CB7581" w:rsidRDefault="00CB7581" w:rsidP="00CB7581">
            <w:pPr>
              <w:rPr>
                <w:rFonts w:cs="Calibri"/>
                <w:b/>
                <w:sz w:val="16"/>
                <w:szCs w:val="16"/>
                <w:lang w:eastAsia="en-US"/>
              </w:rPr>
            </w:pPr>
            <w:r w:rsidRPr="00CB7581">
              <w:rPr>
                <w:rFonts w:cs="Calibri"/>
                <w:b/>
                <w:sz w:val="16"/>
                <w:szCs w:val="16"/>
                <w:lang w:eastAsia="en-US"/>
              </w:rPr>
              <w:t>Popis</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Banky</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z modulu Finance (bankovní výpisy, příkazy k úhradě).</w:t>
            </w:r>
          </w:p>
          <w:p w:rsidR="00CB7581" w:rsidRPr="00CB7581" w:rsidRDefault="00CB7581" w:rsidP="00CB7581">
            <w:pPr>
              <w:rPr>
                <w:rFonts w:cs="Calibri"/>
                <w:sz w:val="16"/>
                <w:szCs w:val="16"/>
                <w:lang w:eastAsia="en-US"/>
              </w:rPr>
            </w:pPr>
            <w:r w:rsidRPr="00CB7581">
              <w:rPr>
                <w:rFonts w:cs="Calibri"/>
                <w:sz w:val="16"/>
                <w:szCs w:val="16"/>
                <w:lang w:eastAsia="en-US"/>
              </w:rPr>
              <w:t>Obousměrná komunikace (načítání výpisů, vytváření příkazů) pomocí externích programů konkrétních bank.</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Call centrum</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potřeby Asistenční služby o realizovaných hovorech s pojištěnci.</w:t>
            </w:r>
          </w:p>
          <w:p w:rsidR="00CB7581" w:rsidRPr="00CB7581" w:rsidRDefault="00CB7581" w:rsidP="00CB7581">
            <w:pPr>
              <w:rPr>
                <w:rFonts w:cs="Calibri"/>
                <w:sz w:val="16"/>
                <w:szCs w:val="16"/>
                <w:lang w:eastAsia="en-US"/>
              </w:rPr>
            </w:pPr>
            <w:r w:rsidRPr="00CB7581">
              <w:rPr>
                <w:rFonts w:cs="Calibri"/>
                <w:sz w:val="16"/>
                <w:szCs w:val="16"/>
                <w:lang w:eastAsia="en-US"/>
              </w:rPr>
              <w:t>Obousměrná komunikace (seznam pojištěnců evidovaných v AS, seznam uskutečněných hovorů a urgentní dotazy). Nyní poloautomaticky, v budoucnu by bylo vhodné komunikovat prostřednictvím webových služeb a data zasílat automatizovaně (záleží na smluvních podmínkách).</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Centrální </w:t>
            </w:r>
            <w:r w:rsidRPr="00CB7581">
              <w:rPr>
                <w:rFonts w:cs="Calibri"/>
                <w:sz w:val="16"/>
                <w:szCs w:val="16"/>
                <w:lang w:eastAsia="en-US"/>
              </w:rPr>
              <w:br/>
              <w:t>registr pojištěnců (CRP)</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Registrů o stavech pojištěnců v rámci INFO souborů.</w:t>
            </w:r>
          </w:p>
          <w:p w:rsidR="00CB7581" w:rsidRPr="00CB7581" w:rsidRDefault="00CB7581" w:rsidP="00CB7581">
            <w:pPr>
              <w:rPr>
                <w:rFonts w:cs="Calibri"/>
                <w:sz w:val="16"/>
                <w:szCs w:val="16"/>
                <w:lang w:eastAsia="en-US"/>
              </w:rPr>
            </w:pPr>
            <w:r w:rsidRPr="00CB7581">
              <w:rPr>
                <w:rFonts w:cs="Calibri"/>
                <w:sz w:val="16"/>
                <w:szCs w:val="16"/>
                <w:lang w:eastAsia="en-US"/>
              </w:rPr>
              <w:t xml:space="preserve">Oboustranná komunikace o evidovaných pojištěncích (odesílá např. </w:t>
            </w:r>
            <w:r w:rsidRPr="00CB7581">
              <w:rPr>
                <w:rFonts w:cs="Calibri"/>
                <w:color w:val="000000"/>
                <w:sz w:val="16"/>
                <w:szCs w:val="16"/>
                <w:lang w:eastAsia="en-US"/>
              </w:rPr>
              <w:t xml:space="preserve">OZN, SP, ZUP; načítá např. INFO, VZP, ZZP ad.) </w:t>
            </w:r>
            <w:r w:rsidRPr="00CB7581">
              <w:rPr>
                <w:rFonts w:cs="Calibri"/>
                <w:sz w:val="16"/>
                <w:szCs w:val="16"/>
                <w:lang w:eastAsia="en-US"/>
              </w:rPr>
              <w:t>pomocí generování souborů a jejich zasílání emailem.</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Centrální systém účetních informací státu (CSÚIS)</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Finance – zasílání elektronických Státních výkazů, případně dalších zpracovávaných výkazů.</w:t>
            </w:r>
          </w:p>
          <w:p w:rsidR="00CB7581" w:rsidRPr="00CB7581" w:rsidRDefault="00CB7581" w:rsidP="00CB7581">
            <w:pPr>
              <w:rPr>
                <w:rFonts w:cs="Calibri"/>
                <w:sz w:val="16"/>
                <w:szCs w:val="16"/>
                <w:lang w:eastAsia="en-US"/>
              </w:rPr>
            </w:pPr>
            <w:r w:rsidRPr="00CB7581">
              <w:rPr>
                <w:rFonts w:cs="Calibri"/>
                <w:sz w:val="16"/>
                <w:szCs w:val="16"/>
                <w:lang w:eastAsia="en-US"/>
              </w:rPr>
              <w:t>Obousměrná komunikace, načítání výkazů a zpětná informace v případě chyb.</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Centrum </w:t>
            </w:r>
            <w:r w:rsidRPr="00CB7581">
              <w:rPr>
                <w:rFonts w:cs="Calibri"/>
                <w:sz w:val="16"/>
                <w:szCs w:val="16"/>
                <w:lang w:eastAsia="en-US"/>
              </w:rPr>
              <w:br/>
              <w:t>mezistátních úhrad (CMÚ)</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Registrů (výpomocné registrace) a modul Produktové části (přeúčtování péče v rámci EU).</w:t>
            </w:r>
          </w:p>
          <w:p w:rsidR="00CB7581" w:rsidRPr="00CB7581" w:rsidRDefault="00CB7581" w:rsidP="00CB7581">
            <w:pPr>
              <w:rPr>
                <w:rFonts w:cs="Calibri"/>
                <w:sz w:val="16"/>
                <w:szCs w:val="16"/>
                <w:lang w:eastAsia="en-US"/>
              </w:rPr>
            </w:pPr>
            <w:r w:rsidRPr="00CB7581">
              <w:rPr>
                <w:rFonts w:cs="Calibri"/>
                <w:sz w:val="16"/>
                <w:szCs w:val="16"/>
                <w:lang w:eastAsia="en-US"/>
              </w:rPr>
              <w:t>Obousměrná komunikace (výpomocné registrace, přeúčtování péče) pomocí WS.</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Český statistický úřad (ČSÚ)</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Jednosměrná komunikace – hlášení tzv. národních zdravotních účtů z Produktové části</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Datové schránky (DS)</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Komunikace v rámci dohledávání a ověřování DS osob a obyvatel. </w:t>
            </w:r>
          </w:p>
          <w:p w:rsidR="00CB7581" w:rsidRPr="00CB7581" w:rsidRDefault="00CB7581" w:rsidP="00CB7581">
            <w:pPr>
              <w:rPr>
                <w:rFonts w:cs="Calibri"/>
                <w:sz w:val="16"/>
                <w:szCs w:val="16"/>
                <w:lang w:eastAsia="en-US"/>
              </w:rPr>
            </w:pPr>
            <w:r w:rsidRPr="00CB7581">
              <w:rPr>
                <w:rFonts w:cs="Calibri"/>
                <w:sz w:val="16"/>
                <w:szCs w:val="16"/>
                <w:lang w:eastAsia="en-US"/>
              </w:rPr>
              <w:t>Jednosměrná komunikace (ověřování existence DS) pomocí WS.</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Externí tiskárna dokumentů</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Komunikace primárně pro modul Registrů a Příjmové části pro možnost tisku dokumentů pojištěnci nebo pro potřeby platební morálky zaměstnavatelů. </w:t>
            </w:r>
          </w:p>
          <w:p w:rsidR="00CB7581" w:rsidRPr="00CB7581" w:rsidRDefault="00CB7581" w:rsidP="00CB7581">
            <w:pPr>
              <w:rPr>
                <w:rFonts w:cs="Calibri"/>
                <w:sz w:val="16"/>
                <w:szCs w:val="16"/>
                <w:lang w:eastAsia="en-US"/>
              </w:rPr>
            </w:pPr>
            <w:r w:rsidRPr="00CB7581">
              <w:rPr>
                <w:rFonts w:cs="Calibri"/>
                <w:sz w:val="16"/>
                <w:szCs w:val="16"/>
                <w:lang w:eastAsia="en-US"/>
              </w:rPr>
              <w:t>Jednosměrná komunikace (zasílání podkladů pro tisky) pomocí generování souborů a zasílání emailem. V budoucnu, dle smluvních podmínek, možnost vystavení souboru na rozhraní.</w:t>
            </w:r>
          </w:p>
          <w:p w:rsidR="00CB7581" w:rsidRPr="00CB7581" w:rsidRDefault="00CB7581" w:rsidP="00CB7581">
            <w:pPr>
              <w:rPr>
                <w:rFonts w:cs="Calibri"/>
                <w:sz w:val="16"/>
                <w:szCs w:val="16"/>
                <w:lang w:eastAsia="en-US"/>
              </w:rPr>
            </w:pPr>
            <w:r w:rsidRPr="00CB7581">
              <w:rPr>
                <w:rFonts w:cs="Calibri"/>
                <w:sz w:val="16"/>
                <w:szCs w:val="16"/>
                <w:lang w:eastAsia="en-US"/>
              </w:rPr>
              <w:t>V produktové části systému je na externí tisk zasílán hromadný soubor Zúčtovacích zpráv.</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Externí tiskárna průkazu</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Registrů pro možnost hromadných tisků průkazů pojištěnců.</w:t>
            </w:r>
          </w:p>
          <w:p w:rsidR="00CB7581" w:rsidRPr="00CB7581" w:rsidRDefault="00CB7581" w:rsidP="00CB7581">
            <w:pPr>
              <w:rPr>
                <w:rFonts w:cs="Calibri"/>
                <w:sz w:val="16"/>
                <w:szCs w:val="16"/>
                <w:lang w:eastAsia="en-US"/>
              </w:rPr>
            </w:pPr>
            <w:r w:rsidRPr="00CB7581">
              <w:rPr>
                <w:rFonts w:cs="Calibri"/>
                <w:sz w:val="16"/>
                <w:szCs w:val="16"/>
                <w:lang w:eastAsia="en-US"/>
              </w:rPr>
              <w:t>Jednosměrná komunikace (zasílání podkladů pro tisky) pomocí generování souborů a zasílání emailem. V budoucnu, dle smluvních podmínek, možnost vystavení souboru na rozhraní.</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Finanční úřad (FÚ)</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Finance, oblast DPH, elektronická podání hlášení v režimu přenesené daňové povinnosti (PDP).</w:t>
            </w:r>
          </w:p>
          <w:p w:rsidR="00CB7581" w:rsidRPr="00CB7581" w:rsidRDefault="00CB7581" w:rsidP="00CB7581">
            <w:pPr>
              <w:rPr>
                <w:rFonts w:cs="Calibri"/>
                <w:sz w:val="16"/>
                <w:szCs w:val="16"/>
                <w:lang w:eastAsia="en-US"/>
              </w:rPr>
            </w:pPr>
            <w:r w:rsidRPr="00CB7581">
              <w:rPr>
                <w:rFonts w:cs="Calibri"/>
                <w:sz w:val="16"/>
                <w:szCs w:val="16"/>
                <w:lang w:eastAsia="en-US"/>
              </w:rPr>
              <w:t xml:space="preserve">Další komunikace probíhá pouze zasíláním souborů přes datové schránky – daňová přiznání, </w:t>
            </w:r>
            <w:r w:rsidRPr="00CB7581">
              <w:rPr>
                <w:rFonts w:cs="Calibri"/>
                <w:sz w:val="16"/>
                <w:szCs w:val="16"/>
                <w:lang w:eastAsia="en-US"/>
              </w:rPr>
              <w:lastRenderedPageBreak/>
              <w:t xml:space="preserve">případně další dokumenty. </w:t>
            </w:r>
          </w:p>
          <w:p w:rsidR="00CB7581" w:rsidRPr="00CB7581" w:rsidRDefault="00CB7581" w:rsidP="00CB7581">
            <w:pPr>
              <w:rPr>
                <w:rFonts w:cs="Calibri"/>
                <w:sz w:val="16"/>
                <w:szCs w:val="16"/>
                <w:lang w:eastAsia="en-US"/>
              </w:rPr>
            </w:pPr>
            <w:r w:rsidRPr="00CB7581">
              <w:rPr>
                <w:rFonts w:cs="Calibri"/>
                <w:sz w:val="16"/>
                <w:szCs w:val="16"/>
                <w:lang w:eastAsia="en-US"/>
              </w:rPr>
              <w:t xml:space="preserve">Komunikace je obousměrná, zpětně jsou posílány informace o chybách. </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lastRenderedPageBreak/>
              <w:t>Insolvenční rejstřík (ISIR)</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Komunikace primárně pro kmenové evidence o osobách a obyvatelích o návrzích a insolvenčních řízeních, která jsou vedena ve vztahu na subjekty evidované. </w:t>
            </w:r>
          </w:p>
          <w:p w:rsidR="00CB7581" w:rsidRPr="00CB7581" w:rsidRDefault="00CB7581" w:rsidP="00CB7581">
            <w:pPr>
              <w:rPr>
                <w:rFonts w:cs="Calibri"/>
                <w:sz w:val="16"/>
                <w:szCs w:val="16"/>
                <w:lang w:eastAsia="en-US"/>
              </w:rPr>
            </w:pPr>
            <w:r w:rsidRPr="00CB7581">
              <w:rPr>
                <w:rFonts w:cs="Calibri"/>
                <w:sz w:val="16"/>
                <w:szCs w:val="16"/>
                <w:lang w:eastAsia="en-US"/>
              </w:rPr>
              <w:t>Jednosměrná komunikace (ověřování insolvenčních řízení nad evidovanými subjekty) pomocí WS. V budoucnu by mohla být doplněna na oboustrannou (přihláška k insolvenčnímu řízení.)</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Interní IS smluvních exekutorů</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Napojení na IS smluvně zajištěných exekutorských úřadů (např. IS Aura).</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Ministerstvo financí (MF ČR)</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probíhá pouze v rámci výměny souborů přes datové schránky.</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Ministerstvo Průmyslu a Obchodu (MPO)</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Registrů v rámci JRF dotazníku.</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Ministerstvo zdravotnictví (MZ ČR)</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probíhá pouze v rámci výměny souborů přes datové schránky.</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Národní </w:t>
            </w:r>
            <w:r w:rsidRPr="00CB7581">
              <w:rPr>
                <w:rFonts w:cs="Calibri"/>
                <w:sz w:val="16"/>
                <w:szCs w:val="16"/>
                <w:lang w:eastAsia="en-US"/>
              </w:rPr>
              <w:br/>
              <w:t>referenční centrum (NRC)</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Produktové části ohledně DRG, očkování apod. pro možnost statistického vyhodnocování a určování trendů.</w:t>
            </w:r>
          </w:p>
          <w:p w:rsidR="00CB7581" w:rsidRPr="00CB7581" w:rsidRDefault="00CB7581" w:rsidP="00CB7581">
            <w:pPr>
              <w:rPr>
                <w:rFonts w:cs="Calibri"/>
                <w:sz w:val="16"/>
                <w:szCs w:val="16"/>
                <w:lang w:eastAsia="en-US"/>
              </w:rPr>
            </w:pPr>
            <w:r w:rsidRPr="00CB7581">
              <w:rPr>
                <w:rFonts w:cs="Calibri"/>
                <w:sz w:val="16"/>
                <w:szCs w:val="16"/>
                <w:lang w:eastAsia="en-US"/>
              </w:rPr>
              <w:t>Obousměrná komunikace (vyžádaná data, statistiky na základě srovnání republikových dat) pomocí XLS statistik.</w:t>
            </w:r>
          </w:p>
        </w:tc>
      </w:tr>
      <w:tr w:rsidR="00682124" w:rsidRPr="00221F17" w:rsidTr="00CB7581">
        <w:trPr>
          <w:trHeight w:val="1313"/>
        </w:trPr>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Portál </w:t>
            </w:r>
            <w:proofErr w:type="spellStart"/>
            <w:r w:rsidRPr="00CB7581">
              <w:rPr>
                <w:rFonts w:cs="Calibri"/>
                <w:sz w:val="16"/>
                <w:szCs w:val="16"/>
                <w:lang w:eastAsia="en-US"/>
              </w:rPr>
              <w:t>Vitalitas</w:t>
            </w:r>
            <w:proofErr w:type="spellEnd"/>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Portál pojišťovny </w:t>
            </w:r>
            <w:proofErr w:type="spellStart"/>
            <w:r w:rsidRPr="00CB7581">
              <w:rPr>
                <w:rFonts w:cs="Calibri"/>
                <w:sz w:val="16"/>
                <w:szCs w:val="16"/>
                <w:lang w:eastAsia="en-US"/>
              </w:rPr>
              <w:t>Vitalitas</w:t>
            </w:r>
            <w:proofErr w:type="spellEnd"/>
            <w:r w:rsidRPr="00CB7581">
              <w:rPr>
                <w:rFonts w:cs="Calibri"/>
                <w:sz w:val="16"/>
                <w:szCs w:val="16"/>
                <w:lang w:eastAsia="en-US"/>
              </w:rPr>
              <w:t>, která v rámci smluvního vztahu s OZP nabízí pojištěncům výhodné komerční pojištění. Primárně se předávají osobní data o pojištěncích pro možnost jejich rychlého pořizování. Obecně jsou však tyto IS autonomní.</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Státní ústav </w:t>
            </w:r>
            <w:r w:rsidRPr="00CB7581">
              <w:rPr>
                <w:rFonts w:cs="Calibri"/>
                <w:sz w:val="16"/>
                <w:szCs w:val="16"/>
                <w:lang w:eastAsia="en-US"/>
              </w:rPr>
              <w:br/>
              <w:t>pro kontrolu léčiv (SÚKL)</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pro modul Produktové části pro potřeby revizí receptů (</w:t>
            </w:r>
            <w:proofErr w:type="spellStart"/>
            <w:r w:rsidRPr="00CB7581">
              <w:rPr>
                <w:rFonts w:cs="Calibri"/>
                <w:sz w:val="16"/>
                <w:szCs w:val="16"/>
                <w:lang w:eastAsia="en-US"/>
              </w:rPr>
              <w:t>eRecepty</w:t>
            </w:r>
            <w:proofErr w:type="spellEnd"/>
            <w:r w:rsidRPr="00CB7581">
              <w:rPr>
                <w:rFonts w:cs="Calibri"/>
                <w:sz w:val="16"/>
                <w:szCs w:val="16"/>
                <w:lang w:eastAsia="en-US"/>
              </w:rPr>
              <w:t xml:space="preserve"> s možnosti náhledů na papírový doklad).</w:t>
            </w:r>
          </w:p>
          <w:p w:rsidR="00CB7581" w:rsidRPr="00CB7581" w:rsidRDefault="00CB7581" w:rsidP="00CB7581">
            <w:pPr>
              <w:rPr>
                <w:rFonts w:cs="Calibri"/>
                <w:sz w:val="16"/>
                <w:szCs w:val="16"/>
                <w:lang w:eastAsia="en-US"/>
              </w:rPr>
            </w:pPr>
            <w:r w:rsidRPr="00CB7581">
              <w:rPr>
                <w:rFonts w:cs="Calibri"/>
                <w:sz w:val="16"/>
                <w:szCs w:val="16"/>
                <w:lang w:eastAsia="en-US"/>
              </w:rPr>
              <w:t xml:space="preserve">Jednosměrná komunikace (načítání </w:t>
            </w:r>
            <w:proofErr w:type="spellStart"/>
            <w:r w:rsidRPr="00CB7581">
              <w:rPr>
                <w:rFonts w:cs="Calibri"/>
                <w:sz w:val="16"/>
                <w:szCs w:val="16"/>
                <w:lang w:eastAsia="en-US"/>
              </w:rPr>
              <w:t>eReceptů</w:t>
            </w:r>
            <w:proofErr w:type="spellEnd"/>
            <w:r w:rsidRPr="00CB7581">
              <w:rPr>
                <w:rFonts w:cs="Calibri"/>
                <w:sz w:val="16"/>
                <w:szCs w:val="16"/>
                <w:lang w:eastAsia="en-US"/>
              </w:rPr>
              <w:t xml:space="preserve"> pro možnost revizí) pomocí WS.</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Ústav zdravotních informací a statistik (ÚZIS)</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Neprobíhá elektronická komunikace pro modul Finance.</w:t>
            </w:r>
          </w:p>
          <w:p w:rsidR="00CB7581" w:rsidRPr="00CB7581" w:rsidRDefault="00CB7581" w:rsidP="00CB7581">
            <w:pPr>
              <w:rPr>
                <w:rFonts w:cs="Calibri"/>
                <w:sz w:val="16"/>
                <w:szCs w:val="16"/>
                <w:lang w:eastAsia="en-US"/>
              </w:rPr>
            </w:pPr>
            <w:r w:rsidRPr="00CB7581">
              <w:rPr>
                <w:rFonts w:cs="Calibri"/>
                <w:sz w:val="16"/>
                <w:szCs w:val="16"/>
                <w:lang w:eastAsia="en-US"/>
              </w:rPr>
              <w:t xml:space="preserve">Probíhá jednosměrná komunikace pro modul Produktová část - </w:t>
            </w:r>
            <w:proofErr w:type="spellStart"/>
            <w:r w:rsidRPr="00CB7581">
              <w:rPr>
                <w:rFonts w:cs="Calibri"/>
                <w:sz w:val="16"/>
                <w:szCs w:val="16"/>
                <w:lang w:eastAsia="en-US"/>
              </w:rPr>
              <w:t>reportovací</w:t>
            </w:r>
            <w:proofErr w:type="spellEnd"/>
            <w:r w:rsidRPr="00CB7581">
              <w:rPr>
                <w:rFonts w:cs="Calibri"/>
                <w:sz w:val="16"/>
                <w:szCs w:val="16"/>
                <w:lang w:eastAsia="en-US"/>
              </w:rPr>
              <w:t xml:space="preserve"> nástroje napojené na produktovou část zasílají statistické informace o čerpání zdravotní péče a léků ve formě generování souborů zasílaných mailem.</w:t>
            </w:r>
          </w:p>
        </w:tc>
      </w:tr>
      <w:tr w:rsidR="00682124" w:rsidRPr="00221F17" w:rsidTr="00CB7581">
        <w:tc>
          <w:tcPr>
            <w:tcW w:w="2567"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VAKUS</w:t>
            </w:r>
          </w:p>
        </w:tc>
        <w:tc>
          <w:tcPr>
            <w:tcW w:w="6510" w:type="dxa"/>
            <w:shd w:val="clear" w:color="auto" w:fill="F2DBDB"/>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Komunikace primárně v rámci modulu Finance, načítání poštovních poukázek.</w:t>
            </w:r>
          </w:p>
          <w:p w:rsidR="00CB7581" w:rsidRPr="00CB7581" w:rsidRDefault="00CB7581" w:rsidP="00CB7581">
            <w:pPr>
              <w:rPr>
                <w:rFonts w:cs="Calibri"/>
                <w:sz w:val="16"/>
                <w:szCs w:val="16"/>
                <w:lang w:eastAsia="en-US"/>
              </w:rPr>
            </w:pPr>
            <w:r w:rsidRPr="00CB7581">
              <w:rPr>
                <w:rFonts w:cs="Calibri"/>
                <w:sz w:val="16"/>
                <w:szCs w:val="16"/>
                <w:lang w:eastAsia="en-US"/>
              </w:rPr>
              <w:t>Jednosměrná komunikace (načítání poukázek) pomocí datových souborů.</w:t>
            </w:r>
          </w:p>
        </w:tc>
      </w:tr>
      <w:tr w:rsidR="00682124" w:rsidRPr="00221F17" w:rsidTr="00CB7581">
        <w:tc>
          <w:tcPr>
            <w:tcW w:w="2567"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Základní registry (ZR)</w:t>
            </w:r>
          </w:p>
        </w:tc>
        <w:tc>
          <w:tcPr>
            <w:tcW w:w="6510" w:type="dxa"/>
            <w:shd w:val="clear" w:color="auto" w:fill="FFFFFF"/>
            <w:vAlign w:val="center"/>
            <w:hideMark/>
          </w:tcPr>
          <w:p w:rsidR="00CB7581" w:rsidRPr="00CB7581" w:rsidRDefault="00CB7581" w:rsidP="00CB7581">
            <w:pPr>
              <w:rPr>
                <w:rFonts w:cs="Calibri"/>
                <w:sz w:val="16"/>
                <w:szCs w:val="16"/>
                <w:lang w:eastAsia="en-US"/>
              </w:rPr>
            </w:pPr>
            <w:r w:rsidRPr="00CB7581">
              <w:rPr>
                <w:rFonts w:cs="Calibri"/>
                <w:sz w:val="16"/>
                <w:szCs w:val="16"/>
                <w:lang w:eastAsia="en-US"/>
              </w:rPr>
              <w:t xml:space="preserve">Komunikace v rámci kmenové evidence o osobách (poskytovatelé zdravotní péče, zaměstnavatelé, …) a obyvatelích (pojištěnci, zákonní zástupci …) a jejich datech. V rámci ZR je pak možnost ověřovat i adresy proti RÚIAN a ROB. </w:t>
            </w:r>
          </w:p>
          <w:p w:rsidR="00CB7581" w:rsidRPr="00CB7581" w:rsidRDefault="00CB7581" w:rsidP="00CB7581">
            <w:pPr>
              <w:rPr>
                <w:rFonts w:cs="Calibri"/>
                <w:sz w:val="16"/>
                <w:szCs w:val="16"/>
                <w:lang w:eastAsia="en-US"/>
              </w:rPr>
            </w:pPr>
            <w:r w:rsidRPr="00CB7581">
              <w:rPr>
                <w:rFonts w:cs="Calibri"/>
                <w:sz w:val="16"/>
                <w:szCs w:val="16"/>
                <w:lang w:eastAsia="en-US"/>
              </w:rPr>
              <w:t>Jednosměrná komunikace (ověřování osob, obyvatel a adresních míst) pomocí WS.</w:t>
            </w:r>
          </w:p>
        </w:tc>
      </w:tr>
    </w:tbl>
    <w:p w:rsidR="00CB7581" w:rsidRDefault="00CB7581" w:rsidP="00CB7581">
      <w:pPr>
        <w:ind w:left="720"/>
        <w:jc w:val="both"/>
        <w:rPr>
          <w:rFonts w:eastAsia="Calibri"/>
          <w:szCs w:val="22"/>
        </w:rPr>
      </w:pPr>
    </w:p>
    <w:p w:rsidR="00D87A06" w:rsidRPr="00D87A06" w:rsidRDefault="00D87A06" w:rsidP="00A4749D">
      <w:pPr>
        <w:numPr>
          <w:ilvl w:val="0"/>
          <w:numId w:val="2"/>
        </w:numPr>
        <w:ind w:left="284" w:hanging="284"/>
        <w:jc w:val="both"/>
        <w:rPr>
          <w:rFonts w:eastAsia="Calibri"/>
          <w:b/>
          <w:szCs w:val="22"/>
          <w:lang w:eastAsia="en-US"/>
        </w:rPr>
      </w:pPr>
      <w:r w:rsidRPr="00D87A06">
        <w:rPr>
          <w:rFonts w:eastAsia="Calibri"/>
          <w:b/>
          <w:szCs w:val="22"/>
          <w:lang w:eastAsia="en-US"/>
        </w:rPr>
        <w:t>Studie proveditelnosti</w:t>
      </w:r>
    </w:p>
    <w:p w:rsidR="00D87A06" w:rsidRDefault="00D87A06" w:rsidP="00D87A06">
      <w:pPr>
        <w:rPr>
          <w:rFonts w:eastAsia="Calibri"/>
        </w:rPr>
      </w:pPr>
    </w:p>
    <w:p w:rsidR="00D87A06" w:rsidRPr="00D87A06" w:rsidRDefault="00D87A06" w:rsidP="00D87A06">
      <w:pPr>
        <w:rPr>
          <w:rFonts w:eastAsia="Calibri"/>
        </w:rPr>
      </w:pPr>
      <w:r>
        <w:rPr>
          <w:rFonts w:eastAsia="Calibri"/>
        </w:rPr>
        <w:t xml:space="preserve">Studie proveditelnosti, včetně detailu popisu požadovaných služeb a funkcí, je </w:t>
      </w:r>
      <w:r w:rsidR="002B1330">
        <w:rPr>
          <w:rFonts w:eastAsia="Calibri"/>
        </w:rPr>
        <w:t xml:space="preserve">přílohou a nedílnou součástí tohoto dokumentu. </w:t>
      </w:r>
    </w:p>
    <w:p w:rsidR="006A268C" w:rsidRPr="000F2715" w:rsidRDefault="00CB7581" w:rsidP="006A268C">
      <w:pPr>
        <w:pStyle w:val="Nadpis1"/>
        <w:numPr>
          <w:ilvl w:val="0"/>
          <w:numId w:val="0"/>
        </w:numPr>
        <w:ind w:left="567"/>
        <w:jc w:val="both"/>
        <w:rPr>
          <w:rFonts w:ascii="Calibri" w:hAnsi="Calibri" w:cs="Calibri"/>
        </w:rPr>
      </w:pPr>
      <w:r>
        <w:br w:type="page"/>
      </w:r>
      <w:bookmarkStart w:id="3" w:name="_Toc385918704"/>
      <w:bookmarkStart w:id="4" w:name="_GoBack"/>
      <w:bookmarkEnd w:id="4"/>
    </w:p>
    <w:p w:rsidR="00682124" w:rsidRPr="000F2715" w:rsidRDefault="00682124" w:rsidP="000F2715">
      <w:pPr>
        <w:pStyle w:val="Nadpis1"/>
        <w:ind w:left="567" w:hanging="567"/>
        <w:jc w:val="both"/>
        <w:rPr>
          <w:rFonts w:ascii="Calibri" w:hAnsi="Calibri" w:cs="Calibri"/>
        </w:rPr>
      </w:pPr>
      <w:r w:rsidRPr="000F2715">
        <w:rPr>
          <w:rFonts w:ascii="Calibri" w:hAnsi="Calibri" w:cs="Calibri"/>
        </w:rPr>
        <w:lastRenderedPageBreak/>
        <w:t>O</w:t>
      </w:r>
      <w:r w:rsidRPr="000F2715">
        <w:rPr>
          <w:rFonts w:ascii="Calibri" w:eastAsia="Calibri" w:hAnsi="Calibri" w:cs="Calibri"/>
        </w:rPr>
        <w:t>rientační seznam několika hlavních právních předpisů, kterými se zejména</w:t>
      </w:r>
      <w:r w:rsidR="00AB41BE">
        <w:rPr>
          <w:rFonts w:ascii="Calibri" w:eastAsia="Calibri" w:hAnsi="Calibri" w:cs="Calibri"/>
        </w:rPr>
        <w:t>,</w:t>
      </w:r>
      <w:r w:rsidRPr="000F2715">
        <w:rPr>
          <w:rFonts w:ascii="Calibri" w:eastAsia="Calibri" w:hAnsi="Calibri" w:cs="Calibri"/>
        </w:rPr>
        <w:t xml:space="preserve"> nikoli však výlučně</w:t>
      </w:r>
      <w:r w:rsidR="00AB41BE">
        <w:rPr>
          <w:rFonts w:ascii="Calibri" w:eastAsia="Calibri" w:hAnsi="Calibri" w:cs="Calibri"/>
        </w:rPr>
        <w:t>,</w:t>
      </w:r>
      <w:r w:rsidRPr="000F2715">
        <w:rPr>
          <w:rFonts w:ascii="Calibri" w:eastAsia="Calibri" w:hAnsi="Calibri" w:cs="Calibri"/>
        </w:rPr>
        <w:t xml:space="preserve"> činnost </w:t>
      </w:r>
      <w:r w:rsidR="002B1330">
        <w:rPr>
          <w:rFonts w:ascii="Calibri" w:eastAsia="Calibri" w:hAnsi="Calibri" w:cs="Calibri"/>
        </w:rPr>
        <w:t>zadavatele</w:t>
      </w:r>
      <w:r w:rsidR="002B1330" w:rsidRPr="000F2715">
        <w:rPr>
          <w:rFonts w:ascii="Calibri" w:eastAsia="Calibri" w:hAnsi="Calibri" w:cs="Calibri"/>
        </w:rPr>
        <w:t xml:space="preserve"> </w:t>
      </w:r>
      <w:r w:rsidRPr="000F2715">
        <w:rPr>
          <w:rFonts w:ascii="Calibri" w:eastAsia="Calibri" w:hAnsi="Calibri" w:cs="Calibri"/>
        </w:rPr>
        <w:t>řídí</w:t>
      </w:r>
      <w:bookmarkEnd w:id="3"/>
    </w:p>
    <w:p w:rsidR="00682124" w:rsidRDefault="00682124" w:rsidP="00E71467">
      <w:pPr>
        <w:rPr>
          <w:lang w:eastAsia="en-US"/>
        </w:rPr>
      </w:pPr>
    </w:p>
    <w:p w:rsidR="00E71467" w:rsidRPr="00E71467" w:rsidRDefault="00E71467" w:rsidP="00E71467">
      <w:pPr>
        <w:rPr>
          <w:rFonts w:eastAsia="Calibri"/>
          <w:lang w:eastAsia="en-US"/>
        </w:rPr>
      </w:pPr>
      <w:r w:rsidRPr="00E71467">
        <w:rPr>
          <w:rFonts w:eastAsia="Calibri"/>
          <w:lang w:eastAsia="en-US"/>
        </w:rPr>
        <w:t xml:space="preserve">Pro vyloučení pochybností </w:t>
      </w:r>
      <w:r w:rsidR="002B1330">
        <w:rPr>
          <w:rFonts w:eastAsia="Calibri"/>
          <w:lang w:eastAsia="en-US"/>
        </w:rPr>
        <w:t>zadavatel</w:t>
      </w:r>
      <w:r w:rsidRPr="00E71467">
        <w:rPr>
          <w:rFonts w:eastAsia="Calibri"/>
          <w:lang w:eastAsia="en-US"/>
        </w:rPr>
        <w:t xml:space="preserve"> předkládá demonstrativní výčet základních právních předpisů, které jsou účinné ke dni </w:t>
      </w:r>
      <w:r w:rsidRPr="00E71467">
        <w:rPr>
          <w:rFonts w:eastAsia="Calibri"/>
          <w:szCs w:val="22"/>
          <w:lang w:eastAsia="en-US"/>
        </w:rPr>
        <w:t xml:space="preserve">uveřejnění oznámení o zahájení zadávacího řízení a vytváří základní (nikoli komplexní) legislativní rámec pro jeho činnost. </w:t>
      </w:r>
    </w:p>
    <w:p w:rsidR="00E71467" w:rsidRPr="00E71467" w:rsidRDefault="00E71467" w:rsidP="00E71467">
      <w:pPr>
        <w:ind w:left="426"/>
        <w:contextualSpacing/>
        <w:rPr>
          <w:rFonts w:eastAsia="Calibri"/>
          <w:lang w:eastAsia="en-US"/>
        </w:rPr>
      </w:pPr>
    </w:p>
    <w:p w:rsidR="00E71467" w:rsidRPr="000F2715" w:rsidRDefault="00E71467" w:rsidP="00A4749D">
      <w:pPr>
        <w:numPr>
          <w:ilvl w:val="0"/>
          <w:numId w:val="35"/>
        </w:numPr>
        <w:spacing w:before="120" w:after="120"/>
        <w:jc w:val="both"/>
        <w:rPr>
          <w:rFonts w:eastAsia="Calibri"/>
          <w:szCs w:val="22"/>
          <w:lang w:eastAsia="ar-SA"/>
        </w:rPr>
      </w:pPr>
      <w:r w:rsidRPr="000F2715">
        <w:rPr>
          <w:rFonts w:eastAsia="Calibri"/>
          <w:szCs w:val="22"/>
          <w:lang w:eastAsia="ar-SA"/>
        </w:rPr>
        <w:t>V</w:t>
      </w:r>
      <w:r w:rsidRPr="00E71467">
        <w:rPr>
          <w:rFonts w:eastAsia="Calibri"/>
          <w:szCs w:val="22"/>
          <w:lang w:eastAsia="ar-SA"/>
        </w:rPr>
        <w:t> oblasti zdravotnictví: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1560"/>
        <w:gridCol w:w="6945"/>
      </w:tblGrid>
      <w:tr w:rsidR="00E71467" w:rsidRPr="004240F2" w:rsidTr="004240F2">
        <w:trPr>
          <w:jc w:val="center"/>
        </w:trPr>
        <w:tc>
          <w:tcPr>
            <w:tcW w:w="1560" w:type="dxa"/>
            <w:shd w:val="clear" w:color="auto" w:fill="A50021"/>
            <w:noWrap/>
            <w:vAlign w:val="center"/>
          </w:tcPr>
          <w:p w:rsidR="00E71467" w:rsidRPr="004240F2" w:rsidRDefault="00E71467" w:rsidP="00E71467">
            <w:pPr>
              <w:rPr>
                <w:rFonts w:ascii="Arial" w:eastAsia="Calibri" w:hAnsi="Arial" w:cs="Arial"/>
                <w:b/>
                <w:sz w:val="16"/>
                <w:szCs w:val="16"/>
                <w:lang w:eastAsia="en-US"/>
              </w:rPr>
            </w:pPr>
            <w:r w:rsidRPr="004240F2">
              <w:rPr>
                <w:rFonts w:ascii="Arial" w:eastAsia="Calibri" w:hAnsi="Arial" w:cs="Arial"/>
                <w:b/>
                <w:sz w:val="16"/>
                <w:szCs w:val="16"/>
                <w:lang w:eastAsia="en-US"/>
              </w:rPr>
              <w:t>Číselné označení</w:t>
            </w:r>
          </w:p>
        </w:tc>
        <w:tc>
          <w:tcPr>
            <w:tcW w:w="6945" w:type="dxa"/>
            <w:shd w:val="clear" w:color="auto" w:fill="A50021"/>
            <w:noWrap/>
            <w:vAlign w:val="center"/>
          </w:tcPr>
          <w:p w:rsidR="00E71467" w:rsidRPr="004240F2" w:rsidRDefault="00E71467" w:rsidP="00E71467">
            <w:pPr>
              <w:rPr>
                <w:rFonts w:ascii="Arial" w:eastAsia="Calibri" w:hAnsi="Arial" w:cs="Arial"/>
                <w:b/>
                <w:sz w:val="16"/>
                <w:szCs w:val="16"/>
                <w:lang w:eastAsia="en-US"/>
              </w:rPr>
            </w:pPr>
            <w:r w:rsidRPr="004240F2">
              <w:rPr>
                <w:rFonts w:ascii="Arial" w:eastAsia="Calibri" w:hAnsi="Arial" w:cs="Arial"/>
                <w:b/>
                <w:sz w:val="16"/>
                <w:szCs w:val="16"/>
                <w:lang w:eastAsia="en-US"/>
              </w:rPr>
              <w:t>Název / Nadpis / Význam</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551/1991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Všeobecné zdravotní pojišťovně České republiky</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280/1992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resortních, oborových, podnikových a dalších zdravotních pojišťovnách</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592/1992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pojistném na veřejné zdravotní pojištění</w:t>
            </w:r>
          </w:p>
        </w:tc>
      </w:tr>
      <w:tr w:rsidR="00E71467" w:rsidRPr="004240F2" w:rsidTr="004240F2">
        <w:trPr>
          <w:jc w:val="center"/>
        </w:trPr>
        <w:tc>
          <w:tcPr>
            <w:tcW w:w="1560" w:type="dxa"/>
            <w:shd w:val="clear" w:color="auto" w:fill="F2DBDB"/>
            <w:noWrap/>
            <w:vAlign w:val="center"/>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48/1997 Sb.</w:t>
            </w:r>
          </w:p>
        </w:tc>
        <w:tc>
          <w:tcPr>
            <w:tcW w:w="6945" w:type="dxa"/>
            <w:shd w:val="clear" w:color="auto" w:fill="F2DBDB"/>
            <w:noWrap/>
            <w:vAlign w:val="center"/>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veřejném zdravotním pojištění</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59/1997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kterou se stanoví indikační seznam pro zdravotní péči v odborných dětských léčebnách</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134/1998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MZ, kterou se vydává seznam zdravotních výkonů s bodovými hodnotami</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101/2000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ochraně osobních údajů a o změně některých zákonů</w:t>
            </w:r>
          </w:p>
        </w:tc>
      </w:tr>
      <w:tr w:rsidR="00E71467" w:rsidRPr="004240F2" w:rsidTr="004240F2">
        <w:trPr>
          <w:jc w:val="center"/>
        </w:trPr>
        <w:tc>
          <w:tcPr>
            <w:tcW w:w="1560" w:type="dxa"/>
            <w:shd w:val="clear" w:color="auto" w:fill="F2DBDB"/>
            <w:noWrap/>
            <w:vAlign w:val="center"/>
            <w:hideMark/>
          </w:tcPr>
          <w:p w:rsidR="00E71467" w:rsidRPr="004240F2" w:rsidRDefault="00AD0918" w:rsidP="00E71467">
            <w:pPr>
              <w:rPr>
                <w:rFonts w:ascii="Arial" w:eastAsia="Calibri" w:hAnsi="Arial" w:cs="Arial"/>
                <w:sz w:val="16"/>
                <w:szCs w:val="16"/>
                <w:lang w:eastAsia="en-US"/>
              </w:rPr>
            </w:pPr>
            <w:r>
              <w:rPr>
                <w:rFonts w:ascii="Arial" w:eastAsia="Calibri" w:hAnsi="Arial" w:cs="Arial"/>
                <w:sz w:val="16"/>
                <w:szCs w:val="16"/>
                <w:lang w:eastAsia="en-US"/>
              </w:rPr>
              <w:t>268/2014</w:t>
            </w:r>
            <w:r w:rsidR="00E71467" w:rsidRPr="004240F2">
              <w:rPr>
                <w:rFonts w:ascii="Arial" w:eastAsia="Calibri" w:hAnsi="Arial" w:cs="Arial"/>
                <w:sz w:val="16"/>
                <w:szCs w:val="16"/>
                <w:lang w:eastAsia="en-US"/>
              </w:rPr>
              <w:t xml:space="preserve"> Sb.</w:t>
            </w:r>
          </w:p>
        </w:tc>
        <w:tc>
          <w:tcPr>
            <w:tcW w:w="6945" w:type="dxa"/>
            <w:shd w:val="clear" w:color="auto" w:fill="F2DBDB"/>
            <w:noWrap/>
            <w:vAlign w:val="center"/>
            <w:hideMark/>
          </w:tcPr>
          <w:p w:rsidR="00E71467" w:rsidRPr="004240F2" w:rsidRDefault="00E71467" w:rsidP="00AD0918">
            <w:pPr>
              <w:rPr>
                <w:rFonts w:ascii="Arial" w:eastAsia="Calibri" w:hAnsi="Arial" w:cs="Arial"/>
                <w:sz w:val="16"/>
                <w:szCs w:val="16"/>
                <w:lang w:eastAsia="en-US"/>
              </w:rPr>
            </w:pPr>
            <w:r w:rsidRPr="004240F2">
              <w:rPr>
                <w:rFonts w:ascii="Arial" w:eastAsia="Calibri" w:hAnsi="Arial" w:cs="Arial"/>
                <w:sz w:val="16"/>
                <w:szCs w:val="16"/>
                <w:lang w:eastAsia="en-US"/>
              </w:rPr>
              <w:t xml:space="preserve">Zákon o zdravotnických prostředcích a o změně </w:t>
            </w:r>
            <w:r w:rsidR="00AD0918">
              <w:rPr>
                <w:rFonts w:ascii="Arial" w:eastAsia="Calibri" w:hAnsi="Arial" w:cs="Arial"/>
                <w:sz w:val="16"/>
                <w:szCs w:val="16"/>
                <w:lang w:eastAsia="en-US"/>
              </w:rPr>
              <w:t>zákona o správních poplatcích</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618/2006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kterou se vydávají rámcové smlouvy</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63/2007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MZ o úhradách léčiv a potravin pro zvláštní lékařské účely</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378/2007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léčivech a o změnách některých souvisejících zákonů (zákon o léčivech)</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464/2008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stanovení hodnot bodu, výše úhrad zdravotní péče hrazené z veřejného zdravotního pojištění a regulačních omezení objemu poskytnuté zdravotní péče hrazené z veřejného zdravotního pojištění pro rok 2009</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471/2009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stanovení hodnot bodu, výše úhrad zdravotní péče hrazené z veřejného zdravotního pojištění a regulačních omezení objemu poskytnuté zdravotní péče hrazené z veřejného zdravotního pojištění pro rok 2010</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396/2010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stanovení hodnot bodu, výše úhrad zdravotní péče hrazené z veřejného zdravotního pojištění a regulačních omezení objemu poskytnuté zdravotní péče hrazené z veřejného zdravotního pojištění pro rok 2011</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372/2011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zdravotních službách a podmínkách jejich poskytování (zákon o zdravotních službách)</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373/2011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specifických zdravotních službách</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374/2011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zdravotnické záchranné službě</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376/2011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kterou se provádějí některá ustanovení zákona o veřejném zdravotním pojištění</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425/2011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stanovení hodnot bodu, výše úhrad zdravotní péče hrazené z veřejného zdravotního pojištění a regulačních omezení objemu poskytnuté zdravotní péče hrazené z veřejného zdravotního pojištění pro rok 2012</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39/2012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Ministerstva zdravotnictví (MZ) o dispenzární péči</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70/2012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preventivních prohlídkách</w:t>
            </w:r>
          </w:p>
        </w:tc>
      </w:tr>
      <w:tr w:rsidR="00E71467" w:rsidRPr="004240F2" w:rsidTr="004240F2">
        <w:trPr>
          <w:jc w:val="center"/>
        </w:trPr>
        <w:tc>
          <w:tcPr>
            <w:tcW w:w="1560"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92/2012 Sb.</w:t>
            </w:r>
          </w:p>
        </w:tc>
        <w:tc>
          <w:tcPr>
            <w:tcW w:w="6945"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MZ o požadavcích na minimální technické a věcné vybavení zdravotnických zařízení a kontaktních pracovišť domácí péče</w:t>
            </w: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99/2012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MZ o požadavcích na minimální personální zabezpečení zdravotních služeb</w:t>
            </w:r>
          </w:p>
        </w:tc>
      </w:tr>
      <w:tr w:rsidR="00E71467" w:rsidRPr="004240F2" w:rsidTr="003D6811">
        <w:trPr>
          <w:jc w:val="center"/>
        </w:trPr>
        <w:tc>
          <w:tcPr>
            <w:tcW w:w="1560" w:type="dxa"/>
            <w:shd w:val="clear" w:color="auto" w:fill="F2DBDB"/>
            <w:noWrap/>
            <w:vAlign w:val="center"/>
          </w:tcPr>
          <w:p w:rsidR="00E71467" w:rsidRPr="004240F2" w:rsidRDefault="00E71467" w:rsidP="00E71467">
            <w:pPr>
              <w:rPr>
                <w:rFonts w:ascii="Arial" w:eastAsia="Calibri" w:hAnsi="Arial" w:cs="Arial"/>
                <w:sz w:val="16"/>
                <w:szCs w:val="16"/>
                <w:lang w:eastAsia="en-US"/>
              </w:rPr>
            </w:pPr>
          </w:p>
        </w:tc>
        <w:tc>
          <w:tcPr>
            <w:tcW w:w="6945" w:type="dxa"/>
            <w:shd w:val="clear" w:color="auto" w:fill="F2DBDB"/>
            <w:noWrap/>
            <w:vAlign w:val="center"/>
          </w:tcPr>
          <w:p w:rsidR="00E71467" w:rsidRPr="004240F2" w:rsidRDefault="00E71467" w:rsidP="00E71467">
            <w:pPr>
              <w:rPr>
                <w:rFonts w:ascii="Arial" w:eastAsia="Calibri" w:hAnsi="Arial" w:cs="Arial"/>
                <w:sz w:val="16"/>
                <w:szCs w:val="16"/>
                <w:lang w:eastAsia="en-US"/>
              </w:rPr>
            </w:pPr>
          </w:p>
        </w:tc>
      </w:tr>
      <w:tr w:rsidR="00E71467" w:rsidRPr="004240F2" w:rsidTr="004240F2">
        <w:trPr>
          <w:jc w:val="center"/>
        </w:trPr>
        <w:tc>
          <w:tcPr>
            <w:tcW w:w="1560"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307/2012 Sb.</w:t>
            </w:r>
          </w:p>
        </w:tc>
        <w:tc>
          <w:tcPr>
            <w:tcW w:w="6945"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Nařízení vlády o místní a časové dostupnosti zdravotních služeb</w:t>
            </w:r>
          </w:p>
        </w:tc>
      </w:tr>
      <w:tr w:rsidR="00E71467" w:rsidRPr="004240F2" w:rsidTr="003D6811">
        <w:trPr>
          <w:jc w:val="center"/>
        </w:trPr>
        <w:tc>
          <w:tcPr>
            <w:tcW w:w="1560" w:type="dxa"/>
            <w:shd w:val="clear" w:color="auto" w:fill="F2DBDB"/>
            <w:noWrap/>
            <w:vAlign w:val="center"/>
          </w:tcPr>
          <w:p w:rsidR="00E71467" w:rsidRPr="004240F2" w:rsidRDefault="00E71467" w:rsidP="00E71467">
            <w:pPr>
              <w:rPr>
                <w:rFonts w:ascii="Arial" w:eastAsia="Calibri" w:hAnsi="Arial" w:cs="Arial"/>
                <w:sz w:val="16"/>
                <w:szCs w:val="16"/>
                <w:lang w:eastAsia="en-US"/>
              </w:rPr>
            </w:pPr>
          </w:p>
        </w:tc>
        <w:tc>
          <w:tcPr>
            <w:tcW w:w="6945" w:type="dxa"/>
            <w:shd w:val="clear" w:color="auto" w:fill="F2DBDB"/>
            <w:noWrap/>
            <w:vAlign w:val="center"/>
          </w:tcPr>
          <w:p w:rsidR="00E71467" w:rsidRPr="004240F2" w:rsidRDefault="00E71467" w:rsidP="00E71467">
            <w:pPr>
              <w:rPr>
                <w:rFonts w:ascii="Arial" w:eastAsia="Calibri" w:hAnsi="Arial" w:cs="Arial"/>
                <w:sz w:val="16"/>
                <w:szCs w:val="16"/>
                <w:lang w:eastAsia="en-US"/>
              </w:rPr>
            </w:pPr>
          </w:p>
        </w:tc>
      </w:tr>
    </w:tbl>
    <w:p w:rsidR="00E71467" w:rsidRDefault="00E71467" w:rsidP="00E71467">
      <w:pPr>
        <w:rPr>
          <w:rFonts w:eastAsia="Calibri"/>
          <w:b/>
          <w:szCs w:val="22"/>
          <w:lang w:eastAsia="en-US"/>
        </w:rPr>
      </w:pPr>
    </w:p>
    <w:p w:rsidR="00E71467" w:rsidRDefault="00E71467" w:rsidP="00E71467">
      <w:pPr>
        <w:rPr>
          <w:rFonts w:eastAsia="Calibri"/>
          <w:b/>
          <w:szCs w:val="22"/>
          <w:lang w:eastAsia="en-US"/>
        </w:rPr>
      </w:pPr>
    </w:p>
    <w:p w:rsidR="00E71467" w:rsidRDefault="00E71467" w:rsidP="00E71467">
      <w:pPr>
        <w:rPr>
          <w:rFonts w:eastAsia="Calibri"/>
          <w:b/>
          <w:szCs w:val="22"/>
          <w:lang w:eastAsia="en-US"/>
        </w:rPr>
      </w:pPr>
    </w:p>
    <w:p w:rsidR="00E71467" w:rsidRPr="000F2715" w:rsidRDefault="00E71467" w:rsidP="00A4749D">
      <w:pPr>
        <w:numPr>
          <w:ilvl w:val="0"/>
          <w:numId w:val="35"/>
        </w:numPr>
        <w:spacing w:before="120" w:after="120"/>
        <w:jc w:val="both"/>
        <w:rPr>
          <w:rFonts w:eastAsia="Calibri"/>
          <w:szCs w:val="22"/>
          <w:lang w:eastAsia="ar-SA"/>
        </w:rPr>
      </w:pPr>
      <w:r w:rsidRPr="00E71467">
        <w:rPr>
          <w:rFonts w:eastAsia="Calibri"/>
          <w:szCs w:val="22"/>
          <w:lang w:eastAsia="ar-SA"/>
        </w:rPr>
        <w:lastRenderedPageBreak/>
        <w:t>V oblasti veřejné správy a její elektronizace: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1701"/>
        <w:gridCol w:w="6809"/>
      </w:tblGrid>
      <w:tr w:rsidR="00E71467" w:rsidRPr="004240F2" w:rsidTr="004240F2">
        <w:trPr>
          <w:jc w:val="center"/>
        </w:trPr>
        <w:tc>
          <w:tcPr>
            <w:tcW w:w="1701" w:type="dxa"/>
            <w:shd w:val="clear" w:color="auto" w:fill="A50021"/>
            <w:noWrap/>
            <w:vAlign w:val="center"/>
          </w:tcPr>
          <w:p w:rsidR="00E71467" w:rsidRPr="004240F2" w:rsidRDefault="00E71467" w:rsidP="00E71467">
            <w:pPr>
              <w:rPr>
                <w:rFonts w:ascii="Arial" w:eastAsia="Calibri" w:hAnsi="Arial" w:cs="Arial"/>
                <w:b/>
                <w:sz w:val="16"/>
                <w:szCs w:val="16"/>
                <w:lang w:eastAsia="en-US"/>
              </w:rPr>
            </w:pPr>
            <w:r w:rsidRPr="004240F2">
              <w:rPr>
                <w:rFonts w:ascii="Arial" w:eastAsia="Calibri" w:hAnsi="Arial" w:cs="Arial"/>
                <w:b/>
                <w:sz w:val="16"/>
                <w:szCs w:val="16"/>
                <w:lang w:eastAsia="en-US"/>
              </w:rPr>
              <w:t>Označení</w:t>
            </w:r>
          </w:p>
        </w:tc>
        <w:tc>
          <w:tcPr>
            <w:tcW w:w="6809" w:type="dxa"/>
            <w:shd w:val="clear" w:color="auto" w:fill="A50021"/>
            <w:noWrap/>
            <w:vAlign w:val="center"/>
          </w:tcPr>
          <w:p w:rsidR="00E71467" w:rsidRPr="004240F2" w:rsidRDefault="00E71467" w:rsidP="00E71467">
            <w:pPr>
              <w:rPr>
                <w:rFonts w:ascii="Arial" w:eastAsia="Calibri" w:hAnsi="Arial" w:cs="Arial"/>
                <w:b/>
                <w:sz w:val="16"/>
                <w:szCs w:val="16"/>
                <w:lang w:eastAsia="en-US"/>
              </w:rPr>
            </w:pPr>
            <w:r w:rsidRPr="004240F2">
              <w:rPr>
                <w:rFonts w:ascii="Arial" w:eastAsia="Calibri" w:hAnsi="Arial" w:cs="Arial"/>
                <w:b/>
                <w:sz w:val="16"/>
                <w:szCs w:val="16"/>
                <w:lang w:eastAsia="en-US"/>
              </w:rPr>
              <w:t>Název / Nadpis / Význam</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89/1995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státní statistické službě</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106/1999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svobodném přístupu k informacím</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227/2000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elektronickém podpisu a o změně některých dalších zákonů (zákon o elektronickém podpisu)</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365/2000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informačních systémech veřejné správy a o změně některých dalších zákonů</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320/2001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finanční kontrole</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416/2004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Prováděcí vyhláška k zákonu o finanční kontrole</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499/2004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archivnictví a spisové službě a o změně některých zákonů</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500/2004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Správní řád</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 xml:space="preserve">137/2006 Sb. </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veřejných zakázkách</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469/2006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informačním systému o datových prvcích</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528/2006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informačním systému o informačních systémech veřejné správy</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529/2006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požadavcích na strukturu a obsah informační koncepce a provozní dokumentace a o požadavcích na řízení bezpečnosti a kvality informačních systémů veřejné správy (vyhláška o dlouhodobém řízení informačních systémů veřejné správy)</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594/2006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Nařízení vlády o přepisu znaků do podoby, ve které se zobrazují v informačních systémech veřejné správy</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53/2007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referenčním rozhraní</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64/2008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formě uveřejňování informací souvisejících s výkonem veřejné správy prostřednictvím webových stránek pro osoby se zdravotním postižením (vyhláška o přístupnosti)</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300/2008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elektronických úkonech a autorizované konverzi dokumentů</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111/2009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základních registrech</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193/2009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stanovení podrobností provádění autorizované konverze dokumentů</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194/2009 Sb.</w:t>
            </w:r>
          </w:p>
        </w:tc>
        <w:tc>
          <w:tcPr>
            <w:tcW w:w="6809" w:type="dxa"/>
            <w:shd w:val="clear" w:color="auto" w:fill="FFFFFF"/>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Vyhláška o stanovení podrobností užívání a provozování informačního systému datových schránek</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458/2011 Sb.</w:t>
            </w:r>
          </w:p>
        </w:tc>
        <w:tc>
          <w:tcPr>
            <w:tcW w:w="6809" w:type="dxa"/>
            <w:shd w:val="clear" w:color="auto" w:fill="F2DBDB"/>
            <w:noWrap/>
            <w:vAlign w:val="center"/>
            <w:hideMark/>
          </w:tcPr>
          <w:p w:rsidR="00E71467" w:rsidRPr="004240F2" w:rsidRDefault="00E71467" w:rsidP="00E71467">
            <w:pPr>
              <w:rPr>
                <w:rFonts w:ascii="Arial" w:eastAsia="Calibri" w:hAnsi="Arial" w:cs="Arial"/>
                <w:sz w:val="16"/>
                <w:szCs w:val="16"/>
                <w:lang w:eastAsia="en-US"/>
              </w:rPr>
            </w:pPr>
            <w:r w:rsidRPr="004240F2">
              <w:rPr>
                <w:rFonts w:ascii="Arial" w:eastAsia="Calibri" w:hAnsi="Arial" w:cs="Arial"/>
                <w:sz w:val="16"/>
                <w:szCs w:val="16"/>
                <w:lang w:eastAsia="en-US"/>
              </w:rPr>
              <w:t>Zákon o změně zákonů související se zřízením jednoho inkasního místa a dalších změnách daňových a pojistných zákonů</w:t>
            </w:r>
          </w:p>
        </w:tc>
      </w:tr>
    </w:tbl>
    <w:p w:rsidR="00E71467" w:rsidRPr="00E71467" w:rsidRDefault="00E71467" w:rsidP="00E71467">
      <w:pPr>
        <w:rPr>
          <w:rFonts w:eastAsia="Calibri"/>
          <w:lang w:eastAsia="en-US"/>
        </w:rPr>
      </w:pPr>
    </w:p>
    <w:p w:rsidR="00E71467" w:rsidRPr="000F2715" w:rsidRDefault="00E71467" w:rsidP="00A4749D">
      <w:pPr>
        <w:numPr>
          <w:ilvl w:val="0"/>
          <w:numId w:val="35"/>
        </w:numPr>
        <w:spacing w:before="120" w:after="120"/>
        <w:jc w:val="both"/>
        <w:rPr>
          <w:rFonts w:eastAsia="Calibri"/>
          <w:szCs w:val="22"/>
          <w:lang w:eastAsia="ar-SA"/>
        </w:rPr>
      </w:pPr>
      <w:r w:rsidRPr="00E71467">
        <w:rPr>
          <w:rFonts w:eastAsia="Calibri"/>
          <w:szCs w:val="22"/>
          <w:lang w:eastAsia="ar-SA"/>
        </w:rPr>
        <w:t>V oblasti účetnictví a personálních agend:</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1701"/>
        <w:gridCol w:w="6908"/>
      </w:tblGrid>
      <w:tr w:rsidR="00E71467" w:rsidRPr="004240F2" w:rsidTr="004240F2">
        <w:trPr>
          <w:jc w:val="center"/>
        </w:trPr>
        <w:tc>
          <w:tcPr>
            <w:tcW w:w="1701" w:type="dxa"/>
            <w:shd w:val="clear" w:color="auto" w:fill="A50021"/>
            <w:noWrap/>
            <w:vAlign w:val="center"/>
          </w:tcPr>
          <w:p w:rsidR="00E71467" w:rsidRPr="004240F2" w:rsidRDefault="00E71467" w:rsidP="00E71467">
            <w:pPr>
              <w:rPr>
                <w:rFonts w:ascii="Arial" w:eastAsia="Calibri" w:hAnsi="Arial"/>
                <w:b/>
                <w:sz w:val="16"/>
                <w:szCs w:val="16"/>
                <w:lang w:eastAsia="en-US"/>
              </w:rPr>
            </w:pPr>
            <w:r w:rsidRPr="004240F2">
              <w:rPr>
                <w:rFonts w:ascii="Arial" w:eastAsia="Calibri" w:hAnsi="Arial"/>
                <w:b/>
                <w:sz w:val="16"/>
                <w:szCs w:val="16"/>
                <w:lang w:eastAsia="en-US"/>
              </w:rPr>
              <w:t>Označení</w:t>
            </w:r>
          </w:p>
        </w:tc>
        <w:tc>
          <w:tcPr>
            <w:tcW w:w="6908" w:type="dxa"/>
            <w:shd w:val="clear" w:color="auto" w:fill="A50021"/>
            <w:noWrap/>
            <w:vAlign w:val="center"/>
          </w:tcPr>
          <w:p w:rsidR="00E71467" w:rsidRPr="004240F2" w:rsidRDefault="00E71467" w:rsidP="00E71467">
            <w:pPr>
              <w:rPr>
                <w:rFonts w:ascii="Arial" w:eastAsia="Calibri" w:hAnsi="Arial"/>
                <w:b/>
                <w:sz w:val="16"/>
                <w:szCs w:val="16"/>
                <w:lang w:eastAsia="en-US"/>
              </w:rPr>
            </w:pPr>
            <w:r w:rsidRPr="004240F2">
              <w:rPr>
                <w:rFonts w:ascii="Arial" w:eastAsia="Calibri" w:hAnsi="Arial"/>
                <w:b/>
                <w:sz w:val="16"/>
                <w:szCs w:val="16"/>
                <w:lang w:eastAsia="en-US"/>
              </w:rPr>
              <w:t>Název / Nadpis / Význam</w:t>
            </w:r>
          </w:p>
        </w:tc>
      </w:tr>
      <w:tr w:rsidR="00E71467" w:rsidRPr="004240F2" w:rsidTr="004240F2">
        <w:trPr>
          <w:jc w:val="center"/>
        </w:trPr>
        <w:tc>
          <w:tcPr>
            <w:tcW w:w="1701" w:type="dxa"/>
            <w:shd w:val="clear" w:color="auto" w:fill="FFFFFF"/>
            <w:noWrap/>
            <w:vAlign w:val="center"/>
            <w:hideMark/>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563/1991 Sb.</w:t>
            </w:r>
          </w:p>
        </w:tc>
        <w:tc>
          <w:tcPr>
            <w:tcW w:w="6908" w:type="dxa"/>
            <w:shd w:val="clear" w:color="auto" w:fill="FFFFFF"/>
            <w:noWrap/>
            <w:vAlign w:val="center"/>
            <w:hideMark/>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Zákon o účetnictví</w:t>
            </w:r>
          </w:p>
        </w:tc>
      </w:tr>
      <w:tr w:rsidR="00E71467" w:rsidRPr="004240F2" w:rsidTr="004240F2">
        <w:trPr>
          <w:jc w:val="center"/>
        </w:trPr>
        <w:tc>
          <w:tcPr>
            <w:tcW w:w="1701" w:type="dxa"/>
            <w:shd w:val="clear" w:color="auto" w:fill="F2DBDB"/>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586/1992 Sb.</w:t>
            </w:r>
          </w:p>
        </w:tc>
        <w:tc>
          <w:tcPr>
            <w:tcW w:w="6908" w:type="dxa"/>
            <w:shd w:val="clear" w:color="auto" w:fill="F2DBDB"/>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Zákon o daních z příjmů</w:t>
            </w:r>
          </w:p>
        </w:tc>
      </w:tr>
      <w:tr w:rsidR="00E71467" w:rsidRPr="004240F2" w:rsidTr="004240F2">
        <w:trPr>
          <w:jc w:val="center"/>
        </w:trPr>
        <w:tc>
          <w:tcPr>
            <w:tcW w:w="1701"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593/1992 Sb.</w:t>
            </w:r>
          </w:p>
        </w:tc>
        <w:tc>
          <w:tcPr>
            <w:tcW w:w="6908"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Zákon o rezervách</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503/2002 Sb.</w:t>
            </w:r>
          </w:p>
        </w:tc>
        <w:tc>
          <w:tcPr>
            <w:tcW w:w="6908" w:type="dxa"/>
            <w:shd w:val="clear" w:color="auto" w:fill="F2DBDB"/>
            <w:noWrap/>
            <w:vAlign w:val="center"/>
            <w:hideMark/>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Prováděcí vyhláška k účetnictví pro zdravotní pojišťovny</w:t>
            </w:r>
          </w:p>
        </w:tc>
      </w:tr>
      <w:tr w:rsidR="00E71467" w:rsidRPr="004240F2" w:rsidTr="004240F2">
        <w:trPr>
          <w:jc w:val="center"/>
        </w:trPr>
        <w:tc>
          <w:tcPr>
            <w:tcW w:w="1701"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503/2002 Sb.</w:t>
            </w:r>
          </w:p>
        </w:tc>
        <w:tc>
          <w:tcPr>
            <w:tcW w:w="6908"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Vyhláška, obsahující české účetní standardy pro účetní jednotky</w:t>
            </w:r>
          </w:p>
        </w:tc>
      </w:tr>
      <w:tr w:rsidR="00E71467" w:rsidRPr="004240F2" w:rsidTr="004240F2">
        <w:trPr>
          <w:jc w:val="center"/>
        </w:trPr>
        <w:tc>
          <w:tcPr>
            <w:tcW w:w="1701" w:type="dxa"/>
            <w:shd w:val="clear" w:color="auto" w:fill="F2DBDB"/>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418/2003 Sb.</w:t>
            </w:r>
          </w:p>
        </w:tc>
        <w:tc>
          <w:tcPr>
            <w:tcW w:w="6908" w:type="dxa"/>
            <w:shd w:val="clear" w:color="auto" w:fill="F2DBDB"/>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Vyhláška, kterou se stanoví podrobnější vymezení okruhu a výše příjmů a výdajů fondů veřejného zdravotního pojištění zdravotních pojišťoven, podmínky jejich tvorby, užití, přípustnosti vzájemných převodů finančních prostředků a hospodaření s nimi, limit nákladů na činnost zdravotních pojišťoven krytých ze zdrojů základního fondu včetně postupu propočtu tohoto limitu.</w:t>
            </w:r>
          </w:p>
        </w:tc>
      </w:tr>
      <w:tr w:rsidR="00E71467" w:rsidRPr="004240F2" w:rsidTr="004240F2">
        <w:trPr>
          <w:jc w:val="center"/>
        </w:trPr>
        <w:tc>
          <w:tcPr>
            <w:tcW w:w="1701"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235/2004 Sb.</w:t>
            </w:r>
          </w:p>
        </w:tc>
        <w:tc>
          <w:tcPr>
            <w:tcW w:w="6908"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Zákon o dani z přidané hodnoty</w:t>
            </w:r>
          </w:p>
        </w:tc>
      </w:tr>
      <w:tr w:rsidR="00E71467" w:rsidRPr="004240F2" w:rsidTr="004240F2">
        <w:trPr>
          <w:jc w:val="center"/>
        </w:trPr>
        <w:tc>
          <w:tcPr>
            <w:tcW w:w="1701" w:type="dxa"/>
            <w:shd w:val="clear" w:color="auto" w:fill="F2DBDB"/>
            <w:noWrap/>
            <w:vAlign w:val="center"/>
            <w:hideMark/>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262/2006 Sb.</w:t>
            </w:r>
          </w:p>
        </w:tc>
        <w:tc>
          <w:tcPr>
            <w:tcW w:w="6908" w:type="dxa"/>
            <w:shd w:val="clear" w:color="auto" w:fill="F2DBDB"/>
            <w:noWrap/>
            <w:vAlign w:val="center"/>
            <w:hideMark/>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Zákoník práce</w:t>
            </w:r>
          </w:p>
        </w:tc>
      </w:tr>
      <w:tr w:rsidR="00E71467" w:rsidRPr="004240F2" w:rsidTr="004240F2">
        <w:trPr>
          <w:jc w:val="center"/>
        </w:trPr>
        <w:tc>
          <w:tcPr>
            <w:tcW w:w="1701"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284/2009 Sb.</w:t>
            </w:r>
          </w:p>
        </w:tc>
        <w:tc>
          <w:tcPr>
            <w:tcW w:w="6908" w:type="dxa"/>
            <w:shd w:val="clear" w:color="auto" w:fill="FFFFFF"/>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Zákon o platebním styku</w:t>
            </w:r>
          </w:p>
        </w:tc>
      </w:tr>
      <w:tr w:rsidR="00E71467" w:rsidRPr="004240F2" w:rsidTr="004240F2">
        <w:trPr>
          <w:jc w:val="center"/>
        </w:trPr>
        <w:tc>
          <w:tcPr>
            <w:tcW w:w="1701" w:type="dxa"/>
            <w:shd w:val="clear" w:color="auto" w:fill="F2DBDB"/>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190/2004 Sb.</w:t>
            </w:r>
          </w:p>
        </w:tc>
        <w:tc>
          <w:tcPr>
            <w:tcW w:w="6908" w:type="dxa"/>
            <w:shd w:val="clear" w:color="auto" w:fill="F2DBDB"/>
            <w:noWrap/>
            <w:vAlign w:val="center"/>
          </w:tcPr>
          <w:p w:rsidR="00E71467" w:rsidRPr="004240F2" w:rsidRDefault="00E71467" w:rsidP="00E71467">
            <w:pPr>
              <w:rPr>
                <w:rFonts w:ascii="Arial" w:eastAsia="Calibri" w:hAnsi="Arial"/>
                <w:sz w:val="16"/>
                <w:szCs w:val="16"/>
                <w:lang w:eastAsia="en-US"/>
              </w:rPr>
            </w:pPr>
            <w:r w:rsidRPr="004240F2">
              <w:rPr>
                <w:rFonts w:ascii="Arial" w:eastAsia="Calibri" w:hAnsi="Arial"/>
                <w:sz w:val="16"/>
                <w:szCs w:val="16"/>
                <w:lang w:eastAsia="en-US"/>
              </w:rPr>
              <w:t>Zákon o dluhopisech</w:t>
            </w:r>
          </w:p>
        </w:tc>
      </w:tr>
    </w:tbl>
    <w:p w:rsidR="00E71467" w:rsidRPr="00E71467" w:rsidRDefault="00E71467" w:rsidP="00E71467">
      <w:pPr>
        <w:tabs>
          <w:tab w:val="left" w:pos="6672"/>
        </w:tabs>
        <w:rPr>
          <w:rFonts w:eastAsia="Calibri"/>
          <w:lang w:eastAsia="en-US"/>
        </w:rPr>
      </w:pPr>
      <w:r w:rsidRPr="00E71467">
        <w:rPr>
          <w:rFonts w:eastAsia="Calibri"/>
          <w:lang w:eastAsia="en-US"/>
        </w:rPr>
        <w:tab/>
      </w:r>
    </w:p>
    <w:p w:rsidR="00E71467" w:rsidRPr="00E71467" w:rsidRDefault="00E71467" w:rsidP="00A4749D">
      <w:pPr>
        <w:numPr>
          <w:ilvl w:val="0"/>
          <w:numId w:val="35"/>
        </w:numPr>
        <w:spacing w:before="120" w:after="120"/>
        <w:jc w:val="both"/>
        <w:rPr>
          <w:rFonts w:eastAsia="Calibri"/>
          <w:szCs w:val="22"/>
          <w:lang w:eastAsia="ar-SA"/>
        </w:rPr>
      </w:pPr>
      <w:r w:rsidRPr="00E71467">
        <w:rPr>
          <w:rFonts w:eastAsia="Calibri"/>
          <w:szCs w:val="22"/>
          <w:lang w:eastAsia="ar-SA"/>
        </w:rPr>
        <w:lastRenderedPageBreak/>
        <w:t>Dalšími dokumenty, které určují pravidla relevantní k ICIS, jsou tyto:</w:t>
      </w:r>
    </w:p>
    <w:p w:rsidR="00E71467" w:rsidRPr="00E71467" w:rsidRDefault="00E71467" w:rsidP="00A4749D">
      <w:pPr>
        <w:numPr>
          <w:ilvl w:val="0"/>
          <w:numId w:val="18"/>
        </w:numPr>
        <w:spacing w:before="120" w:after="120"/>
        <w:ind w:left="993" w:hanging="284"/>
        <w:jc w:val="both"/>
        <w:rPr>
          <w:rFonts w:eastAsia="Calibri"/>
          <w:szCs w:val="22"/>
          <w:lang w:eastAsia="ar-SA"/>
        </w:rPr>
      </w:pPr>
      <w:r w:rsidRPr="00E71467">
        <w:rPr>
          <w:rFonts w:eastAsia="Calibri"/>
          <w:szCs w:val="22"/>
          <w:lang w:eastAsia="ar-SA"/>
        </w:rPr>
        <w:t>Metodika pro pořizování a předávání dokladů VZP ČR</w:t>
      </w:r>
      <w:r w:rsidR="000F2715">
        <w:rPr>
          <w:rFonts w:eastAsia="Calibri"/>
          <w:szCs w:val="22"/>
          <w:lang w:eastAsia="ar-SA"/>
        </w:rPr>
        <w:t>,</w:t>
      </w:r>
    </w:p>
    <w:p w:rsidR="00E71467" w:rsidRPr="00E71467" w:rsidRDefault="00E71467" w:rsidP="00A4749D">
      <w:pPr>
        <w:numPr>
          <w:ilvl w:val="0"/>
          <w:numId w:val="18"/>
        </w:numPr>
        <w:spacing w:before="120" w:after="120"/>
        <w:ind w:left="993" w:hanging="284"/>
        <w:jc w:val="both"/>
        <w:rPr>
          <w:rFonts w:eastAsia="Calibri"/>
          <w:szCs w:val="22"/>
          <w:lang w:eastAsia="ar-SA"/>
        </w:rPr>
      </w:pPr>
      <w:r w:rsidRPr="00E71467">
        <w:rPr>
          <w:rFonts w:eastAsia="Calibri"/>
          <w:szCs w:val="22"/>
          <w:lang w:eastAsia="ar-SA"/>
        </w:rPr>
        <w:t>Datové rozhraní VZP ČR – číselníky</w:t>
      </w:r>
      <w:r w:rsidR="000F2715">
        <w:rPr>
          <w:rFonts w:eastAsia="Calibri"/>
          <w:szCs w:val="22"/>
          <w:lang w:eastAsia="ar-SA"/>
        </w:rPr>
        <w:t>,</w:t>
      </w:r>
    </w:p>
    <w:p w:rsidR="00E71467" w:rsidRPr="00E71467" w:rsidRDefault="00E71467" w:rsidP="00A4749D">
      <w:pPr>
        <w:numPr>
          <w:ilvl w:val="0"/>
          <w:numId w:val="18"/>
        </w:numPr>
        <w:spacing w:before="120" w:after="120"/>
        <w:ind w:left="993" w:hanging="284"/>
        <w:jc w:val="both"/>
        <w:rPr>
          <w:rFonts w:eastAsia="Calibri"/>
          <w:szCs w:val="22"/>
          <w:lang w:eastAsia="ar-SA"/>
        </w:rPr>
      </w:pPr>
      <w:r w:rsidRPr="00E71467">
        <w:rPr>
          <w:rFonts w:eastAsia="Calibri"/>
          <w:szCs w:val="22"/>
          <w:lang w:eastAsia="ar-SA"/>
        </w:rPr>
        <w:t>Datové rozhraní VZP ČR – individuální doklady</w:t>
      </w:r>
      <w:r w:rsidR="000F2715">
        <w:rPr>
          <w:rFonts w:eastAsia="Calibri"/>
          <w:szCs w:val="22"/>
          <w:lang w:eastAsia="ar-SA"/>
        </w:rPr>
        <w:t>,</w:t>
      </w:r>
    </w:p>
    <w:p w:rsidR="00E71467" w:rsidRPr="00E71467" w:rsidRDefault="00E71467" w:rsidP="00A4749D">
      <w:pPr>
        <w:numPr>
          <w:ilvl w:val="0"/>
          <w:numId w:val="18"/>
        </w:numPr>
        <w:spacing w:before="120" w:after="120"/>
        <w:ind w:left="993" w:hanging="284"/>
        <w:jc w:val="both"/>
        <w:rPr>
          <w:rFonts w:eastAsia="Calibri"/>
          <w:szCs w:val="22"/>
          <w:lang w:eastAsia="ar-SA"/>
        </w:rPr>
      </w:pPr>
      <w:r w:rsidRPr="00E71467">
        <w:rPr>
          <w:rFonts w:eastAsia="Calibri"/>
          <w:szCs w:val="22"/>
          <w:lang w:eastAsia="ar-SA"/>
        </w:rPr>
        <w:t>Datové rozhraní VZP ČR – speciální rozhraní</w:t>
      </w:r>
      <w:r w:rsidR="000F2715">
        <w:rPr>
          <w:rFonts w:eastAsia="Calibri"/>
          <w:szCs w:val="22"/>
          <w:lang w:eastAsia="ar-SA"/>
        </w:rPr>
        <w:t>,</w:t>
      </w:r>
    </w:p>
    <w:p w:rsidR="00E71467" w:rsidRPr="00E71467" w:rsidRDefault="00E71467" w:rsidP="00A4749D">
      <w:pPr>
        <w:numPr>
          <w:ilvl w:val="0"/>
          <w:numId w:val="18"/>
        </w:numPr>
        <w:spacing w:before="120" w:after="120"/>
        <w:ind w:left="993" w:hanging="284"/>
        <w:jc w:val="both"/>
        <w:rPr>
          <w:rFonts w:eastAsia="Calibri"/>
          <w:szCs w:val="22"/>
          <w:lang w:eastAsia="ar-SA"/>
        </w:rPr>
      </w:pPr>
      <w:r w:rsidRPr="00E71467">
        <w:rPr>
          <w:rFonts w:eastAsia="Calibri"/>
          <w:szCs w:val="22"/>
          <w:lang w:eastAsia="ar-SA"/>
        </w:rPr>
        <w:t>Pravidla pro vyhodnocování dokladů ve VZP ČR</w:t>
      </w:r>
      <w:r w:rsidR="000F2715">
        <w:rPr>
          <w:rFonts w:eastAsia="Calibri"/>
          <w:szCs w:val="22"/>
          <w:lang w:eastAsia="ar-SA"/>
        </w:rPr>
        <w:t>,</w:t>
      </w:r>
    </w:p>
    <w:p w:rsidR="00E71467" w:rsidRPr="000F2715" w:rsidRDefault="00E71467" w:rsidP="00A4749D">
      <w:pPr>
        <w:numPr>
          <w:ilvl w:val="0"/>
          <w:numId w:val="18"/>
        </w:numPr>
        <w:spacing w:before="120" w:after="120"/>
        <w:ind w:left="993" w:hanging="284"/>
        <w:jc w:val="both"/>
        <w:rPr>
          <w:rFonts w:eastAsia="Calibri"/>
          <w:szCs w:val="22"/>
          <w:lang w:eastAsia="ar-SA"/>
        </w:rPr>
      </w:pPr>
      <w:r w:rsidRPr="00E71467">
        <w:rPr>
          <w:rFonts w:eastAsia="Calibri"/>
          <w:szCs w:val="22"/>
          <w:lang w:eastAsia="ar-SA"/>
        </w:rPr>
        <w:t>České účetní standardy pro zdravotní pojišťovny</w:t>
      </w:r>
      <w:r w:rsidR="000F2715">
        <w:rPr>
          <w:rFonts w:eastAsia="Calibri"/>
          <w:szCs w:val="22"/>
          <w:lang w:eastAsia="ar-SA"/>
        </w:rPr>
        <w:t>.</w:t>
      </w:r>
    </w:p>
    <w:p w:rsidR="00E71467" w:rsidRPr="00E71467" w:rsidRDefault="00E71467" w:rsidP="00E71467"/>
    <w:p w:rsidR="00E71467" w:rsidRPr="00E71467" w:rsidRDefault="00E71467" w:rsidP="00E71467"/>
    <w:p w:rsidR="00E71467" w:rsidRPr="00E71467" w:rsidRDefault="00E71467" w:rsidP="00E71467"/>
    <w:p w:rsidR="0054307F" w:rsidRPr="000F2715" w:rsidRDefault="00E71467" w:rsidP="000F2715">
      <w:pPr>
        <w:pStyle w:val="Nadpis1"/>
        <w:ind w:left="567" w:hanging="567"/>
        <w:jc w:val="both"/>
        <w:rPr>
          <w:rFonts w:ascii="Calibri" w:hAnsi="Calibri" w:cs="Calibri"/>
        </w:rPr>
      </w:pPr>
      <w:r>
        <w:br w:type="page"/>
      </w:r>
      <w:bookmarkStart w:id="5" w:name="_Toc385918705"/>
      <w:r w:rsidRPr="000F2715">
        <w:rPr>
          <w:rFonts w:ascii="Calibri" w:hAnsi="Calibri" w:cs="Calibri"/>
        </w:rPr>
        <w:lastRenderedPageBreak/>
        <w:t>P</w:t>
      </w:r>
      <w:r w:rsidRPr="000F2715">
        <w:rPr>
          <w:rFonts w:ascii="Calibri" w:eastAsia="Calibri" w:hAnsi="Calibri" w:cs="Calibri"/>
        </w:rPr>
        <w:t xml:space="preserve">ravidla pro vytvoření harmonogramu plnění, na základě kterých </w:t>
      </w:r>
      <w:r w:rsidR="00EB3952">
        <w:rPr>
          <w:rFonts w:ascii="Calibri" w:eastAsia="Calibri" w:hAnsi="Calibri" w:cs="Calibri"/>
        </w:rPr>
        <w:t>d</w:t>
      </w:r>
      <w:r w:rsidR="000F7926">
        <w:rPr>
          <w:rFonts w:ascii="Calibri" w:eastAsia="Calibri" w:hAnsi="Calibri" w:cs="Calibri"/>
        </w:rPr>
        <w:t>odavatel</w:t>
      </w:r>
      <w:r w:rsidRPr="000F2715">
        <w:rPr>
          <w:rFonts w:ascii="Calibri" w:eastAsia="Calibri" w:hAnsi="Calibri" w:cs="Calibri"/>
        </w:rPr>
        <w:t xml:space="preserve"> připraví příslušnou přílohu </w:t>
      </w:r>
      <w:r w:rsidR="00EB3952">
        <w:rPr>
          <w:rFonts w:ascii="Calibri" w:eastAsia="Calibri" w:hAnsi="Calibri" w:cs="Calibri"/>
        </w:rPr>
        <w:t>S</w:t>
      </w:r>
      <w:r w:rsidRPr="000F2715">
        <w:rPr>
          <w:rFonts w:ascii="Calibri" w:eastAsia="Calibri" w:hAnsi="Calibri" w:cs="Calibri"/>
        </w:rPr>
        <w:t>mlouvy</w:t>
      </w:r>
      <w:r w:rsidR="0054307F" w:rsidRPr="000F2715">
        <w:rPr>
          <w:rFonts w:ascii="Calibri" w:eastAsia="Calibri" w:hAnsi="Calibri" w:cs="Calibri"/>
        </w:rPr>
        <w:t xml:space="preserve"> o </w:t>
      </w:r>
      <w:r w:rsidR="003D5153">
        <w:rPr>
          <w:rFonts w:ascii="Calibri" w:eastAsia="Calibri" w:hAnsi="Calibri" w:cs="Calibri"/>
        </w:rPr>
        <w:t xml:space="preserve">vytvoření </w:t>
      </w:r>
      <w:bookmarkEnd w:id="5"/>
    </w:p>
    <w:p w:rsidR="00E71467" w:rsidRPr="002E31D0" w:rsidRDefault="00E71467" w:rsidP="0054307F">
      <w:pPr>
        <w:pStyle w:val="Bezmezer"/>
      </w:pPr>
      <w:r w:rsidRPr="002E31D0">
        <w:t xml:space="preserve"> </w:t>
      </w:r>
    </w:p>
    <w:p w:rsidR="00E71467" w:rsidRPr="00B35005" w:rsidRDefault="00E71467" w:rsidP="00523507">
      <w:pPr>
        <w:pStyle w:val="Odstavecseseznamem"/>
        <w:numPr>
          <w:ilvl w:val="6"/>
          <w:numId w:val="43"/>
        </w:numPr>
        <w:tabs>
          <w:tab w:val="clear" w:pos="4680"/>
          <w:tab w:val="num" w:pos="426"/>
        </w:tabs>
        <w:spacing w:before="120" w:after="120"/>
        <w:ind w:left="426"/>
        <w:contextualSpacing w:val="0"/>
        <w:rPr>
          <w:szCs w:val="24"/>
        </w:rPr>
      </w:pPr>
      <w:r w:rsidRPr="00B35005">
        <w:rPr>
          <w:szCs w:val="24"/>
        </w:rPr>
        <w:t xml:space="preserve">Nabídka </w:t>
      </w:r>
      <w:r w:rsidR="00EB3952">
        <w:rPr>
          <w:szCs w:val="24"/>
        </w:rPr>
        <w:t>d</w:t>
      </w:r>
      <w:r w:rsidR="000F7926">
        <w:rPr>
          <w:szCs w:val="24"/>
        </w:rPr>
        <w:t>odavatel</w:t>
      </w:r>
      <w:r w:rsidRPr="00B35005">
        <w:rPr>
          <w:szCs w:val="24"/>
        </w:rPr>
        <w:t xml:space="preserve">e musí obsahovat časový harmonogram plnění předmětu smlouvy s uvedením jednotlivých dílčích plnění (etap/fází) a termínů jejich plnění. </w:t>
      </w:r>
    </w:p>
    <w:p w:rsidR="00E71467" w:rsidRPr="00B35005" w:rsidRDefault="00E71467" w:rsidP="00523507">
      <w:pPr>
        <w:pStyle w:val="Odstavecseseznamem"/>
        <w:numPr>
          <w:ilvl w:val="6"/>
          <w:numId w:val="43"/>
        </w:numPr>
        <w:spacing w:before="120" w:after="120"/>
        <w:ind w:left="425" w:hanging="425"/>
        <w:contextualSpacing w:val="0"/>
        <w:rPr>
          <w:szCs w:val="24"/>
        </w:rPr>
      </w:pPr>
      <w:r w:rsidRPr="00B35005">
        <w:rPr>
          <w:szCs w:val="24"/>
        </w:rPr>
        <w:t xml:space="preserve">Maximální doba realizace projektu od data účinnosti této smlouvy do okamžiku nasazení celého ICIS v plném rozsahu technické a funkční analýzy do ostrého provozu akceptovaná </w:t>
      </w:r>
      <w:r w:rsidR="00EB3952">
        <w:rPr>
          <w:szCs w:val="24"/>
        </w:rPr>
        <w:t>zadavatelem</w:t>
      </w:r>
      <w:r w:rsidR="00EB3952" w:rsidRPr="00B35005">
        <w:rPr>
          <w:szCs w:val="24"/>
        </w:rPr>
        <w:t xml:space="preserve"> </w:t>
      </w:r>
      <w:r w:rsidRPr="00B35005">
        <w:rPr>
          <w:szCs w:val="24"/>
        </w:rPr>
        <w:t>je 30 měsíců</w:t>
      </w:r>
      <w:r w:rsidR="00EB3952">
        <w:rPr>
          <w:szCs w:val="24"/>
        </w:rPr>
        <w:t xml:space="preserve"> (pro účely tohoto zadávacího řízení se 30 kalendářních měsíců považuje za 913 kalendářních dnů)</w:t>
      </w:r>
      <w:r w:rsidRPr="00B35005">
        <w:rPr>
          <w:szCs w:val="24"/>
        </w:rPr>
        <w:t>. Nedodržení tohoto limitu v nabídce znamená vyřazení nabídky. Uvedený termín je nejzazší možný, avšak neznemožňuje nasazování po částech</w:t>
      </w:r>
      <w:r w:rsidR="0054307F" w:rsidRPr="00B35005">
        <w:rPr>
          <w:szCs w:val="24"/>
        </w:rPr>
        <w:t xml:space="preserve">. </w:t>
      </w:r>
      <w:r w:rsidR="00EB3952">
        <w:rPr>
          <w:szCs w:val="24"/>
        </w:rPr>
        <w:t>Zadavatel</w:t>
      </w:r>
      <w:r w:rsidR="00EB3952" w:rsidRPr="00B35005">
        <w:rPr>
          <w:szCs w:val="24"/>
        </w:rPr>
        <w:t xml:space="preserve"> </w:t>
      </w:r>
      <w:r w:rsidR="0054307F" w:rsidRPr="00B35005">
        <w:rPr>
          <w:szCs w:val="24"/>
        </w:rPr>
        <w:t>preferuje nasazení díla k prvnímu lednu.</w:t>
      </w:r>
      <w:r w:rsidRPr="00B35005">
        <w:rPr>
          <w:szCs w:val="24"/>
        </w:rPr>
        <w:t xml:space="preserve">  </w:t>
      </w:r>
    </w:p>
    <w:p w:rsidR="00E71467" w:rsidRPr="00B35005" w:rsidRDefault="00EB3952" w:rsidP="00523507">
      <w:pPr>
        <w:pStyle w:val="Odstavecseseznamem"/>
        <w:numPr>
          <w:ilvl w:val="6"/>
          <w:numId w:val="43"/>
        </w:numPr>
        <w:spacing w:before="120" w:after="120"/>
        <w:ind w:left="425" w:hanging="425"/>
        <w:contextualSpacing w:val="0"/>
        <w:rPr>
          <w:szCs w:val="24"/>
        </w:rPr>
      </w:pPr>
      <w:r>
        <w:rPr>
          <w:szCs w:val="24"/>
        </w:rPr>
        <w:t>Zadavatelem</w:t>
      </w:r>
      <w:r w:rsidRPr="00B35005">
        <w:rPr>
          <w:szCs w:val="24"/>
        </w:rPr>
        <w:t xml:space="preserve"> </w:t>
      </w:r>
      <w:r w:rsidR="00E71467" w:rsidRPr="00B35005">
        <w:rPr>
          <w:szCs w:val="24"/>
        </w:rPr>
        <w:t xml:space="preserve">je požadována fáze ostrého provozu se zvýšenou podporou a trvalou přítomností zástupce řešitelského týmu </w:t>
      </w:r>
      <w:r>
        <w:rPr>
          <w:szCs w:val="24"/>
        </w:rPr>
        <w:t>d</w:t>
      </w:r>
      <w:r w:rsidR="000F7926">
        <w:rPr>
          <w:szCs w:val="24"/>
        </w:rPr>
        <w:t>odavatel</w:t>
      </w:r>
      <w:r w:rsidR="00E71467" w:rsidRPr="00B35005">
        <w:rPr>
          <w:szCs w:val="24"/>
        </w:rPr>
        <w:t xml:space="preserve">e na pracovišti </w:t>
      </w:r>
      <w:r>
        <w:rPr>
          <w:szCs w:val="24"/>
        </w:rPr>
        <w:t>zadavatele</w:t>
      </w:r>
      <w:r w:rsidR="00E71467" w:rsidRPr="00B35005">
        <w:rPr>
          <w:szCs w:val="24"/>
        </w:rPr>
        <w:t xml:space="preserve"> po dobu po dobu </w:t>
      </w:r>
      <w:r w:rsidR="00BA7E7B">
        <w:rPr>
          <w:szCs w:val="24"/>
        </w:rPr>
        <w:t>90 kalendářních dnů od uvedení do rutinního provozu</w:t>
      </w:r>
      <w:r w:rsidR="00B35005" w:rsidRPr="00B35005">
        <w:rPr>
          <w:szCs w:val="24"/>
        </w:rPr>
        <w:t>.</w:t>
      </w:r>
    </w:p>
    <w:p w:rsidR="00E71467" w:rsidRPr="00B35005" w:rsidRDefault="00D7626B" w:rsidP="00523507">
      <w:pPr>
        <w:pStyle w:val="Odstavecseseznamem"/>
        <w:numPr>
          <w:ilvl w:val="6"/>
          <w:numId w:val="43"/>
        </w:numPr>
        <w:spacing w:before="120" w:after="120"/>
        <w:ind w:left="425" w:hanging="425"/>
        <w:contextualSpacing w:val="0"/>
        <w:rPr>
          <w:szCs w:val="24"/>
        </w:rPr>
      </w:pPr>
      <w:r>
        <w:rPr>
          <w:szCs w:val="24"/>
        </w:rPr>
        <w:t>Zadavatelem</w:t>
      </w:r>
      <w:r w:rsidRPr="00B35005">
        <w:rPr>
          <w:szCs w:val="24"/>
        </w:rPr>
        <w:t xml:space="preserve"> </w:t>
      </w:r>
      <w:r w:rsidR="00E71467" w:rsidRPr="00B35005">
        <w:rPr>
          <w:szCs w:val="24"/>
        </w:rPr>
        <w:t>je v harmonogramu požadován minimální předstih akceptace závazné specifikace HW před termínem jeho instalace a konfigurace min. 10 měsíců</w:t>
      </w:r>
      <w:r w:rsidR="00CD1121">
        <w:rPr>
          <w:szCs w:val="24"/>
        </w:rPr>
        <w:t xml:space="preserve">, a to včetně HW nezbytného pro </w:t>
      </w:r>
      <w:r w:rsidR="0058658D">
        <w:rPr>
          <w:szCs w:val="24"/>
        </w:rPr>
        <w:t xml:space="preserve">testování, </w:t>
      </w:r>
      <w:r w:rsidR="00CD1121">
        <w:rPr>
          <w:szCs w:val="24"/>
        </w:rPr>
        <w:t>přípravu a provádění migrace dat</w:t>
      </w:r>
      <w:r w:rsidR="00E71467" w:rsidRPr="00B35005">
        <w:rPr>
          <w:szCs w:val="24"/>
        </w:rPr>
        <w:t>.</w:t>
      </w:r>
    </w:p>
    <w:p w:rsidR="00E71467" w:rsidRPr="00B35005" w:rsidRDefault="00E71467" w:rsidP="00523507">
      <w:pPr>
        <w:pStyle w:val="Odstavecseseznamem"/>
        <w:numPr>
          <w:ilvl w:val="6"/>
          <w:numId w:val="43"/>
        </w:numPr>
        <w:spacing w:before="120" w:after="120"/>
        <w:ind w:left="425" w:hanging="425"/>
        <w:contextualSpacing w:val="0"/>
        <w:rPr>
          <w:szCs w:val="24"/>
        </w:rPr>
      </w:pPr>
      <w:r w:rsidRPr="00B35005">
        <w:rPr>
          <w:szCs w:val="24"/>
        </w:rPr>
        <w:t xml:space="preserve">Z harmonogramu musí být zřejmý časový průběh všech základních fází projektu dle přílohy </w:t>
      </w:r>
      <w:r w:rsidR="00EB3952">
        <w:rPr>
          <w:szCs w:val="24"/>
        </w:rPr>
        <w:t>3 Smlouvy o vytvoření (P</w:t>
      </w:r>
      <w:r w:rsidR="00F24E19">
        <w:rPr>
          <w:szCs w:val="24"/>
        </w:rPr>
        <w:t>ravidla</w:t>
      </w:r>
      <w:r w:rsidR="00EB3952">
        <w:rPr>
          <w:szCs w:val="24"/>
        </w:rPr>
        <w:t xml:space="preserve"> řízení projektu)</w:t>
      </w:r>
      <w:r w:rsidRPr="00B35005">
        <w:rPr>
          <w:szCs w:val="24"/>
        </w:rPr>
        <w:t xml:space="preserve">, způsob a průběh nasazení ICIS (jako celek nebo po částech), způsob testování a nasazování systému ICIS v souladu se zajištěním souběhu s původními aplikacemi a kontinuity fungování </w:t>
      </w:r>
      <w:r w:rsidR="00D7626B">
        <w:rPr>
          <w:szCs w:val="24"/>
        </w:rPr>
        <w:t>zadavatele</w:t>
      </w:r>
      <w:r w:rsidR="00D7626B" w:rsidRPr="00B35005">
        <w:rPr>
          <w:szCs w:val="24"/>
        </w:rPr>
        <w:t xml:space="preserve"> </w:t>
      </w:r>
      <w:r w:rsidRPr="00B35005">
        <w:rPr>
          <w:szCs w:val="24"/>
        </w:rPr>
        <w:t xml:space="preserve">jako celku (zohlednit například: roční účetní uzávěrku, období implementace úhradové vyhlášky do praxe, období pro přehlašování pojištěnců mezi zdravotními pojišťovnami apod.). Ideálně by měl být v takových obdobích i minimalizován požadavek na součinnost </w:t>
      </w:r>
      <w:r w:rsidR="00D7626B">
        <w:rPr>
          <w:szCs w:val="24"/>
        </w:rPr>
        <w:t>zadavatele</w:t>
      </w:r>
      <w:r w:rsidRPr="00B35005">
        <w:rPr>
          <w:szCs w:val="24"/>
        </w:rPr>
        <w:t>.</w:t>
      </w:r>
    </w:p>
    <w:p w:rsidR="0054307F" w:rsidRPr="00B35005" w:rsidRDefault="00E71467" w:rsidP="00523507">
      <w:pPr>
        <w:pStyle w:val="Odstavecseseznamem"/>
        <w:numPr>
          <w:ilvl w:val="6"/>
          <w:numId w:val="43"/>
        </w:numPr>
        <w:spacing w:before="120" w:after="120"/>
        <w:ind w:left="425" w:hanging="425"/>
        <w:contextualSpacing w:val="0"/>
        <w:rPr>
          <w:szCs w:val="24"/>
        </w:rPr>
      </w:pPr>
      <w:r w:rsidRPr="00B35005">
        <w:rPr>
          <w:szCs w:val="24"/>
        </w:rPr>
        <w:t xml:space="preserve">V případě, že bude </w:t>
      </w:r>
      <w:r w:rsidR="00D7626B">
        <w:rPr>
          <w:szCs w:val="24"/>
        </w:rPr>
        <w:t>d</w:t>
      </w:r>
      <w:r w:rsidR="000F7926">
        <w:rPr>
          <w:szCs w:val="24"/>
        </w:rPr>
        <w:t>odavatel</w:t>
      </w:r>
      <w:r w:rsidRPr="00B35005">
        <w:rPr>
          <w:szCs w:val="24"/>
        </w:rPr>
        <w:t xml:space="preserve"> předkládat harmonogram s postupným náběhem dílčích modulů do produkčního provozu, měl by také detailně a věrohodně popsat, jak zajistí v daný okamžik technologické napojení těchto částí na další, doposud původní části řešení CIS. </w:t>
      </w:r>
      <w:r w:rsidR="000F7926">
        <w:rPr>
          <w:szCs w:val="24"/>
        </w:rPr>
        <w:t>Dodavatel</w:t>
      </w:r>
      <w:r w:rsidRPr="00B35005">
        <w:rPr>
          <w:szCs w:val="24"/>
        </w:rPr>
        <w:t xml:space="preserve"> nesmí takovéto zajištění nezbytného propojení apod. deklarovat jako očekávanou součinnost od </w:t>
      </w:r>
      <w:r w:rsidR="00D7626B">
        <w:rPr>
          <w:szCs w:val="24"/>
        </w:rPr>
        <w:t>zadavatele</w:t>
      </w:r>
      <w:r w:rsidRPr="00B35005">
        <w:rPr>
          <w:szCs w:val="24"/>
        </w:rPr>
        <w:t>.</w:t>
      </w:r>
    </w:p>
    <w:p w:rsidR="00E71467" w:rsidRPr="00B35005" w:rsidRDefault="00E71467" w:rsidP="00523507">
      <w:pPr>
        <w:pStyle w:val="Odstavecseseznamem"/>
        <w:numPr>
          <w:ilvl w:val="6"/>
          <w:numId w:val="43"/>
        </w:numPr>
        <w:spacing w:before="120" w:after="120"/>
        <w:ind w:left="425" w:hanging="425"/>
        <w:contextualSpacing w:val="0"/>
        <w:rPr>
          <w:szCs w:val="24"/>
        </w:rPr>
      </w:pPr>
      <w:r w:rsidRPr="00B35005">
        <w:rPr>
          <w:szCs w:val="24"/>
        </w:rPr>
        <w:t>Termíny budou navrženy v relativních hodnotách vůči termínu účinnosti smlouvy</w:t>
      </w:r>
      <w:r w:rsidR="00D7626B">
        <w:rPr>
          <w:szCs w:val="24"/>
        </w:rPr>
        <w:t xml:space="preserve"> „T“</w:t>
      </w:r>
      <w:r w:rsidRPr="00B35005">
        <w:rPr>
          <w:szCs w:val="24"/>
        </w:rPr>
        <w:t xml:space="preserve"> (např. </w:t>
      </w:r>
      <w:r w:rsidR="00D7626B">
        <w:rPr>
          <w:szCs w:val="24"/>
        </w:rPr>
        <w:t>T+</w:t>
      </w:r>
      <w:r w:rsidRPr="00B35005">
        <w:rPr>
          <w:szCs w:val="24"/>
        </w:rPr>
        <w:t>60 dnů)</w:t>
      </w:r>
      <w:r w:rsidR="00D7626B">
        <w:rPr>
          <w:szCs w:val="24"/>
        </w:rPr>
        <w:t>.</w:t>
      </w:r>
      <w:r w:rsidRPr="00B35005">
        <w:rPr>
          <w:szCs w:val="24"/>
        </w:rPr>
        <w:t xml:space="preserve"> </w:t>
      </w:r>
    </w:p>
    <w:p w:rsidR="00E71467" w:rsidRPr="00B35005" w:rsidRDefault="00E71467" w:rsidP="00523507">
      <w:pPr>
        <w:pStyle w:val="Odstavecseseznamem"/>
        <w:numPr>
          <w:ilvl w:val="6"/>
          <w:numId w:val="43"/>
        </w:numPr>
        <w:spacing w:before="120" w:after="120"/>
        <w:ind w:left="425" w:hanging="425"/>
        <w:contextualSpacing w:val="0"/>
        <w:rPr>
          <w:szCs w:val="24"/>
        </w:rPr>
      </w:pPr>
      <w:r w:rsidRPr="00B35005">
        <w:rPr>
          <w:szCs w:val="24"/>
        </w:rPr>
        <w:t>Harmonogram musí zahrnovat minimálně tyto uvedené milníky projektu:</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Akceptace iniciační fáze projektu (metodika, technika a organizace řízení projektu, týmové role)</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Akceptace globální analýzy a návrhu (</w:t>
      </w:r>
      <w:proofErr w:type="spellStart"/>
      <w:r w:rsidRPr="00E71467">
        <w:rPr>
          <w:rFonts w:eastAsia="Calibri"/>
          <w:szCs w:val="22"/>
          <w:lang w:eastAsia="ar-SA"/>
        </w:rPr>
        <w:t>Deadline</w:t>
      </w:r>
      <w:proofErr w:type="spellEnd"/>
      <w:r w:rsidRPr="00E71467">
        <w:rPr>
          <w:rFonts w:eastAsia="Calibri"/>
          <w:szCs w:val="22"/>
          <w:lang w:eastAsia="ar-SA"/>
        </w:rPr>
        <w:t xml:space="preserve"> pro předložení dokumentů fáze 1-6 a rozhodnutí o pokračování / ukončení realizace)</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 xml:space="preserve">Akceptace dopracované globální analýzy a návrhu (v případě předchozí neakceptace </w:t>
      </w:r>
      <w:r w:rsidR="002155F8">
        <w:rPr>
          <w:rFonts w:eastAsia="Calibri"/>
          <w:szCs w:val="22"/>
          <w:lang w:eastAsia="ar-SA"/>
        </w:rPr>
        <w:t>zadavatelem</w:t>
      </w:r>
      <w:r w:rsidRPr="00E71467">
        <w:rPr>
          <w:rFonts w:eastAsia="Calibri"/>
          <w:szCs w:val="22"/>
          <w:lang w:eastAsia="ar-SA"/>
        </w:rPr>
        <w:t>)</w:t>
      </w:r>
      <w:r w:rsidR="00B35005">
        <w:rPr>
          <w:rFonts w:eastAsia="Calibri"/>
          <w:szCs w:val="22"/>
          <w:lang w:eastAsia="ar-SA"/>
        </w:rPr>
        <w:t>.</w:t>
      </w:r>
    </w:p>
    <w:p w:rsidR="00E71467" w:rsidRPr="00E71467" w:rsidRDefault="00B35005" w:rsidP="00F92C85">
      <w:pPr>
        <w:numPr>
          <w:ilvl w:val="0"/>
          <w:numId w:val="39"/>
        </w:numPr>
        <w:spacing w:before="120" w:after="120"/>
        <w:jc w:val="both"/>
        <w:rPr>
          <w:rFonts w:eastAsia="Calibri"/>
          <w:szCs w:val="22"/>
          <w:lang w:eastAsia="ar-SA"/>
        </w:rPr>
      </w:pPr>
      <w:r w:rsidRPr="00E71467">
        <w:rPr>
          <w:rFonts w:eastAsia="Calibri"/>
          <w:szCs w:val="22"/>
          <w:lang w:eastAsia="ar-SA"/>
        </w:rPr>
        <w:t>Akceptace detailního návrhu ICIS (</w:t>
      </w:r>
      <w:r>
        <w:rPr>
          <w:rFonts w:eastAsia="Calibri"/>
          <w:szCs w:val="22"/>
          <w:lang w:eastAsia="ar-SA"/>
        </w:rPr>
        <w:t>detailní návrh ICIS vychází ze</w:t>
      </w:r>
      <w:r w:rsidRPr="003568B2">
        <w:rPr>
          <w:rFonts w:eastAsia="Calibri"/>
          <w:szCs w:val="22"/>
          <w:lang w:eastAsia="ar-SA"/>
        </w:rPr>
        <w:t xml:space="preserve"> </w:t>
      </w:r>
      <w:r w:rsidRPr="00E71467">
        <w:rPr>
          <w:rFonts w:eastAsia="Calibri"/>
          <w:szCs w:val="22"/>
          <w:lang w:eastAsia="ar-SA"/>
        </w:rPr>
        <w:t>studie proveditelnosti výměny ICIS</w:t>
      </w:r>
      <w:r>
        <w:rPr>
          <w:rFonts w:eastAsia="Calibri"/>
          <w:szCs w:val="22"/>
          <w:lang w:eastAsia="ar-SA"/>
        </w:rPr>
        <w:t xml:space="preserve">, </w:t>
      </w:r>
      <w:r w:rsidRPr="00E71467">
        <w:rPr>
          <w:rFonts w:eastAsia="Calibri"/>
          <w:szCs w:val="22"/>
          <w:lang w:eastAsia="ar-SA"/>
        </w:rPr>
        <w:t>fáze 7)</w:t>
      </w:r>
      <w:r>
        <w:rPr>
          <w:rFonts w:eastAsia="Calibri"/>
          <w:szCs w:val="22"/>
          <w:lang w:eastAsia="ar-SA"/>
        </w:rPr>
        <w:t xml:space="preserve"> včetně </w:t>
      </w:r>
      <w:r w:rsidRPr="00E71467">
        <w:rPr>
          <w:rFonts w:eastAsia="Calibri"/>
          <w:szCs w:val="22"/>
          <w:lang w:eastAsia="ar-SA"/>
        </w:rPr>
        <w:t>požadavků na součinnost</w:t>
      </w:r>
      <w:r>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Akceptace závazných požadavků na zajištění potřebného HW (případně po etapách – testování a školení, migrace, ostrá</w:t>
      </w:r>
      <w:r w:rsidR="00B35005">
        <w:rPr>
          <w:rFonts w:eastAsia="Calibri"/>
          <w:szCs w:val="22"/>
          <w:lang w:eastAsia="ar-SA"/>
        </w:rPr>
        <w:t xml:space="preserve"> implementace).</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Předání SW lic</w:t>
      </w:r>
      <w:r w:rsidR="00B35005">
        <w:rPr>
          <w:rFonts w:eastAsia="Calibri"/>
          <w:szCs w:val="22"/>
          <w:lang w:eastAsia="ar-SA"/>
        </w:rPr>
        <w:t>encí (najednou nebo po etapách).</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Akceptace provedené instalace a konfigurace HW (najednou nebo po etapách)</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lastRenderedPageBreak/>
        <w:t>Akceptace provedení instalace a implementace ASW (fáze 8 až 13)</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 xml:space="preserve">Akceptace </w:t>
      </w:r>
      <w:r w:rsidR="00B35005">
        <w:rPr>
          <w:rFonts w:eastAsia="Calibri"/>
          <w:szCs w:val="22"/>
          <w:lang w:eastAsia="ar-SA"/>
        </w:rPr>
        <w:t>provedené migrace dat (přípravných</w:t>
      </w:r>
      <w:r w:rsidRPr="00E71467">
        <w:rPr>
          <w:rFonts w:eastAsia="Calibri"/>
          <w:szCs w:val="22"/>
          <w:lang w:eastAsia="ar-SA"/>
        </w:rPr>
        <w:t xml:space="preserve"> a finální)</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Rozpis termínů zahájení a ukončení jednotlivých fází testování a ověřovacího provozu</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Akceptace předání ICIS do ostrého provozu</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 xml:space="preserve">Akceptace ukončení ostrého provozu se zvýšenou podporou a přítomností zástupce řešitelského týmu </w:t>
      </w:r>
      <w:r w:rsidR="002155F8">
        <w:rPr>
          <w:rFonts w:eastAsia="Calibri"/>
          <w:szCs w:val="22"/>
          <w:lang w:eastAsia="ar-SA"/>
        </w:rPr>
        <w:t>d</w:t>
      </w:r>
      <w:r w:rsidR="000F7926">
        <w:rPr>
          <w:rFonts w:eastAsia="Calibri"/>
          <w:szCs w:val="22"/>
          <w:lang w:eastAsia="ar-SA"/>
        </w:rPr>
        <w:t>odavatel</w:t>
      </w:r>
      <w:r w:rsidRPr="00E71467">
        <w:rPr>
          <w:rFonts w:eastAsia="Calibri"/>
          <w:szCs w:val="22"/>
          <w:lang w:eastAsia="ar-SA"/>
        </w:rPr>
        <w:t xml:space="preserve">e na pracovišti </w:t>
      </w:r>
      <w:r w:rsidR="002155F8">
        <w:rPr>
          <w:rFonts w:eastAsia="Calibri"/>
          <w:szCs w:val="22"/>
          <w:lang w:eastAsia="ar-SA"/>
        </w:rPr>
        <w:t>zadavatele</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Ukončení projektu (akceptace díla)</w:t>
      </w:r>
      <w:r w:rsidR="00B35005">
        <w:rPr>
          <w:rFonts w:eastAsia="Calibri"/>
          <w:szCs w:val="22"/>
          <w:lang w:eastAsia="ar-SA"/>
        </w:rPr>
        <w:t>.</w:t>
      </w:r>
    </w:p>
    <w:p w:rsidR="00E71467" w:rsidRPr="00E71467" w:rsidRDefault="00E71467" w:rsidP="00F92C85">
      <w:pPr>
        <w:numPr>
          <w:ilvl w:val="0"/>
          <w:numId w:val="39"/>
        </w:numPr>
        <w:spacing w:before="120" w:after="120"/>
        <w:jc w:val="both"/>
        <w:rPr>
          <w:rFonts w:eastAsia="Calibri"/>
          <w:szCs w:val="22"/>
          <w:lang w:eastAsia="ar-SA"/>
        </w:rPr>
      </w:pPr>
      <w:r w:rsidRPr="00E71467">
        <w:rPr>
          <w:rFonts w:eastAsia="Calibri"/>
          <w:szCs w:val="22"/>
          <w:lang w:eastAsia="ar-SA"/>
        </w:rPr>
        <w:t>V rámci přechodové fáze CIS-ICIS definovat v rámci harmonogramu také všechny podstatné milníky řešící změny organizačního charakteru, tj. změny procesů vyvolané přípravou a implementací ASW a migrací dat</w:t>
      </w:r>
      <w:r w:rsidR="00B35005">
        <w:rPr>
          <w:rFonts w:eastAsia="Calibri"/>
          <w:szCs w:val="22"/>
          <w:lang w:eastAsia="ar-SA"/>
        </w:rPr>
        <w:t>.</w:t>
      </w:r>
    </w:p>
    <w:p w:rsidR="00E71467" w:rsidRPr="00B35005" w:rsidRDefault="00392D61" w:rsidP="00523507">
      <w:pPr>
        <w:pStyle w:val="Odstavecseseznamem"/>
        <w:numPr>
          <w:ilvl w:val="6"/>
          <w:numId w:val="43"/>
        </w:numPr>
        <w:spacing w:before="120" w:after="120"/>
        <w:ind w:left="425" w:hanging="425"/>
        <w:contextualSpacing w:val="0"/>
        <w:rPr>
          <w:szCs w:val="24"/>
        </w:rPr>
      </w:pPr>
      <w:r>
        <w:rPr>
          <w:szCs w:val="24"/>
        </w:rPr>
        <w:t>Zadavatel</w:t>
      </w:r>
      <w:r w:rsidR="00E71467" w:rsidRPr="00B35005">
        <w:rPr>
          <w:szCs w:val="24"/>
        </w:rPr>
        <w:t xml:space="preserve"> požaduje plánovat a popsat v harmonogramu také dostatečné časové rezervy v kritických fázích projektu</w:t>
      </w:r>
      <w:r w:rsidR="00B35005">
        <w:rPr>
          <w:szCs w:val="24"/>
        </w:rPr>
        <w:t>.</w:t>
      </w:r>
    </w:p>
    <w:p w:rsidR="0054307F" w:rsidRPr="00B35005" w:rsidRDefault="0054307F" w:rsidP="00B35005">
      <w:pPr>
        <w:pStyle w:val="Nadpis1"/>
        <w:ind w:left="567" w:hanging="567"/>
        <w:jc w:val="both"/>
        <w:rPr>
          <w:rFonts w:ascii="Calibri" w:eastAsia="Calibri" w:hAnsi="Calibri" w:cs="Calibri"/>
        </w:rPr>
      </w:pPr>
      <w:r>
        <w:br w:type="page"/>
      </w:r>
      <w:bookmarkStart w:id="6" w:name="_Toc385918706"/>
      <w:r w:rsidRPr="00B35005">
        <w:rPr>
          <w:rFonts w:ascii="Calibri" w:eastAsia="Calibri" w:hAnsi="Calibri" w:cs="Calibri"/>
        </w:rPr>
        <w:lastRenderedPageBreak/>
        <w:t xml:space="preserve">Pravidla pro vytvoření seznamu doporučeného HW pro provoz, správu a technickou podporu díla, souvisejícího licenčního SW a zajištění napojení na stávající infrastrukturu, na základě kterých </w:t>
      </w:r>
      <w:r w:rsidR="00392D61">
        <w:rPr>
          <w:rFonts w:ascii="Calibri" w:eastAsia="Calibri" w:hAnsi="Calibri" w:cs="Calibri"/>
        </w:rPr>
        <w:t>d</w:t>
      </w:r>
      <w:r w:rsidR="000F7926">
        <w:rPr>
          <w:rFonts w:ascii="Calibri" w:eastAsia="Calibri" w:hAnsi="Calibri" w:cs="Calibri"/>
        </w:rPr>
        <w:t>odavatel</w:t>
      </w:r>
      <w:r w:rsidRPr="00B35005">
        <w:rPr>
          <w:rFonts w:ascii="Calibri" w:eastAsia="Calibri" w:hAnsi="Calibri" w:cs="Calibri"/>
        </w:rPr>
        <w:t xml:space="preserve"> připraví příslušnou přílohu </w:t>
      </w:r>
      <w:r w:rsidR="00392D61">
        <w:rPr>
          <w:rFonts w:ascii="Calibri" w:eastAsia="Calibri" w:hAnsi="Calibri" w:cs="Calibri"/>
        </w:rPr>
        <w:t>S</w:t>
      </w:r>
      <w:r w:rsidRPr="00B35005">
        <w:rPr>
          <w:rFonts w:ascii="Calibri" w:eastAsia="Calibri" w:hAnsi="Calibri" w:cs="Calibri"/>
        </w:rPr>
        <w:t>mlouvy</w:t>
      </w:r>
      <w:r w:rsidR="003D5153">
        <w:rPr>
          <w:rFonts w:ascii="Calibri" w:eastAsia="Calibri" w:hAnsi="Calibri" w:cs="Calibri"/>
        </w:rPr>
        <w:t xml:space="preserve"> o vytvoření </w:t>
      </w:r>
      <w:bookmarkEnd w:id="6"/>
    </w:p>
    <w:p w:rsidR="0054307F" w:rsidRPr="0054307F" w:rsidRDefault="0054307F" w:rsidP="0054307F">
      <w:pPr>
        <w:ind w:left="426"/>
        <w:rPr>
          <w:rFonts w:eastAsia="Calibri" w:cs="Calibri"/>
          <w:lang w:eastAsia="en-US"/>
        </w:rPr>
      </w:pPr>
    </w:p>
    <w:p w:rsidR="0054307F" w:rsidRPr="0028098A" w:rsidRDefault="000F7926" w:rsidP="0028098A">
      <w:pPr>
        <w:pStyle w:val="Odstavecseseznamem"/>
        <w:numPr>
          <w:ilvl w:val="6"/>
          <w:numId w:val="38"/>
        </w:numPr>
        <w:tabs>
          <w:tab w:val="clear" w:pos="4680"/>
          <w:tab w:val="num" w:pos="426"/>
        </w:tabs>
        <w:spacing w:before="120" w:after="120"/>
        <w:ind w:left="426" w:hanging="426"/>
        <w:contextualSpacing w:val="0"/>
        <w:rPr>
          <w:szCs w:val="24"/>
        </w:rPr>
      </w:pPr>
      <w:r>
        <w:rPr>
          <w:szCs w:val="24"/>
        </w:rPr>
        <w:t>Dodavatel</w:t>
      </w:r>
      <w:r w:rsidR="0054307F" w:rsidRPr="0028098A">
        <w:rPr>
          <w:szCs w:val="24"/>
        </w:rPr>
        <w:t xml:space="preserve"> v rámci zadávacího řízení předloží návrh doporučeného HW, licenčního SW a zajištění napojení na stávající infrastrukturu tak, aby byl zajištěn provoz a správa ICIS s požadovanými parametry. Zde je podrobně specifikován požadavek na uvedený návrh</w:t>
      </w:r>
      <w:r w:rsidR="00522436">
        <w:rPr>
          <w:szCs w:val="24"/>
        </w:rPr>
        <w:t>.</w:t>
      </w:r>
      <w:r w:rsidR="0054307F" w:rsidRPr="0028098A">
        <w:rPr>
          <w:szCs w:val="24"/>
        </w:rPr>
        <w:t xml:space="preserve"> </w:t>
      </w:r>
      <w:r>
        <w:rPr>
          <w:szCs w:val="24"/>
        </w:rPr>
        <w:t>Dodavatel</w:t>
      </w:r>
      <w:r w:rsidR="0054307F" w:rsidRPr="0028098A">
        <w:rPr>
          <w:szCs w:val="24"/>
        </w:rPr>
        <w:t xml:space="preserve"> je</w:t>
      </w:r>
      <w:r w:rsidR="00392D61">
        <w:rPr>
          <w:szCs w:val="24"/>
        </w:rPr>
        <w:t xml:space="preserve"> povinen </w:t>
      </w:r>
      <w:proofErr w:type="gramStart"/>
      <w:r w:rsidR="00392D61">
        <w:rPr>
          <w:szCs w:val="24"/>
        </w:rPr>
        <w:t>při</w:t>
      </w:r>
      <w:r w:rsidR="0054307F" w:rsidRPr="0028098A">
        <w:rPr>
          <w:szCs w:val="24"/>
        </w:rPr>
        <w:t xml:space="preserve"> </w:t>
      </w:r>
      <w:r w:rsidR="00392D61">
        <w:rPr>
          <w:szCs w:val="24"/>
        </w:rPr>
        <w:t xml:space="preserve"> zpracování</w:t>
      </w:r>
      <w:proofErr w:type="gramEnd"/>
      <w:r w:rsidR="0054307F" w:rsidRPr="0028098A">
        <w:rPr>
          <w:szCs w:val="24"/>
        </w:rPr>
        <w:t xml:space="preserve"> své</w:t>
      </w:r>
      <w:r w:rsidR="00392D61">
        <w:rPr>
          <w:szCs w:val="24"/>
        </w:rPr>
        <w:t>ho</w:t>
      </w:r>
      <w:r w:rsidR="0054307F" w:rsidRPr="0028098A">
        <w:rPr>
          <w:szCs w:val="24"/>
        </w:rPr>
        <w:t xml:space="preserve"> návrhu </w:t>
      </w:r>
      <w:r w:rsidR="00392D61">
        <w:rPr>
          <w:szCs w:val="24"/>
        </w:rPr>
        <w:t>tyto požadavky zadavatele na uvedený návrh akceptovat a zohlednit</w:t>
      </w:r>
      <w:r w:rsidR="0054307F" w:rsidRPr="0028098A">
        <w:rPr>
          <w:szCs w:val="24"/>
        </w:rPr>
        <w:t xml:space="preserve">. </w:t>
      </w:r>
    </w:p>
    <w:p w:rsidR="0054307F" w:rsidRPr="0028098A" w:rsidRDefault="000F7926" w:rsidP="0028098A">
      <w:pPr>
        <w:pStyle w:val="Odstavecseseznamem"/>
        <w:numPr>
          <w:ilvl w:val="6"/>
          <w:numId w:val="38"/>
        </w:numPr>
        <w:tabs>
          <w:tab w:val="clear" w:pos="4680"/>
        </w:tabs>
        <w:spacing w:before="120" w:after="120"/>
        <w:ind w:left="425" w:hanging="425"/>
        <w:contextualSpacing w:val="0"/>
        <w:rPr>
          <w:szCs w:val="24"/>
        </w:rPr>
      </w:pPr>
      <w:r>
        <w:rPr>
          <w:szCs w:val="24"/>
        </w:rPr>
        <w:t>Dodavatel</w:t>
      </w:r>
      <w:r w:rsidR="0054307F" w:rsidRPr="0028098A">
        <w:rPr>
          <w:szCs w:val="24"/>
        </w:rPr>
        <w:t xml:space="preserve"> předloží návrh parametrů HW a další infrastruktury (zejména operačních systémů a </w:t>
      </w:r>
      <w:proofErr w:type="spellStart"/>
      <w:r w:rsidR="0054307F" w:rsidRPr="0028098A">
        <w:rPr>
          <w:szCs w:val="24"/>
        </w:rPr>
        <w:t>virtualizační</w:t>
      </w:r>
      <w:proofErr w:type="spellEnd"/>
      <w:r w:rsidR="0054307F" w:rsidRPr="0028098A">
        <w:rPr>
          <w:szCs w:val="24"/>
        </w:rPr>
        <w:t xml:space="preserve"> platformy) nezbytných pro běh ICIS pro dosažení dostupnosti požadované v bodě </w:t>
      </w:r>
      <w:r w:rsidR="003D5153">
        <w:rPr>
          <w:szCs w:val="24"/>
        </w:rPr>
        <w:t>5</w:t>
      </w:r>
      <w:r w:rsidR="003D5153" w:rsidRPr="0028098A">
        <w:rPr>
          <w:szCs w:val="24"/>
        </w:rPr>
        <w:t xml:space="preserve"> </w:t>
      </w:r>
      <w:r w:rsidR="0054307F" w:rsidRPr="0028098A">
        <w:rPr>
          <w:szCs w:val="24"/>
        </w:rPr>
        <w:t xml:space="preserve">této přílohy. Uvedené parametry dostupnosti musí systém splňovat při dimenzování na „Požadovaný stav“ dle bodu </w:t>
      </w:r>
      <w:r w:rsidR="003D5153">
        <w:rPr>
          <w:szCs w:val="24"/>
        </w:rPr>
        <w:t>4</w:t>
      </w:r>
      <w:r w:rsidR="0054307F" w:rsidRPr="0028098A">
        <w:rPr>
          <w:szCs w:val="24"/>
        </w:rPr>
        <w:t xml:space="preserve">. Dimenzování ICIS, plný „Podporovaný stav“ musí být dosažitelný pouze doplněním HW, např. doplněním diskové kapacity nebo interní paměti, nikoli jeho výměnou či navýšením SW licencí. Změna tohoto návrhu proti parametrům uvedených v nabídce </w:t>
      </w:r>
      <w:r w:rsidR="00392D61">
        <w:rPr>
          <w:szCs w:val="24"/>
        </w:rPr>
        <w:t>d</w:t>
      </w:r>
      <w:r>
        <w:rPr>
          <w:szCs w:val="24"/>
        </w:rPr>
        <w:t>odavatel</w:t>
      </w:r>
      <w:r w:rsidR="0054307F" w:rsidRPr="0028098A">
        <w:rPr>
          <w:szCs w:val="24"/>
        </w:rPr>
        <w:t xml:space="preserve">e je možná pouze v důvodných případech nově zjištěných skutečností v průběhu analýzy majících dopad do potřebného výkonu hardware. Změna bude v takovém případě provedena k  tíži </w:t>
      </w:r>
      <w:r w:rsidR="00392D61">
        <w:rPr>
          <w:szCs w:val="24"/>
        </w:rPr>
        <w:t>zadavatele</w:t>
      </w:r>
      <w:r w:rsidR="0054307F" w:rsidRPr="0028098A">
        <w:rPr>
          <w:szCs w:val="24"/>
        </w:rPr>
        <w:t xml:space="preserve">, jen pokud nedostatek návrhu </w:t>
      </w:r>
      <w:r w:rsidR="00392D61">
        <w:rPr>
          <w:szCs w:val="24"/>
        </w:rPr>
        <w:t>d</w:t>
      </w:r>
      <w:r>
        <w:rPr>
          <w:szCs w:val="24"/>
        </w:rPr>
        <w:t>odavatel</w:t>
      </w:r>
      <w:r w:rsidR="0054307F" w:rsidRPr="0028098A">
        <w:rPr>
          <w:szCs w:val="24"/>
        </w:rPr>
        <w:t>e vznikl z</w:t>
      </w:r>
      <w:r w:rsidR="000A4894">
        <w:rPr>
          <w:szCs w:val="24"/>
        </w:rPr>
        <w:t>e</w:t>
      </w:r>
      <w:r w:rsidR="0054307F" w:rsidRPr="0028098A">
        <w:rPr>
          <w:szCs w:val="24"/>
        </w:rPr>
        <w:t> zavinění</w:t>
      </w:r>
      <w:r w:rsidR="000A4894">
        <w:rPr>
          <w:szCs w:val="24"/>
        </w:rPr>
        <w:t xml:space="preserve"> </w:t>
      </w:r>
      <w:r w:rsidR="00392D61">
        <w:rPr>
          <w:szCs w:val="24"/>
        </w:rPr>
        <w:t>zadavatele</w:t>
      </w:r>
      <w:r w:rsidR="0054307F" w:rsidRPr="0028098A">
        <w:rPr>
          <w:szCs w:val="24"/>
        </w:rPr>
        <w:t>.</w:t>
      </w:r>
    </w:p>
    <w:p w:rsidR="0054307F" w:rsidRPr="0028098A" w:rsidRDefault="0054307F" w:rsidP="0028098A">
      <w:pPr>
        <w:pStyle w:val="Odstavecseseznamem"/>
        <w:numPr>
          <w:ilvl w:val="6"/>
          <w:numId w:val="38"/>
        </w:numPr>
        <w:tabs>
          <w:tab w:val="clear" w:pos="4680"/>
        </w:tabs>
        <w:spacing w:before="120" w:after="120"/>
        <w:ind w:left="425" w:hanging="425"/>
        <w:contextualSpacing w:val="0"/>
        <w:rPr>
          <w:szCs w:val="24"/>
        </w:rPr>
      </w:pPr>
      <w:r w:rsidRPr="0028098A">
        <w:rPr>
          <w:szCs w:val="24"/>
        </w:rPr>
        <w:t xml:space="preserve">Systém ICIS musí být trvale dostupný (365x7x24) minimálně pro vyřizování online dotazů externích aplikací (Portál OZP ONLINE, Portál ZP). Za účelem vysoké dostupnosti předpokládá </w:t>
      </w:r>
      <w:r w:rsidR="00392D61">
        <w:rPr>
          <w:szCs w:val="24"/>
        </w:rPr>
        <w:t>zadavatel</w:t>
      </w:r>
      <w:r w:rsidR="00392D61" w:rsidRPr="0028098A">
        <w:rPr>
          <w:szCs w:val="24"/>
        </w:rPr>
        <w:t xml:space="preserve"> </w:t>
      </w:r>
      <w:r w:rsidRPr="0028098A">
        <w:rPr>
          <w:szCs w:val="24"/>
        </w:rPr>
        <w:t>využití technologií pro eliminaci výpadku z důvodu HW chyby (záložní zdroje, motorgenerátor, cluster, redundantní propojení). Akceptovatelná doba neplánovaného výpadku systému je 4 hodiny v celku, v provozní době (7:00-17:00), maximálně 1x za měsíc. Plná funkčnost systému ICIS pro uživatele musí být dostupná v provozní době (7:00-17:00). Mimo provozní dobu mohou probíhat plánované i jednorázové dávkové úlohy jako je načítání dat z externích systémů, ELT (ETL) procedury pro plnění datového skladu, zpracování různých výkazů, generování výstupních dat, zpráv a protokolů, dále v tuto dobu mohou probíhat plánované servisní úkony systému včetně procesů zálohování atd. V této době je po dohodě s</w:t>
      </w:r>
      <w:r w:rsidR="0028098A" w:rsidRPr="0028098A">
        <w:rPr>
          <w:szCs w:val="24"/>
        </w:rPr>
        <w:t>e </w:t>
      </w:r>
      <w:r w:rsidR="00392D61">
        <w:rPr>
          <w:szCs w:val="24"/>
        </w:rPr>
        <w:t>zadavatelem</w:t>
      </w:r>
      <w:r w:rsidR="00392D61" w:rsidRPr="0028098A">
        <w:rPr>
          <w:szCs w:val="24"/>
        </w:rPr>
        <w:t xml:space="preserve"> </w:t>
      </w:r>
      <w:r w:rsidRPr="0028098A">
        <w:rPr>
          <w:szCs w:val="24"/>
        </w:rPr>
        <w:t>možné provádět servisní práce, opravy a nasazování nových funkčností případně další potřebné zásahy do systému.</w:t>
      </w:r>
    </w:p>
    <w:p w:rsidR="0054307F" w:rsidRPr="0028098A" w:rsidRDefault="0054307F" w:rsidP="0028098A">
      <w:pPr>
        <w:pStyle w:val="Odstavecseseznamem"/>
        <w:numPr>
          <w:ilvl w:val="6"/>
          <w:numId w:val="38"/>
        </w:numPr>
        <w:tabs>
          <w:tab w:val="clear" w:pos="4680"/>
        </w:tabs>
        <w:spacing w:before="120" w:after="120"/>
        <w:ind w:left="425" w:hanging="425"/>
        <w:contextualSpacing w:val="0"/>
        <w:rPr>
          <w:szCs w:val="24"/>
        </w:rPr>
      </w:pPr>
      <w:r w:rsidRPr="0028098A">
        <w:rPr>
          <w:szCs w:val="24"/>
        </w:rPr>
        <w:t>ICIS jako plně integrovaný informační systém musí podporovat následující objemy při zachování deklarovaných odezev systému. Požadovaný stav musí ICIS splnit při náběhu systému. Podporovaný stav obsahuje očekávaný nárůst objemu dat v ICIS, pro který musí být řešení rozšiřitelné posílením HW infrastruktury bez nutnosti zásahu do programového řešení ICIS.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552"/>
        <w:gridCol w:w="3002"/>
        <w:gridCol w:w="2951"/>
      </w:tblGrid>
      <w:tr w:rsidR="0054307F" w:rsidRPr="004240F2" w:rsidTr="004240F2">
        <w:trPr>
          <w:jc w:val="center"/>
        </w:trPr>
        <w:tc>
          <w:tcPr>
            <w:tcW w:w="2552" w:type="dxa"/>
            <w:shd w:val="clear" w:color="auto" w:fill="A50021"/>
            <w:vAlign w:val="center"/>
          </w:tcPr>
          <w:p w:rsidR="0054307F" w:rsidRPr="004240F2" w:rsidRDefault="0054307F" w:rsidP="0054307F">
            <w:pPr>
              <w:rPr>
                <w:rFonts w:eastAsia="Calibri" w:cs="Calibri"/>
                <w:b/>
                <w:sz w:val="16"/>
                <w:szCs w:val="16"/>
                <w:lang w:eastAsia="en-US"/>
              </w:rPr>
            </w:pPr>
            <w:r w:rsidRPr="004240F2">
              <w:rPr>
                <w:rFonts w:eastAsia="Calibri" w:cs="Calibri"/>
                <w:b/>
                <w:sz w:val="16"/>
                <w:szCs w:val="16"/>
                <w:lang w:eastAsia="en-US"/>
              </w:rPr>
              <w:t>Parametr</w:t>
            </w:r>
          </w:p>
        </w:tc>
        <w:tc>
          <w:tcPr>
            <w:tcW w:w="3002" w:type="dxa"/>
            <w:shd w:val="clear" w:color="auto" w:fill="A50021"/>
            <w:vAlign w:val="center"/>
          </w:tcPr>
          <w:p w:rsidR="0054307F" w:rsidRPr="004240F2" w:rsidRDefault="0054307F" w:rsidP="0054307F">
            <w:pPr>
              <w:rPr>
                <w:rFonts w:eastAsia="Calibri" w:cs="Calibri"/>
                <w:b/>
                <w:sz w:val="16"/>
                <w:szCs w:val="16"/>
                <w:lang w:eastAsia="en-US"/>
              </w:rPr>
            </w:pPr>
            <w:r w:rsidRPr="004240F2">
              <w:rPr>
                <w:rFonts w:eastAsia="Calibri" w:cs="Calibri"/>
                <w:b/>
                <w:sz w:val="16"/>
                <w:szCs w:val="16"/>
                <w:lang w:eastAsia="en-US"/>
              </w:rPr>
              <w:t>Požadovaný stav</w:t>
            </w:r>
          </w:p>
        </w:tc>
        <w:tc>
          <w:tcPr>
            <w:tcW w:w="2951" w:type="dxa"/>
            <w:shd w:val="clear" w:color="auto" w:fill="A50021"/>
            <w:vAlign w:val="center"/>
          </w:tcPr>
          <w:p w:rsidR="0054307F" w:rsidRPr="004240F2" w:rsidRDefault="0054307F" w:rsidP="0054307F">
            <w:pPr>
              <w:rPr>
                <w:rFonts w:eastAsia="Calibri" w:cs="Calibri"/>
                <w:b/>
                <w:sz w:val="16"/>
                <w:szCs w:val="16"/>
                <w:lang w:eastAsia="en-US"/>
              </w:rPr>
            </w:pPr>
            <w:r w:rsidRPr="004240F2">
              <w:rPr>
                <w:rFonts w:eastAsia="Calibri" w:cs="Calibri"/>
                <w:b/>
                <w:sz w:val="16"/>
                <w:szCs w:val="16"/>
                <w:lang w:eastAsia="en-US"/>
              </w:rPr>
              <w:t>Podporovaný stav</w:t>
            </w:r>
          </w:p>
        </w:tc>
      </w:tr>
      <w:tr w:rsidR="0054307F" w:rsidRPr="004240F2" w:rsidTr="004240F2">
        <w:trPr>
          <w:jc w:val="center"/>
        </w:trPr>
        <w:tc>
          <w:tcPr>
            <w:tcW w:w="255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Počet uživatelů</w:t>
            </w:r>
          </w:p>
        </w:tc>
        <w:tc>
          <w:tcPr>
            <w:tcW w:w="300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 xml:space="preserve">400, </w:t>
            </w:r>
          </w:p>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z toho 300 současně pracujících</w:t>
            </w:r>
          </w:p>
        </w:tc>
        <w:tc>
          <w:tcPr>
            <w:tcW w:w="2951"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 xml:space="preserve">800, </w:t>
            </w:r>
          </w:p>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z toho 500 současně pracujících</w:t>
            </w:r>
          </w:p>
        </w:tc>
      </w:tr>
      <w:tr w:rsidR="0054307F" w:rsidRPr="004240F2" w:rsidTr="004240F2">
        <w:trPr>
          <w:jc w:val="center"/>
        </w:trPr>
        <w:tc>
          <w:tcPr>
            <w:tcW w:w="255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Počet pojištěnců</w:t>
            </w:r>
          </w:p>
        </w:tc>
        <w:tc>
          <w:tcPr>
            <w:tcW w:w="300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1 milión</w:t>
            </w:r>
          </w:p>
        </w:tc>
        <w:tc>
          <w:tcPr>
            <w:tcW w:w="2951"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5 miliónů</w:t>
            </w:r>
          </w:p>
        </w:tc>
      </w:tr>
      <w:tr w:rsidR="0054307F" w:rsidRPr="004240F2" w:rsidTr="004240F2">
        <w:trPr>
          <w:jc w:val="center"/>
        </w:trPr>
        <w:tc>
          <w:tcPr>
            <w:tcW w:w="255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Počet poskytovatelů zdravotních služeb</w:t>
            </w:r>
          </w:p>
        </w:tc>
        <w:tc>
          <w:tcPr>
            <w:tcW w:w="300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25 tisíc</w:t>
            </w:r>
          </w:p>
        </w:tc>
        <w:tc>
          <w:tcPr>
            <w:tcW w:w="2951"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50 tisíc</w:t>
            </w:r>
          </w:p>
        </w:tc>
      </w:tr>
      <w:tr w:rsidR="0054307F" w:rsidRPr="004240F2" w:rsidTr="004240F2">
        <w:trPr>
          <w:jc w:val="center"/>
        </w:trPr>
        <w:tc>
          <w:tcPr>
            <w:tcW w:w="255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Počet plátců zdravotního pojištění v kategoriích OSVČ, zaměstnavatel</w:t>
            </w:r>
          </w:p>
        </w:tc>
        <w:tc>
          <w:tcPr>
            <w:tcW w:w="300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200 tisíc</w:t>
            </w:r>
          </w:p>
        </w:tc>
        <w:tc>
          <w:tcPr>
            <w:tcW w:w="2951"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500 tisíc</w:t>
            </w:r>
          </w:p>
        </w:tc>
      </w:tr>
    </w:tbl>
    <w:p w:rsidR="0054307F" w:rsidRPr="0054307F" w:rsidRDefault="0054307F" w:rsidP="0054307F">
      <w:pPr>
        <w:ind w:left="426"/>
        <w:rPr>
          <w:rFonts w:eastAsia="Calibri" w:cs="Calibri"/>
          <w:lang w:eastAsia="en-US"/>
        </w:rPr>
      </w:pPr>
    </w:p>
    <w:p w:rsidR="0054307F" w:rsidRPr="00F92C85" w:rsidRDefault="0054307F" w:rsidP="00F92C85">
      <w:pPr>
        <w:pStyle w:val="Odstavecseseznamem"/>
        <w:numPr>
          <w:ilvl w:val="6"/>
          <w:numId w:val="38"/>
        </w:numPr>
        <w:tabs>
          <w:tab w:val="clear" w:pos="4680"/>
        </w:tabs>
        <w:spacing w:before="120" w:after="120"/>
        <w:ind w:left="425" w:hanging="425"/>
        <w:contextualSpacing w:val="0"/>
        <w:rPr>
          <w:szCs w:val="24"/>
        </w:rPr>
      </w:pPr>
      <w:r w:rsidRPr="00F92C85">
        <w:rPr>
          <w:szCs w:val="24"/>
        </w:rPr>
        <w:t xml:space="preserve">Při akceptaci HW infrastruktury navržené </w:t>
      </w:r>
      <w:r w:rsidR="00392D61">
        <w:rPr>
          <w:szCs w:val="24"/>
        </w:rPr>
        <w:t>d</w:t>
      </w:r>
      <w:r w:rsidR="000F7926">
        <w:rPr>
          <w:szCs w:val="24"/>
        </w:rPr>
        <w:t>odavatel</w:t>
      </w:r>
      <w:r w:rsidRPr="00F92C85">
        <w:rPr>
          <w:szCs w:val="24"/>
        </w:rPr>
        <w:t>em</w:t>
      </w:r>
      <w:r w:rsidR="007B15EF">
        <w:rPr>
          <w:szCs w:val="24"/>
        </w:rPr>
        <w:t>,</w:t>
      </w:r>
      <w:r w:rsidR="00D26249">
        <w:rPr>
          <w:szCs w:val="24"/>
        </w:rPr>
        <w:t xml:space="preserve"> a dále po dobu platnosti </w:t>
      </w:r>
      <w:r w:rsidR="00392D61">
        <w:rPr>
          <w:szCs w:val="24"/>
        </w:rPr>
        <w:t>S</w:t>
      </w:r>
      <w:r w:rsidR="00D26249">
        <w:rPr>
          <w:szCs w:val="24"/>
        </w:rPr>
        <w:t>ml</w:t>
      </w:r>
      <w:r w:rsidR="00392D61">
        <w:rPr>
          <w:szCs w:val="24"/>
        </w:rPr>
        <w:t>o</w:t>
      </w:r>
      <w:r w:rsidR="00D26249">
        <w:rPr>
          <w:szCs w:val="24"/>
        </w:rPr>
        <w:t>uv</w:t>
      </w:r>
      <w:r w:rsidR="00392D61">
        <w:rPr>
          <w:szCs w:val="24"/>
        </w:rPr>
        <w:t>y</w:t>
      </w:r>
      <w:r w:rsidR="007B15EF">
        <w:rPr>
          <w:szCs w:val="24"/>
        </w:rPr>
        <w:t xml:space="preserve"> o vytvoření a </w:t>
      </w:r>
      <w:r w:rsidR="00392D61">
        <w:rPr>
          <w:szCs w:val="24"/>
        </w:rPr>
        <w:t>S</w:t>
      </w:r>
      <w:r w:rsidR="007B15EF">
        <w:rPr>
          <w:szCs w:val="24"/>
        </w:rPr>
        <w:t>mlouvy o podpoře,</w:t>
      </w:r>
      <w:r w:rsidRPr="00F92C85">
        <w:rPr>
          <w:szCs w:val="24"/>
        </w:rPr>
        <w:t xml:space="preserve"> musí systém splňovat následující odezvy při zachování objemu dat požadovaného stavu: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2552"/>
        <w:gridCol w:w="3002"/>
        <w:gridCol w:w="2951"/>
      </w:tblGrid>
      <w:tr w:rsidR="0054307F" w:rsidRPr="004240F2" w:rsidTr="004240F2">
        <w:trPr>
          <w:jc w:val="center"/>
        </w:trPr>
        <w:tc>
          <w:tcPr>
            <w:tcW w:w="2552" w:type="dxa"/>
            <w:shd w:val="clear" w:color="auto" w:fill="A50021"/>
            <w:vAlign w:val="center"/>
          </w:tcPr>
          <w:p w:rsidR="0054307F" w:rsidRPr="004240F2" w:rsidRDefault="0054307F" w:rsidP="0054307F">
            <w:pPr>
              <w:rPr>
                <w:rFonts w:eastAsia="Calibri" w:cs="Calibri"/>
                <w:b/>
                <w:sz w:val="16"/>
                <w:szCs w:val="16"/>
                <w:lang w:eastAsia="en-US"/>
              </w:rPr>
            </w:pPr>
            <w:r w:rsidRPr="004240F2">
              <w:rPr>
                <w:rFonts w:eastAsia="Calibri" w:cs="Calibri"/>
                <w:b/>
                <w:sz w:val="16"/>
                <w:szCs w:val="16"/>
                <w:lang w:eastAsia="en-US"/>
              </w:rPr>
              <w:lastRenderedPageBreak/>
              <w:t>Parametr</w:t>
            </w:r>
          </w:p>
        </w:tc>
        <w:tc>
          <w:tcPr>
            <w:tcW w:w="3002" w:type="dxa"/>
            <w:shd w:val="clear" w:color="auto" w:fill="A50021"/>
            <w:vAlign w:val="center"/>
          </w:tcPr>
          <w:p w:rsidR="0054307F" w:rsidRPr="004240F2" w:rsidRDefault="0054307F" w:rsidP="0054307F">
            <w:pPr>
              <w:rPr>
                <w:rFonts w:eastAsia="Calibri" w:cs="Calibri"/>
                <w:b/>
                <w:sz w:val="16"/>
                <w:szCs w:val="16"/>
                <w:lang w:eastAsia="en-US"/>
              </w:rPr>
            </w:pPr>
            <w:r w:rsidRPr="004240F2">
              <w:rPr>
                <w:rFonts w:eastAsia="Calibri" w:cs="Calibri"/>
                <w:b/>
                <w:sz w:val="16"/>
                <w:szCs w:val="16"/>
                <w:lang w:eastAsia="en-US"/>
              </w:rPr>
              <w:t>Požadovaná hodnota</w:t>
            </w:r>
          </w:p>
        </w:tc>
        <w:tc>
          <w:tcPr>
            <w:tcW w:w="2951" w:type="dxa"/>
            <w:shd w:val="clear" w:color="auto" w:fill="A50021"/>
            <w:vAlign w:val="center"/>
          </w:tcPr>
          <w:p w:rsidR="0054307F" w:rsidRPr="004240F2" w:rsidRDefault="0054307F" w:rsidP="0054307F">
            <w:pPr>
              <w:rPr>
                <w:rFonts w:eastAsia="Calibri" w:cs="Calibri"/>
                <w:b/>
                <w:sz w:val="16"/>
                <w:szCs w:val="16"/>
                <w:lang w:eastAsia="en-US"/>
              </w:rPr>
            </w:pPr>
            <w:r w:rsidRPr="004240F2">
              <w:rPr>
                <w:rFonts w:eastAsia="Calibri" w:cs="Calibri"/>
                <w:b/>
                <w:sz w:val="16"/>
                <w:szCs w:val="16"/>
                <w:lang w:eastAsia="en-US"/>
              </w:rPr>
              <w:t>Přijatelná hodnota</w:t>
            </w:r>
          </w:p>
        </w:tc>
      </w:tr>
      <w:tr w:rsidR="0054307F" w:rsidRPr="004240F2" w:rsidTr="004240F2">
        <w:trPr>
          <w:jc w:val="center"/>
        </w:trPr>
        <w:tc>
          <w:tcPr>
            <w:tcW w:w="255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Zpracování požadavku uživatele na přepážce (při interakci s klientem)</w:t>
            </w:r>
          </w:p>
        </w:tc>
        <w:tc>
          <w:tcPr>
            <w:tcW w:w="300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 xml:space="preserve">1 sekunda (80% případů), </w:t>
            </w:r>
          </w:p>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2 sekundy (15% případů)</w:t>
            </w:r>
          </w:p>
        </w:tc>
        <w:tc>
          <w:tcPr>
            <w:tcW w:w="2951"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10 sekund (5% případů)</w:t>
            </w:r>
          </w:p>
        </w:tc>
      </w:tr>
      <w:tr w:rsidR="0054307F" w:rsidRPr="004240F2" w:rsidTr="004240F2">
        <w:trPr>
          <w:jc w:val="center"/>
        </w:trPr>
        <w:tc>
          <w:tcPr>
            <w:tcW w:w="255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Zpracování online požadavku externího systému</w:t>
            </w:r>
          </w:p>
        </w:tc>
        <w:tc>
          <w:tcPr>
            <w:tcW w:w="300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1 sekunda</w:t>
            </w:r>
          </w:p>
        </w:tc>
        <w:tc>
          <w:tcPr>
            <w:tcW w:w="2951"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5 sekund (5% případů)</w:t>
            </w:r>
          </w:p>
        </w:tc>
      </w:tr>
      <w:tr w:rsidR="0054307F" w:rsidRPr="004240F2" w:rsidTr="004240F2">
        <w:trPr>
          <w:jc w:val="center"/>
        </w:trPr>
        <w:tc>
          <w:tcPr>
            <w:tcW w:w="255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Zpracování požadavku uživatele u jednoho případu</w:t>
            </w:r>
          </w:p>
        </w:tc>
        <w:tc>
          <w:tcPr>
            <w:tcW w:w="3002"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 xml:space="preserve">1 sekunda (80% případů), </w:t>
            </w:r>
          </w:p>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2 sekundy (15% případů)</w:t>
            </w:r>
          </w:p>
        </w:tc>
        <w:tc>
          <w:tcPr>
            <w:tcW w:w="2951" w:type="dxa"/>
            <w:shd w:val="clear" w:color="auto" w:fill="FFFFFF"/>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10 sekund (5% případů)</w:t>
            </w:r>
          </w:p>
        </w:tc>
      </w:tr>
      <w:tr w:rsidR="0054307F" w:rsidRPr="004240F2" w:rsidTr="004240F2">
        <w:trPr>
          <w:jc w:val="center"/>
        </w:trPr>
        <w:tc>
          <w:tcPr>
            <w:tcW w:w="255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Zpracování požadavku dávkové úlohy</w:t>
            </w:r>
          </w:p>
        </w:tc>
        <w:tc>
          <w:tcPr>
            <w:tcW w:w="3002"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Není explicitně stanoveno, běh dávkových úloh nesmí omezit provoz systému a musí počítat s časovými okny servisních zásahů (alespoň 4 hodiny denně).</w:t>
            </w:r>
          </w:p>
        </w:tc>
        <w:tc>
          <w:tcPr>
            <w:tcW w:w="2951" w:type="dxa"/>
            <w:shd w:val="clear" w:color="auto" w:fill="F2DBDB"/>
            <w:vAlign w:val="center"/>
          </w:tcPr>
          <w:p w:rsidR="0054307F" w:rsidRPr="004240F2" w:rsidRDefault="0054307F" w:rsidP="0054307F">
            <w:pPr>
              <w:rPr>
                <w:rFonts w:eastAsia="Calibri" w:cs="Calibri"/>
                <w:sz w:val="16"/>
                <w:szCs w:val="16"/>
                <w:lang w:eastAsia="en-US"/>
              </w:rPr>
            </w:pPr>
            <w:r w:rsidRPr="004240F2">
              <w:rPr>
                <w:rFonts w:eastAsia="Calibri" w:cs="Calibri"/>
                <w:sz w:val="16"/>
                <w:szCs w:val="16"/>
                <w:lang w:eastAsia="en-US"/>
              </w:rPr>
              <w:t>Délka zpracování dávkové úlohy nebrání procesu zpracování údajů.</w:t>
            </w:r>
          </w:p>
        </w:tc>
      </w:tr>
    </w:tbl>
    <w:p w:rsidR="0054307F" w:rsidRPr="0054307F" w:rsidRDefault="0054307F" w:rsidP="0054307F">
      <w:pPr>
        <w:rPr>
          <w:rFonts w:eastAsia="Calibri" w:cs="Calibri"/>
          <w:szCs w:val="22"/>
          <w:lang w:eastAsia="en-US"/>
        </w:rPr>
      </w:pPr>
    </w:p>
    <w:p w:rsidR="0054307F" w:rsidRPr="00C34153" w:rsidRDefault="00392D61" w:rsidP="00C34153">
      <w:pPr>
        <w:pStyle w:val="Odstavecseseznamem"/>
        <w:numPr>
          <w:ilvl w:val="6"/>
          <w:numId w:val="38"/>
        </w:numPr>
        <w:tabs>
          <w:tab w:val="clear" w:pos="4680"/>
        </w:tabs>
        <w:spacing w:before="120" w:after="120"/>
        <w:ind w:left="425" w:hanging="425"/>
        <w:contextualSpacing w:val="0"/>
        <w:rPr>
          <w:szCs w:val="24"/>
        </w:rPr>
      </w:pPr>
      <w:r w:rsidRPr="00C34153">
        <w:rPr>
          <w:szCs w:val="24"/>
        </w:rPr>
        <w:t xml:space="preserve">Zadavatel </w:t>
      </w:r>
      <w:r w:rsidR="0054307F" w:rsidRPr="00C34153">
        <w:rPr>
          <w:szCs w:val="24"/>
        </w:rPr>
        <w:t xml:space="preserve">předpokládá, že ICIS bude provozován na nově dodané HW infrastruktuře, jejíž specifikaci určí </w:t>
      </w:r>
      <w:r w:rsidRPr="00C34153">
        <w:rPr>
          <w:szCs w:val="24"/>
        </w:rPr>
        <w:t>d</w:t>
      </w:r>
      <w:r w:rsidR="000F7926" w:rsidRPr="00C34153">
        <w:rPr>
          <w:szCs w:val="24"/>
        </w:rPr>
        <w:t>odavatel</w:t>
      </w:r>
      <w:r w:rsidR="0054307F" w:rsidRPr="00C34153">
        <w:rPr>
          <w:szCs w:val="24"/>
        </w:rPr>
        <w:t>.</w:t>
      </w:r>
      <w:r w:rsidR="00C34153">
        <w:rPr>
          <w:szCs w:val="24"/>
        </w:rPr>
        <w:t xml:space="preserve"> </w:t>
      </w:r>
      <w:r w:rsidR="0054307F" w:rsidRPr="00C34153">
        <w:rPr>
          <w:szCs w:val="24"/>
        </w:rPr>
        <w:t>HW prvky budou rozmístěny ve třech nezávislých lokacích, přičemž dvě lokace budou sloužit pro redundanci HW prvků a budou výkonově a funkčně ekvivalentní. Třetí lokace bude určena jako geografická záloha systému ICIS.</w:t>
      </w:r>
    </w:p>
    <w:p w:rsidR="0054307F" w:rsidRPr="00F92C85" w:rsidRDefault="0054307F" w:rsidP="00F92C85">
      <w:pPr>
        <w:pStyle w:val="Odstavecseseznamem"/>
        <w:numPr>
          <w:ilvl w:val="6"/>
          <w:numId w:val="38"/>
        </w:numPr>
        <w:tabs>
          <w:tab w:val="clear" w:pos="4680"/>
        </w:tabs>
        <w:spacing w:before="120" w:after="120"/>
        <w:ind w:left="425" w:hanging="425"/>
        <w:contextualSpacing w:val="0"/>
        <w:rPr>
          <w:szCs w:val="24"/>
        </w:rPr>
      </w:pPr>
      <w:r w:rsidRPr="00F92C85">
        <w:rPr>
          <w:szCs w:val="24"/>
        </w:rPr>
        <w:t xml:space="preserve">Na dodané HW infrastruktuře budou provozovány tři kopie systému – ostrý provoz, testovací provoz (předávací) a školící provoz (cvičný). Tato infrastruktura musí být pokryta kompletně licencemi tak, aby nedošlo k žádnému zpochybnění </w:t>
      </w:r>
      <w:r w:rsidR="00392D61">
        <w:rPr>
          <w:szCs w:val="24"/>
        </w:rPr>
        <w:t>zadavatele</w:t>
      </w:r>
      <w:r w:rsidR="00392D61" w:rsidRPr="00F92C85">
        <w:rPr>
          <w:szCs w:val="24"/>
        </w:rPr>
        <w:t xml:space="preserve"> </w:t>
      </w:r>
      <w:r w:rsidRPr="00F92C85">
        <w:rPr>
          <w:szCs w:val="24"/>
        </w:rPr>
        <w:t>jako provozovatele.</w:t>
      </w:r>
    </w:p>
    <w:p w:rsidR="0054307F" w:rsidRPr="00F92C85" w:rsidRDefault="0054307F" w:rsidP="00F92C85">
      <w:pPr>
        <w:pStyle w:val="Odstavecseseznamem"/>
        <w:numPr>
          <w:ilvl w:val="6"/>
          <w:numId w:val="38"/>
        </w:numPr>
        <w:tabs>
          <w:tab w:val="clear" w:pos="4680"/>
        </w:tabs>
        <w:spacing w:before="120" w:after="120"/>
        <w:ind w:left="425" w:hanging="425"/>
        <w:contextualSpacing w:val="0"/>
        <w:rPr>
          <w:szCs w:val="24"/>
        </w:rPr>
      </w:pPr>
      <w:r w:rsidRPr="00F92C85">
        <w:rPr>
          <w:szCs w:val="24"/>
        </w:rPr>
        <w:t xml:space="preserve">Součástí specifikace HW infrastruktury budou požadavky na </w:t>
      </w:r>
      <w:r w:rsidR="00392D61">
        <w:rPr>
          <w:szCs w:val="24"/>
        </w:rPr>
        <w:t>zadavatele</w:t>
      </w:r>
      <w:r w:rsidR="00392D61" w:rsidRPr="00F92C85">
        <w:rPr>
          <w:szCs w:val="24"/>
        </w:rPr>
        <w:t xml:space="preserve"> </w:t>
      </w:r>
      <w:r w:rsidRPr="00F92C85">
        <w:rPr>
          <w:szCs w:val="24"/>
        </w:rPr>
        <w:t>(v detailu minimálně dle lokací):</w:t>
      </w:r>
    </w:p>
    <w:p w:rsidR="0054307F" w:rsidRPr="00F92C85" w:rsidRDefault="0054307F" w:rsidP="00F92C85">
      <w:pPr>
        <w:numPr>
          <w:ilvl w:val="0"/>
          <w:numId w:val="40"/>
        </w:numPr>
        <w:spacing w:before="120" w:after="120"/>
        <w:jc w:val="both"/>
        <w:rPr>
          <w:rFonts w:eastAsia="Calibri"/>
          <w:szCs w:val="22"/>
          <w:lang w:eastAsia="ar-SA"/>
        </w:rPr>
      </w:pPr>
      <w:r w:rsidRPr="00F92C85">
        <w:rPr>
          <w:rFonts w:eastAsia="Calibri"/>
          <w:szCs w:val="22"/>
          <w:lang w:eastAsia="ar-SA"/>
        </w:rPr>
        <w:t>Požadovaný příkon elektrické sítě.</w:t>
      </w:r>
    </w:p>
    <w:p w:rsidR="0054307F" w:rsidRPr="00F92C85" w:rsidRDefault="0054307F" w:rsidP="00F92C85">
      <w:pPr>
        <w:numPr>
          <w:ilvl w:val="0"/>
          <w:numId w:val="40"/>
        </w:numPr>
        <w:spacing w:before="120" w:after="120"/>
        <w:jc w:val="both"/>
        <w:rPr>
          <w:rFonts w:eastAsia="Calibri"/>
          <w:szCs w:val="22"/>
          <w:lang w:eastAsia="ar-SA"/>
        </w:rPr>
      </w:pPr>
      <w:r w:rsidRPr="00F92C85">
        <w:rPr>
          <w:rFonts w:eastAsia="Calibri"/>
          <w:szCs w:val="22"/>
          <w:lang w:eastAsia="ar-SA"/>
        </w:rPr>
        <w:t>Prostorové nároky HW prvků.</w:t>
      </w:r>
    </w:p>
    <w:p w:rsidR="0054307F" w:rsidRPr="00F92C85" w:rsidRDefault="0054307F" w:rsidP="00F92C85">
      <w:pPr>
        <w:numPr>
          <w:ilvl w:val="0"/>
          <w:numId w:val="40"/>
        </w:numPr>
        <w:spacing w:before="120" w:after="120"/>
        <w:jc w:val="both"/>
        <w:rPr>
          <w:rFonts w:eastAsia="Calibri"/>
          <w:szCs w:val="22"/>
          <w:lang w:eastAsia="ar-SA"/>
        </w:rPr>
      </w:pPr>
      <w:r w:rsidRPr="00F92C85">
        <w:rPr>
          <w:rFonts w:eastAsia="Calibri"/>
          <w:szCs w:val="22"/>
          <w:lang w:eastAsia="ar-SA"/>
        </w:rPr>
        <w:t>Hmotnost HW prvků.</w:t>
      </w:r>
    </w:p>
    <w:p w:rsidR="0054307F" w:rsidRPr="00F92C85" w:rsidRDefault="0054307F" w:rsidP="00F92C85">
      <w:pPr>
        <w:numPr>
          <w:ilvl w:val="0"/>
          <w:numId w:val="40"/>
        </w:numPr>
        <w:spacing w:before="120" w:after="120"/>
        <w:jc w:val="both"/>
        <w:rPr>
          <w:rFonts w:eastAsia="Calibri"/>
          <w:szCs w:val="22"/>
          <w:lang w:eastAsia="ar-SA"/>
        </w:rPr>
      </w:pPr>
      <w:r w:rsidRPr="00F92C85">
        <w:rPr>
          <w:rFonts w:eastAsia="Calibri"/>
          <w:szCs w:val="22"/>
          <w:lang w:eastAsia="ar-SA"/>
        </w:rPr>
        <w:t>Požadavky na chladící jednotky.</w:t>
      </w:r>
    </w:p>
    <w:p w:rsidR="0054307F" w:rsidRPr="00F92C85" w:rsidRDefault="0054307F" w:rsidP="00F92C85">
      <w:pPr>
        <w:numPr>
          <w:ilvl w:val="0"/>
          <w:numId w:val="40"/>
        </w:numPr>
        <w:spacing w:before="120" w:after="120"/>
        <w:jc w:val="both"/>
        <w:rPr>
          <w:rFonts w:eastAsia="Calibri"/>
          <w:szCs w:val="22"/>
          <w:lang w:eastAsia="ar-SA"/>
        </w:rPr>
      </w:pPr>
      <w:r w:rsidRPr="00F92C85">
        <w:rPr>
          <w:rFonts w:eastAsia="Calibri"/>
          <w:szCs w:val="22"/>
          <w:lang w:eastAsia="ar-SA"/>
        </w:rPr>
        <w:t>Požadavky na síťovou infrastrukturu pro propojení lokací, uživatelských stanic.</w:t>
      </w:r>
    </w:p>
    <w:p w:rsidR="0054307F" w:rsidRPr="00D45B19" w:rsidRDefault="0054307F" w:rsidP="00F92C85">
      <w:pPr>
        <w:pStyle w:val="Odstavecseseznamem"/>
        <w:numPr>
          <w:ilvl w:val="6"/>
          <w:numId w:val="38"/>
        </w:numPr>
        <w:tabs>
          <w:tab w:val="clear" w:pos="4680"/>
        </w:tabs>
        <w:spacing w:before="120" w:after="120"/>
        <w:ind w:left="425" w:hanging="425"/>
        <w:contextualSpacing w:val="0"/>
        <w:rPr>
          <w:szCs w:val="24"/>
        </w:rPr>
      </w:pPr>
      <w:r w:rsidRPr="00F92C85">
        <w:rPr>
          <w:szCs w:val="24"/>
        </w:rPr>
        <w:t xml:space="preserve">ICIS bude podporovat stávající tiskárny provozované v prostředí </w:t>
      </w:r>
      <w:r w:rsidR="00C34153">
        <w:rPr>
          <w:szCs w:val="24"/>
        </w:rPr>
        <w:t>zadavatele</w:t>
      </w:r>
      <w:r w:rsidRPr="00F92C85">
        <w:rPr>
          <w:szCs w:val="24"/>
        </w:rPr>
        <w:t xml:space="preserve">. Bude-li některá z funkčností ICIS vyžadovat použití specifického typu tiskárny, musí být tato informace explicitně uvedena. Výčet používaných typů tiskáren je uveden v příloze </w:t>
      </w:r>
      <w:r w:rsidR="00D45B19" w:rsidRPr="00D45B19">
        <w:rPr>
          <w:szCs w:val="24"/>
        </w:rPr>
        <w:t>studie proveditelnosti</w:t>
      </w:r>
      <w:r w:rsidRPr="00D45B19">
        <w:rPr>
          <w:szCs w:val="24"/>
        </w:rPr>
        <w:t>.</w:t>
      </w:r>
    </w:p>
    <w:p w:rsidR="0054307F" w:rsidRPr="00D45B19" w:rsidRDefault="0054307F" w:rsidP="00F92C85">
      <w:pPr>
        <w:pStyle w:val="Odstavecseseznamem"/>
        <w:numPr>
          <w:ilvl w:val="6"/>
          <w:numId w:val="38"/>
        </w:numPr>
        <w:tabs>
          <w:tab w:val="clear" w:pos="4680"/>
        </w:tabs>
        <w:spacing w:before="120" w:after="120"/>
        <w:ind w:left="425" w:hanging="425"/>
        <w:contextualSpacing w:val="0"/>
        <w:rPr>
          <w:szCs w:val="24"/>
        </w:rPr>
      </w:pPr>
      <w:r w:rsidRPr="00D45B19">
        <w:rPr>
          <w:szCs w:val="24"/>
        </w:rPr>
        <w:t xml:space="preserve">ICIS bude podporovat čtečky čárových kódů provozované v prostředí </w:t>
      </w:r>
      <w:r w:rsidR="00C34153">
        <w:rPr>
          <w:szCs w:val="24"/>
        </w:rPr>
        <w:t>zadavatele</w:t>
      </w:r>
      <w:r w:rsidRPr="00D45B19">
        <w:rPr>
          <w:szCs w:val="24"/>
        </w:rPr>
        <w:t>. Bude-li ICIS vyžadovat specifickou čtečku čárových kódů, musí být tato informace explicitně uvedena. Výčet používaných čteček čárových kódů je uveden v příloze</w:t>
      </w:r>
      <w:r w:rsidR="00D45B19">
        <w:rPr>
          <w:szCs w:val="24"/>
        </w:rPr>
        <w:t xml:space="preserve"> studie proveditelnosti</w:t>
      </w:r>
      <w:r w:rsidRPr="00D45B19">
        <w:rPr>
          <w:szCs w:val="24"/>
        </w:rPr>
        <w:t>.</w:t>
      </w:r>
    </w:p>
    <w:p w:rsidR="0054307F" w:rsidRPr="00D45B19" w:rsidRDefault="0054307F" w:rsidP="00F92C85">
      <w:pPr>
        <w:pStyle w:val="Odstavecseseznamem"/>
        <w:numPr>
          <w:ilvl w:val="6"/>
          <w:numId w:val="38"/>
        </w:numPr>
        <w:tabs>
          <w:tab w:val="clear" w:pos="4680"/>
        </w:tabs>
        <w:spacing w:before="120" w:after="120"/>
        <w:ind w:left="425" w:hanging="425"/>
        <w:contextualSpacing w:val="0"/>
        <w:rPr>
          <w:szCs w:val="24"/>
        </w:rPr>
      </w:pPr>
      <w:r w:rsidRPr="00D45B19">
        <w:rPr>
          <w:szCs w:val="24"/>
        </w:rPr>
        <w:t xml:space="preserve">ICIS bude podporovat terminály pro bezhotovostní platby provozované v prostředí </w:t>
      </w:r>
      <w:r w:rsidR="00C34153">
        <w:rPr>
          <w:szCs w:val="24"/>
        </w:rPr>
        <w:t>zadavatele</w:t>
      </w:r>
      <w:r w:rsidRPr="00D45B19">
        <w:rPr>
          <w:szCs w:val="24"/>
        </w:rPr>
        <w:t xml:space="preserve">. Výčet používaných terminálů bezhotovostních plateb je uveden v příloze </w:t>
      </w:r>
      <w:r w:rsidR="00D45B19">
        <w:rPr>
          <w:szCs w:val="24"/>
        </w:rPr>
        <w:t>studie proveditelnosti</w:t>
      </w:r>
      <w:r w:rsidRPr="00D45B19">
        <w:rPr>
          <w:szCs w:val="24"/>
        </w:rPr>
        <w:t>.</w:t>
      </w:r>
    </w:p>
    <w:p w:rsidR="0054307F" w:rsidRPr="00F92C85" w:rsidRDefault="000F7926" w:rsidP="00F92C85">
      <w:pPr>
        <w:pStyle w:val="Odstavecseseznamem"/>
        <w:numPr>
          <w:ilvl w:val="6"/>
          <w:numId w:val="38"/>
        </w:numPr>
        <w:tabs>
          <w:tab w:val="clear" w:pos="4680"/>
        </w:tabs>
        <w:spacing w:before="120" w:after="120"/>
        <w:ind w:left="425" w:hanging="425"/>
        <w:contextualSpacing w:val="0"/>
        <w:rPr>
          <w:szCs w:val="24"/>
        </w:rPr>
      </w:pPr>
      <w:r>
        <w:rPr>
          <w:szCs w:val="24"/>
        </w:rPr>
        <w:t>Dodavatel</w:t>
      </w:r>
      <w:r w:rsidR="0054307F" w:rsidRPr="00F92C85">
        <w:rPr>
          <w:szCs w:val="24"/>
        </w:rPr>
        <w:t xml:space="preserve"> nového ICIS vypracuje specifikaci HW, na kterém bude nový ICIS provozován. </w:t>
      </w:r>
      <w:r w:rsidR="00C34153">
        <w:rPr>
          <w:szCs w:val="24"/>
        </w:rPr>
        <w:t>Zadavatel</w:t>
      </w:r>
      <w:r w:rsidR="00C34153" w:rsidRPr="00F92C85">
        <w:rPr>
          <w:szCs w:val="24"/>
        </w:rPr>
        <w:t xml:space="preserve"> </w:t>
      </w:r>
      <w:r w:rsidR="0054307F" w:rsidRPr="00F92C85">
        <w:rPr>
          <w:szCs w:val="24"/>
        </w:rPr>
        <w:t xml:space="preserve">bude realizovat nákup HW samostatně mimo dodávku ICIS (jiný dodavatel). Soupis HW musí být natolik detailní, aby </w:t>
      </w:r>
      <w:r w:rsidR="00C34153">
        <w:rPr>
          <w:szCs w:val="24"/>
        </w:rPr>
        <w:t>d</w:t>
      </w:r>
      <w:r>
        <w:rPr>
          <w:szCs w:val="24"/>
        </w:rPr>
        <w:t>odavatel</w:t>
      </w:r>
      <w:r w:rsidR="0054307F" w:rsidRPr="00F92C85">
        <w:rPr>
          <w:szCs w:val="24"/>
        </w:rPr>
        <w:t xml:space="preserve"> garantoval provoz systému na HW splňujícím uvedenou konfiguraci. Náklady na HW nejsou zahrnuty do ceny </w:t>
      </w:r>
      <w:r w:rsidR="00C34153">
        <w:rPr>
          <w:szCs w:val="24"/>
        </w:rPr>
        <w:t>dodávky (této zadávané veřejné zakázky)</w:t>
      </w:r>
      <w:r w:rsidR="0054307F" w:rsidRPr="00F92C85">
        <w:rPr>
          <w:szCs w:val="24"/>
        </w:rPr>
        <w:t>, avšak náklady na licence potřebného SW (včetně operačních systémů) do této ceny zahrnuty budou.</w:t>
      </w:r>
      <w:r w:rsidR="00C34153">
        <w:rPr>
          <w:szCs w:val="24"/>
        </w:rPr>
        <w:t xml:space="preserve"> </w:t>
      </w:r>
      <w:r w:rsidR="00C34153" w:rsidRPr="00E773A8">
        <w:rPr>
          <w:lang w:eastAsia="ar-SA"/>
        </w:rPr>
        <w:t>Vzhledem ke skutečnosti, že požadovaný HW bude zadavatel zadávat v zadávacím řízení dle zákona, musí být veškeré požadavky dodavatele na tento HW v návrhu formulovány takovým způsobem, který bude plně v souladu se ZVZ, resp. s novým zákonem o zadávání veřejných zakázek (a to primárně s požadavky obsaženými v § 44 odst. 11 ZVZ a § 45 ZVZ, resp. obdobnými požadavky vymezenými v novém zákoně o zadávání veřejných zakázek).</w:t>
      </w:r>
      <w:r w:rsidR="00C34153">
        <w:rPr>
          <w:lang w:eastAsia="ar-SA"/>
        </w:rPr>
        <w:t xml:space="preserve"> </w:t>
      </w:r>
      <w:r w:rsidR="00C34153" w:rsidRPr="00E773A8">
        <w:rPr>
          <w:b/>
          <w:u w:val="single"/>
          <w:lang w:eastAsia="ar-SA"/>
        </w:rPr>
        <w:t xml:space="preserve">Celková výše nákladů na pořízení nového HW dle specifikace dodavatele nesmí přesáhnout </w:t>
      </w:r>
      <w:r w:rsidR="00BA7E7B">
        <w:rPr>
          <w:b/>
          <w:u w:val="single"/>
          <w:lang w:eastAsia="ar-SA"/>
        </w:rPr>
        <w:t>22.200.000</w:t>
      </w:r>
      <w:r w:rsidR="00C34153" w:rsidRPr="00E773A8">
        <w:rPr>
          <w:b/>
          <w:u w:val="single"/>
          <w:lang w:eastAsia="ar-SA"/>
        </w:rPr>
        <w:t>,- Kč bez DPH.</w:t>
      </w:r>
    </w:p>
    <w:p w:rsidR="0054307F" w:rsidRPr="00F92C85" w:rsidRDefault="0054307F" w:rsidP="00F92C85">
      <w:pPr>
        <w:pStyle w:val="Odstavecseseznamem"/>
        <w:numPr>
          <w:ilvl w:val="6"/>
          <w:numId w:val="38"/>
        </w:numPr>
        <w:tabs>
          <w:tab w:val="clear" w:pos="4680"/>
        </w:tabs>
        <w:spacing w:before="120" w:after="120"/>
        <w:ind w:left="425" w:hanging="425"/>
        <w:contextualSpacing w:val="0"/>
        <w:rPr>
          <w:szCs w:val="24"/>
        </w:rPr>
      </w:pPr>
      <w:r w:rsidRPr="00F92C85">
        <w:rPr>
          <w:szCs w:val="24"/>
        </w:rPr>
        <w:lastRenderedPageBreak/>
        <w:t>V další části je uvedena specifikace očekávané struktury prvků infrastruktury a HW pro zajištění chodu ICIS.</w:t>
      </w:r>
      <w:bookmarkStart w:id="7" w:name="_Ref324271975"/>
      <w:bookmarkStart w:id="8" w:name="_Ref324271982"/>
      <w:bookmarkStart w:id="9" w:name="_Toc324419160"/>
      <w:bookmarkStart w:id="10" w:name="_Toc324419357"/>
      <w:bookmarkStart w:id="11" w:name="_Toc324421860"/>
      <w:bookmarkEnd w:id="7"/>
      <w:bookmarkEnd w:id="8"/>
      <w:bookmarkEnd w:id="9"/>
      <w:bookmarkEnd w:id="10"/>
      <w:bookmarkEnd w:id="11"/>
      <w:r w:rsidRPr="00F92C85">
        <w:rPr>
          <w:szCs w:val="24"/>
        </w:rPr>
        <w:t xml:space="preserve"> Jde o návrh prvků infrastruktury pro zajištění chodu systému a jeho průběžný rozvoj, testování a zálohování.</w:t>
      </w:r>
    </w:p>
    <w:p w:rsidR="0054307F" w:rsidRPr="00F92C85" w:rsidRDefault="002477D4" w:rsidP="00F92C85">
      <w:pPr>
        <w:numPr>
          <w:ilvl w:val="0"/>
          <w:numId w:val="41"/>
        </w:numPr>
        <w:spacing w:before="120" w:after="120"/>
        <w:jc w:val="both"/>
        <w:rPr>
          <w:rFonts w:eastAsia="Calibri"/>
          <w:b/>
          <w:szCs w:val="22"/>
          <w:lang w:eastAsia="ar-SA"/>
        </w:rPr>
      </w:pPr>
      <w:bookmarkStart w:id="12" w:name="_Toc324419161"/>
      <w:bookmarkStart w:id="13" w:name="_Toc324419358"/>
      <w:bookmarkStart w:id="14" w:name="_Toc324421861"/>
      <w:r w:rsidRPr="00F92C85">
        <w:rPr>
          <w:rFonts w:eastAsia="Calibri"/>
          <w:b/>
          <w:szCs w:val="22"/>
          <w:lang w:eastAsia="ar-SA"/>
        </w:rPr>
        <w:t xml:space="preserve">Požadavky </w:t>
      </w:r>
      <w:r w:rsidR="00C34153">
        <w:rPr>
          <w:rFonts w:eastAsia="Calibri"/>
          <w:b/>
          <w:szCs w:val="22"/>
          <w:lang w:eastAsia="ar-SA"/>
        </w:rPr>
        <w:t>zadavatele</w:t>
      </w:r>
      <w:r w:rsidR="00C34153" w:rsidRPr="00F92C85">
        <w:rPr>
          <w:rFonts w:eastAsia="Calibri"/>
          <w:b/>
          <w:szCs w:val="22"/>
          <w:lang w:eastAsia="ar-SA"/>
        </w:rPr>
        <w:t xml:space="preserve"> </w:t>
      </w:r>
      <w:r w:rsidRPr="00F92C85">
        <w:rPr>
          <w:rFonts w:eastAsia="Calibri"/>
          <w:b/>
          <w:szCs w:val="22"/>
          <w:lang w:eastAsia="ar-SA"/>
        </w:rPr>
        <w:t xml:space="preserve">na </w:t>
      </w:r>
      <w:r w:rsidR="00F92C85" w:rsidRPr="00F92C85">
        <w:rPr>
          <w:rFonts w:eastAsia="Calibri"/>
          <w:b/>
          <w:szCs w:val="22"/>
          <w:lang w:eastAsia="ar-SA"/>
        </w:rPr>
        <w:t>HW infrastrukturu</w:t>
      </w:r>
      <w:r w:rsidR="0054307F" w:rsidRPr="00F92C85">
        <w:rPr>
          <w:rFonts w:eastAsia="Calibri"/>
          <w:b/>
          <w:szCs w:val="22"/>
          <w:lang w:eastAsia="ar-SA"/>
        </w:rPr>
        <w:t xml:space="preserve"> ICIS</w:t>
      </w:r>
      <w:bookmarkEnd w:id="12"/>
      <w:bookmarkEnd w:id="13"/>
      <w:bookmarkEnd w:id="14"/>
    </w:p>
    <w:p w:rsidR="0054307F" w:rsidRPr="00F92C85" w:rsidRDefault="0054307F" w:rsidP="00F92C85">
      <w:pPr>
        <w:spacing w:before="120" w:after="120"/>
        <w:ind w:left="720"/>
        <w:jc w:val="both"/>
        <w:rPr>
          <w:rFonts w:eastAsia="Calibri"/>
          <w:szCs w:val="22"/>
          <w:lang w:eastAsia="ar-SA"/>
        </w:rPr>
      </w:pPr>
      <w:r w:rsidRPr="00F92C85">
        <w:rPr>
          <w:rFonts w:eastAsia="Calibri"/>
          <w:szCs w:val="22"/>
          <w:lang w:eastAsia="ar-SA"/>
        </w:rPr>
        <w:t xml:space="preserve">Následující schéma obsahuje logické HW schéma prostředí serverů navrhovaného systému ICIS ve zjednodušené, přehledné formě. Neuvádí odpovídající aktivní prvky sítí LAN, WAN a SAN, které jsou </w:t>
      </w:r>
      <w:r w:rsidR="00C34153">
        <w:rPr>
          <w:rFonts w:eastAsia="Calibri"/>
          <w:szCs w:val="22"/>
          <w:lang w:eastAsia="ar-SA"/>
        </w:rPr>
        <w:t>d</w:t>
      </w:r>
      <w:r w:rsidR="000F7926">
        <w:rPr>
          <w:rFonts w:eastAsia="Calibri"/>
          <w:szCs w:val="22"/>
          <w:lang w:eastAsia="ar-SA"/>
        </w:rPr>
        <w:t>odavatel</w:t>
      </w:r>
      <w:r w:rsidRPr="00F92C85">
        <w:rPr>
          <w:rFonts w:eastAsia="Calibri"/>
          <w:szCs w:val="22"/>
          <w:lang w:eastAsia="ar-SA"/>
        </w:rPr>
        <w:t>i jako odborníkovi (technikovi) zřejmé a celé schéma by značně znepřehlednily.</w:t>
      </w:r>
    </w:p>
    <w:p w:rsidR="0054307F" w:rsidRPr="0054307F" w:rsidRDefault="00D26249" w:rsidP="00890EE0">
      <w:pPr>
        <w:ind w:left="1134"/>
        <w:jc w:val="center"/>
        <w:rPr>
          <w:rFonts w:eastAsia="Calibri" w:cs="Calibri"/>
          <w:lang w:eastAsia="en-US"/>
        </w:rPr>
      </w:pPr>
      <w:r>
        <w:rPr>
          <w:rFonts w:eastAsia="Calibri" w:cs="Calibri"/>
          <w:noProof/>
          <w:szCs w:val="22"/>
        </w:rPr>
        <w:drawing>
          <wp:inline distT="0" distB="0" distL="0" distR="0">
            <wp:extent cx="3810000" cy="4295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4295775"/>
                    </a:xfrm>
                    <a:prstGeom prst="rect">
                      <a:avLst/>
                    </a:prstGeom>
                    <a:noFill/>
                    <a:ln>
                      <a:noFill/>
                    </a:ln>
                  </pic:spPr>
                </pic:pic>
              </a:graphicData>
            </a:graphic>
          </wp:inline>
        </w:drawing>
      </w:r>
    </w:p>
    <w:p w:rsidR="0054307F" w:rsidRPr="0054307F" w:rsidRDefault="0054307F" w:rsidP="00890EE0">
      <w:pPr>
        <w:jc w:val="both"/>
        <w:rPr>
          <w:rFonts w:eastAsia="Calibri" w:cs="Calibri"/>
          <w:i/>
          <w:lang w:eastAsia="en-US"/>
        </w:rPr>
      </w:pPr>
    </w:p>
    <w:p w:rsidR="0054307F" w:rsidRPr="00F92C85" w:rsidRDefault="0054307F" w:rsidP="00F92C85">
      <w:pPr>
        <w:spacing w:before="120" w:after="120"/>
        <w:ind w:left="720"/>
        <w:jc w:val="both"/>
        <w:rPr>
          <w:rFonts w:eastAsia="Calibri"/>
          <w:szCs w:val="22"/>
          <w:lang w:eastAsia="ar-SA"/>
        </w:rPr>
      </w:pPr>
      <w:r w:rsidRPr="00F92C85">
        <w:rPr>
          <w:rFonts w:eastAsia="Calibri"/>
          <w:szCs w:val="22"/>
          <w:lang w:eastAsia="ar-SA"/>
        </w:rPr>
        <w:t xml:space="preserve">Celé řešení ICIS </w:t>
      </w:r>
      <w:r w:rsidR="002477D4" w:rsidRPr="00F92C85">
        <w:rPr>
          <w:rFonts w:eastAsia="Calibri"/>
          <w:szCs w:val="22"/>
          <w:lang w:eastAsia="ar-SA"/>
        </w:rPr>
        <w:t xml:space="preserve">požadujeme </w:t>
      </w:r>
      <w:r w:rsidRPr="00F92C85">
        <w:rPr>
          <w:rFonts w:eastAsia="Calibri"/>
          <w:szCs w:val="22"/>
          <w:lang w:eastAsia="ar-SA"/>
        </w:rPr>
        <w:t>rozdělit do tří základních bezpečnostních perimetrů odpovídajících jednotlivým vrstvám aplikace:</w:t>
      </w:r>
    </w:p>
    <w:p w:rsidR="0054307F" w:rsidRPr="00F92C85" w:rsidRDefault="0054307F" w:rsidP="00F92C85">
      <w:pPr>
        <w:numPr>
          <w:ilvl w:val="0"/>
          <w:numId w:val="18"/>
        </w:numPr>
        <w:spacing w:before="120" w:after="120"/>
        <w:ind w:left="993" w:hanging="284"/>
        <w:jc w:val="both"/>
        <w:rPr>
          <w:rFonts w:eastAsia="Calibri"/>
          <w:szCs w:val="22"/>
          <w:lang w:eastAsia="ar-SA"/>
        </w:rPr>
      </w:pPr>
      <w:r w:rsidRPr="00F92C85">
        <w:rPr>
          <w:rFonts w:eastAsia="Calibri"/>
          <w:szCs w:val="22"/>
          <w:lang w:eastAsia="ar-SA"/>
        </w:rPr>
        <w:t xml:space="preserve">Prezentační vrstva – zahrnuje v sobě uživatele systému ICIS, jejich pracovní stanice, tiskárny, čtečky kódů a další periferie včetně případných přenosných zařízení. Dále obsahuje farmu serverů prezentační vrstvy ICIS tvořené čtyřmi fyzickými uzly terminálových serverů (konkrétně </w:t>
      </w:r>
      <w:proofErr w:type="spellStart"/>
      <w:r w:rsidRPr="00F92C85">
        <w:rPr>
          <w:rFonts w:eastAsia="Calibri"/>
          <w:szCs w:val="22"/>
          <w:lang w:eastAsia="ar-SA"/>
        </w:rPr>
        <w:t>Remote</w:t>
      </w:r>
      <w:proofErr w:type="spellEnd"/>
      <w:r w:rsidRPr="00F92C85">
        <w:rPr>
          <w:rFonts w:eastAsia="Calibri"/>
          <w:szCs w:val="22"/>
          <w:lang w:eastAsia="ar-SA"/>
        </w:rPr>
        <w:t xml:space="preserve"> Desktop Session Host). Součástí tohoto perimetru je i existující doména adresáře MS </w:t>
      </w:r>
      <w:proofErr w:type="spellStart"/>
      <w:r w:rsidRPr="00F92C85">
        <w:rPr>
          <w:rFonts w:eastAsia="Calibri"/>
          <w:szCs w:val="22"/>
          <w:lang w:eastAsia="ar-SA"/>
        </w:rPr>
        <w:t>Active</w:t>
      </w:r>
      <w:proofErr w:type="spellEnd"/>
      <w:r w:rsidRPr="00F92C85">
        <w:rPr>
          <w:rFonts w:eastAsia="Calibri"/>
          <w:szCs w:val="22"/>
          <w:lang w:eastAsia="ar-SA"/>
        </w:rPr>
        <w:t xml:space="preserve"> </w:t>
      </w:r>
      <w:proofErr w:type="spellStart"/>
      <w:r w:rsidRPr="00F92C85">
        <w:rPr>
          <w:rFonts w:eastAsia="Calibri"/>
          <w:szCs w:val="22"/>
          <w:lang w:eastAsia="ar-SA"/>
        </w:rPr>
        <w:t>Directory</w:t>
      </w:r>
      <w:proofErr w:type="spellEnd"/>
      <w:r w:rsidRPr="00F92C85">
        <w:rPr>
          <w:rFonts w:eastAsia="Calibri"/>
          <w:szCs w:val="22"/>
          <w:lang w:eastAsia="ar-SA"/>
        </w:rPr>
        <w:t xml:space="preserve"> obsahující mimo jiné účty uživatelů, stanic a případně dalších periferních zařízení, která to umožňují. Uživatelé přistupují k prezentační vrstvě ze svých stanic pomocí vzdáleného terminálového připojení (</w:t>
      </w:r>
      <w:proofErr w:type="spellStart"/>
      <w:r w:rsidRPr="00F92C85">
        <w:rPr>
          <w:rFonts w:eastAsia="Calibri"/>
          <w:szCs w:val="22"/>
          <w:lang w:eastAsia="ar-SA"/>
        </w:rPr>
        <w:t>Remote</w:t>
      </w:r>
      <w:proofErr w:type="spellEnd"/>
      <w:r w:rsidRPr="00F92C85">
        <w:rPr>
          <w:rFonts w:eastAsia="Calibri"/>
          <w:szCs w:val="22"/>
          <w:lang w:eastAsia="ar-SA"/>
        </w:rPr>
        <w:t xml:space="preserve"> Desktop </w:t>
      </w:r>
      <w:proofErr w:type="spellStart"/>
      <w:r w:rsidRPr="00F92C85">
        <w:rPr>
          <w:rFonts w:eastAsia="Calibri"/>
          <w:szCs w:val="22"/>
          <w:lang w:eastAsia="ar-SA"/>
        </w:rPr>
        <w:t>Client</w:t>
      </w:r>
      <w:proofErr w:type="spellEnd"/>
      <w:r w:rsidRPr="00F92C85">
        <w:rPr>
          <w:rFonts w:eastAsia="Calibri"/>
          <w:szCs w:val="22"/>
          <w:lang w:eastAsia="ar-SA"/>
        </w:rPr>
        <w:t>).</w:t>
      </w:r>
    </w:p>
    <w:p w:rsidR="0054307F" w:rsidRPr="00F92C85" w:rsidRDefault="0054307F" w:rsidP="00F92C85">
      <w:pPr>
        <w:numPr>
          <w:ilvl w:val="0"/>
          <w:numId w:val="18"/>
        </w:numPr>
        <w:spacing w:before="120" w:after="120"/>
        <w:ind w:left="993" w:hanging="284"/>
        <w:jc w:val="both"/>
        <w:rPr>
          <w:rFonts w:eastAsia="Calibri"/>
          <w:szCs w:val="22"/>
          <w:lang w:eastAsia="ar-SA"/>
        </w:rPr>
      </w:pPr>
      <w:r w:rsidRPr="00F92C85">
        <w:rPr>
          <w:rFonts w:eastAsia="Calibri"/>
          <w:szCs w:val="22"/>
          <w:lang w:eastAsia="ar-SA"/>
        </w:rPr>
        <w:t xml:space="preserve">Aplikační vrstva je tvořena trojicí fyzických serverů hostujících </w:t>
      </w:r>
      <w:proofErr w:type="spellStart"/>
      <w:r w:rsidRPr="00F92C85">
        <w:rPr>
          <w:rFonts w:eastAsia="Calibri"/>
          <w:szCs w:val="22"/>
          <w:lang w:eastAsia="ar-SA"/>
        </w:rPr>
        <w:t>virtualizované</w:t>
      </w:r>
      <w:proofErr w:type="spellEnd"/>
      <w:r w:rsidRPr="00F92C85">
        <w:rPr>
          <w:rFonts w:eastAsia="Calibri"/>
          <w:szCs w:val="22"/>
          <w:lang w:eastAsia="ar-SA"/>
        </w:rPr>
        <w:t xml:space="preserve"> prostředí aplikačních serverů (viz dále) a fyzickým serverem pro management a primární doménový řadič centra.</w:t>
      </w:r>
    </w:p>
    <w:p w:rsidR="0054307F" w:rsidRPr="00F92C85" w:rsidRDefault="0054307F" w:rsidP="00F92C85">
      <w:pPr>
        <w:numPr>
          <w:ilvl w:val="0"/>
          <w:numId w:val="18"/>
        </w:numPr>
        <w:spacing w:before="120" w:after="120"/>
        <w:ind w:left="993" w:hanging="284"/>
        <w:jc w:val="both"/>
        <w:rPr>
          <w:rFonts w:eastAsia="Calibri"/>
          <w:szCs w:val="22"/>
          <w:lang w:eastAsia="ar-SA"/>
        </w:rPr>
      </w:pPr>
      <w:r w:rsidRPr="00F92C85">
        <w:rPr>
          <w:rFonts w:eastAsia="Calibri"/>
          <w:szCs w:val="22"/>
          <w:lang w:eastAsia="ar-SA"/>
        </w:rPr>
        <w:lastRenderedPageBreak/>
        <w:t xml:space="preserve">Databázová vrstva je tvořena dvojicí fyzických databázových serverů a společnou sítí SAN obsahující sdílenou diskovou kapacitu a dále zálohovací zařízení. Databázová a aplikační vrstva jsou též členy společné domény </w:t>
      </w:r>
      <w:proofErr w:type="spellStart"/>
      <w:r w:rsidRPr="00F92C85">
        <w:rPr>
          <w:rFonts w:eastAsia="Calibri"/>
          <w:szCs w:val="22"/>
          <w:lang w:eastAsia="ar-SA"/>
        </w:rPr>
        <w:t>Active</w:t>
      </w:r>
      <w:proofErr w:type="spellEnd"/>
      <w:r w:rsidRPr="00F92C85">
        <w:rPr>
          <w:rFonts w:eastAsia="Calibri"/>
          <w:szCs w:val="22"/>
          <w:lang w:eastAsia="ar-SA"/>
        </w:rPr>
        <w:t xml:space="preserve"> </w:t>
      </w:r>
      <w:proofErr w:type="spellStart"/>
      <w:r w:rsidRPr="00F92C85">
        <w:rPr>
          <w:rFonts w:eastAsia="Calibri"/>
          <w:szCs w:val="22"/>
          <w:lang w:eastAsia="ar-SA"/>
        </w:rPr>
        <w:t>Directory</w:t>
      </w:r>
      <w:proofErr w:type="spellEnd"/>
      <w:r w:rsidRPr="00F92C85">
        <w:rPr>
          <w:rFonts w:eastAsia="Calibri"/>
          <w:szCs w:val="22"/>
          <w:lang w:eastAsia="ar-SA"/>
        </w:rPr>
        <w:t xml:space="preserve"> centra podřízené hlavní doméně v rámci jednostranného vztahu důvěry oddělující z bezpečnostních důvodů serverové a aplikační účty centra.</w:t>
      </w:r>
    </w:p>
    <w:p w:rsidR="0054307F" w:rsidRPr="0054307F" w:rsidRDefault="0054307F" w:rsidP="00F92C85">
      <w:pPr>
        <w:ind w:left="709"/>
        <w:jc w:val="both"/>
        <w:rPr>
          <w:rFonts w:eastAsia="Calibri" w:cs="Calibri"/>
          <w:szCs w:val="22"/>
          <w:lang w:eastAsia="en-US"/>
        </w:rPr>
      </w:pPr>
      <w:r w:rsidRPr="00F92C85">
        <w:rPr>
          <w:rFonts w:eastAsia="Calibri"/>
          <w:szCs w:val="22"/>
          <w:lang w:eastAsia="ar-SA"/>
        </w:rPr>
        <w:t>Pro účely testovacího a školícího prostředí přibude jeden fyzický server v aplikační vrstvě (AS3), který bude hostovat kompletní prostředí odpovídajících virtuálních serverů. Prezentační vrstva poskytne pro účely testování a školení jeden z fyzických uzlů farmy (TS4). Databázová vrstva bude společná – testovací a školící prostředí bude mít svoje vlastní, oddělené databáze. Fyzické servery</w:t>
      </w:r>
      <w:r w:rsidRPr="0054307F">
        <w:rPr>
          <w:rFonts w:eastAsia="Calibri" w:cs="Calibri"/>
          <w:szCs w:val="22"/>
          <w:lang w:eastAsia="en-US"/>
        </w:rPr>
        <w:t xml:space="preserve"> pro testovací a školící prostředí (AS3 a TS4) budou zároveň zálohou pro prostředí provozní v případě výpadku nebo pro období maximální zátěže (sezónní či jiný důvod).</w:t>
      </w:r>
    </w:p>
    <w:p w:rsidR="0054307F" w:rsidRPr="00F92C85" w:rsidRDefault="0054307F" w:rsidP="00F92C85">
      <w:pPr>
        <w:spacing w:before="120" w:after="120"/>
        <w:ind w:left="720"/>
        <w:jc w:val="both"/>
        <w:rPr>
          <w:rFonts w:eastAsia="Calibri"/>
          <w:szCs w:val="22"/>
          <w:lang w:eastAsia="ar-SA"/>
        </w:rPr>
      </w:pPr>
      <w:r w:rsidRPr="00F92C85">
        <w:rPr>
          <w:rFonts w:eastAsia="Calibri"/>
          <w:szCs w:val="22"/>
          <w:lang w:eastAsia="ar-SA"/>
        </w:rPr>
        <w:t xml:space="preserve">S ohledem na aktuální možnosti </w:t>
      </w:r>
      <w:proofErr w:type="spellStart"/>
      <w:r w:rsidRPr="00F92C85">
        <w:rPr>
          <w:rFonts w:eastAsia="Calibri"/>
          <w:szCs w:val="22"/>
          <w:lang w:eastAsia="ar-SA"/>
        </w:rPr>
        <w:t>virtualizace</w:t>
      </w:r>
      <w:proofErr w:type="spellEnd"/>
      <w:r w:rsidRPr="00F92C85">
        <w:rPr>
          <w:rFonts w:eastAsia="Calibri"/>
          <w:szCs w:val="22"/>
          <w:lang w:eastAsia="ar-SA"/>
        </w:rPr>
        <w:t xml:space="preserve"> a fakt, že je potřebné poskytnout vysoký komfort uživatelům v centrále i na odloučených pracovištích a zároveň se jedná o systém s velmi vysokými nároky na celkovou bezpečnost je navrženo využití infrastruktury virtuálních desktopových sezení (</w:t>
      </w:r>
      <w:proofErr w:type="spellStart"/>
      <w:r w:rsidRPr="00F92C85">
        <w:rPr>
          <w:rFonts w:eastAsia="Calibri"/>
          <w:szCs w:val="22"/>
          <w:lang w:eastAsia="ar-SA"/>
        </w:rPr>
        <w:t>Remote</w:t>
      </w:r>
      <w:proofErr w:type="spellEnd"/>
      <w:r w:rsidRPr="00F92C85">
        <w:rPr>
          <w:rFonts w:eastAsia="Calibri"/>
          <w:szCs w:val="22"/>
          <w:lang w:eastAsia="ar-SA"/>
        </w:rPr>
        <w:t xml:space="preserve"> Desktop </w:t>
      </w:r>
      <w:proofErr w:type="spellStart"/>
      <w:r w:rsidRPr="00F92C85">
        <w:rPr>
          <w:rFonts w:eastAsia="Calibri"/>
          <w:szCs w:val="22"/>
          <w:lang w:eastAsia="ar-SA"/>
        </w:rPr>
        <w:t>Sessions</w:t>
      </w:r>
      <w:proofErr w:type="spellEnd"/>
      <w:r w:rsidRPr="00F92C85">
        <w:rPr>
          <w:rFonts w:eastAsia="Calibri"/>
          <w:szCs w:val="22"/>
          <w:lang w:eastAsia="ar-SA"/>
        </w:rPr>
        <w:t>) zpřístupněných terminálovým přístupem. Zásadními výhodami tohoto řešení jsou:</w:t>
      </w:r>
    </w:p>
    <w:p w:rsidR="0054307F" w:rsidRPr="00F92C85" w:rsidRDefault="0054307F" w:rsidP="00F92C85">
      <w:pPr>
        <w:numPr>
          <w:ilvl w:val="0"/>
          <w:numId w:val="18"/>
        </w:numPr>
        <w:spacing w:before="120" w:after="120"/>
        <w:ind w:left="993" w:hanging="284"/>
        <w:jc w:val="both"/>
        <w:rPr>
          <w:rFonts w:eastAsia="Calibri"/>
          <w:szCs w:val="22"/>
          <w:lang w:eastAsia="ar-SA"/>
        </w:rPr>
      </w:pPr>
      <w:r w:rsidRPr="00F92C85">
        <w:rPr>
          <w:rFonts w:eastAsia="Calibri"/>
          <w:szCs w:val="22"/>
          <w:lang w:eastAsia="ar-SA"/>
        </w:rPr>
        <w:t>Vysoká bezpečnost – koncové zařízení uživatele neobsahuje žádná data systému (tedy ani osobní a citlivá), případné pracovní výstupy uživatele formou exportů, dokumentů apod. jsou též bezpečně uloženy v centru. Případná krádež či ztráta mobilního koncového zařízení tak neznamená ohrožení bezpečnosti dat.</w:t>
      </w:r>
    </w:p>
    <w:p w:rsidR="0054307F" w:rsidRPr="00F92C85" w:rsidRDefault="0054307F" w:rsidP="00F92C85">
      <w:pPr>
        <w:numPr>
          <w:ilvl w:val="0"/>
          <w:numId w:val="18"/>
        </w:numPr>
        <w:spacing w:before="120" w:after="120"/>
        <w:ind w:left="993" w:hanging="284"/>
        <w:jc w:val="both"/>
        <w:rPr>
          <w:rFonts w:eastAsia="Calibri"/>
          <w:szCs w:val="22"/>
          <w:lang w:eastAsia="ar-SA"/>
        </w:rPr>
      </w:pPr>
      <w:r w:rsidRPr="00F92C85">
        <w:rPr>
          <w:rFonts w:eastAsia="Calibri"/>
          <w:szCs w:val="22"/>
          <w:lang w:eastAsia="ar-SA"/>
        </w:rPr>
        <w:t xml:space="preserve">Snadná centrální správa – nároky kladené na prostředí LAN koncových stanic jsou minimalizovány. Stanice musí umožnit spuštění terminálového klienta a zpřístupnit lokálně umístěné periferie. Neobsahují však žádnou z komponent ICIS. Celé prostředí ICIS je v centru, je snadno </w:t>
      </w:r>
      <w:proofErr w:type="spellStart"/>
      <w:r w:rsidRPr="00F92C85">
        <w:rPr>
          <w:rFonts w:eastAsia="Calibri"/>
          <w:szCs w:val="22"/>
          <w:lang w:eastAsia="ar-SA"/>
        </w:rPr>
        <w:t>spravovatelné</w:t>
      </w:r>
      <w:proofErr w:type="spellEnd"/>
      <w:r w:rsidRPr="00F92C85">
        <w:rPr>
          <w:rFonts w:eastAsia="Calibri"/>
          <w:szCs w:val="22"/>
          <w:lang w:eastAsia="ar-SA"/>
        </w:rPr>
        <w:t>, lze provádět bezpečně jeho upgrade a další rozvoj, minimalizuje se dopad heterogenity prostředí klientských stanic.</w:t>
      </w:r>
    </w:p>
    <w:p w:rsidR="0054307F" w:rsidRPr="00F92C85" w:rsidRDefault="0054307F" w:rsidP="00F92C85">
      <w:pPr>
        <w:numPr>
          <w:ilvl w:val="0"/>
          <w:numId w:val="18"/>
        </w:numPr>
        <w:spacing w:before="120" w:after="120"/>
        <w:ind w:left="993" w:hanging="284"/>
        <w:jc w:val="both"/>
        <w:rPr>
          <w:rFonts w:eastAsia="Calibri"/>
          <w:szCs w:val="22"/>
          <w:lang w:eastAsia="ar-SA"/>
        </w:rPr>
      </w:pPr>
      <w:r w:rsidRPr="00F92C85">
        <w:rPr>
          <w:rFonts w:eastAsia="Calibri"/>
          <w:szCs w:val="22"/>
          <w:lang w:eastAsia="ar-SA"/>
        </w:rPr>
        <w:t>Předvídatelné a dlouhodobě stabilní nároky na kapacitu WAN sítě pro vzdálená pracoviště. Podobné bezpečnostní prostředí pro přístup i mimo lokality OZP.</w:t>
      </w:r>
    </w:p>
    <w:p w:rsidR="0054307F" w:rsidRPr="00F92C85" w:rsidRDefault="006B353B" w:rsidP="00F92C85">
      <w:pPr>
        <w:numPr>
          <w:ilvl w:val="0"/>
          <w:numId w:val="41"/>
        </w:numPr>
        <w:spacing w:before="120" w:after="120"/>
        <w:jc w:val="both"/>
        <w:rPr>
          <w:rFonts w:eastAsia="Calibri"/>
          <w:b/>
          <w:szCs w:val="22"/>
          <w:lang w:eastAsia="ar-SA"/>
        </w:rPr>
      </w:pPr>
      <w:r>
        <w:rPr>
          <w:rFonts w:eastAsia="Calibri"/>
          <w:b/>
          <w:szCs w:val="22"/>
          <w:lang w:eastAsia="ar-SA"/>
        </w:rPr>
        <w:t>Informativní o</w:t>
      </w:r>
      <w:r w:rsidR="0054307F" w:rsidRPr="00F92C85">
        <w:rPr>
          <w:rFonts w:eastAsia="Calibri"/>
          <w:b/>
          <w:szCs w:val="22"/>
          <w:lang w:eastAsia="ar-SA"/>
        </w:rPr>
        <w:t>dhad objemů ukládaných dat</w:t>
      </w:r>
      <w:r w:rsidR="00184B6D" w:rsidRPr="00F92C85">
        <w:rPr>
          <w:rFonts w:eastAsia="Calibri"/>
          <w:b/>
          <w:szCs w:val="22"/>
          <w:lang w:eastAsia="ar-SA"/>
        </w:rPr>
        <w:t xml:space="preserve"> ze strany </w:t>
      </w:r>
      <w:r w:rsidR="003A6A11">
        <w:rPr>
          <w:rFonts w:eastAsia="Calibri"/>
          <w:b/>
          <w:szCs w:val="22"/>
          <w:lang w:eastAsia="ar-SA"/>
        </w:rPr>
        <w:t>zadavatele</w:t>
      </w:r>
    </w:p>
    <w:p w:rsidR="0054307F" w:rsidRPr="00F92C85" w:rsidRDefault="0054307F" w:rsidP="00F92C85">
      <w:pPr>
        <w:spacing w:before="120" w:after="120"/>
        <w:ind w:left="720"/>
        <w:jc w:val="both"/>
        <w:rPr>
          <w:rFonts w:eastAsia="Calibri"/>
          <w:szCs w:val="22"/>
          <w:lang w:eastAsia="ar-SA"/>
        </w:rPr>
      </w:pPr>
      <w:r w:rsidRPr="00F92C85">
        <w:rPr>
          <w:rFonts w:eastAsia="Calibri"/>
          <w:szCs w:val="22"/>
          <w:lang w:eastAsia="ar-SA"/>
        </w:rPr>
        <w:t>Diskové pole bude ukládat data dle následující tabulky:</w:t>
      </w:r>
    </w:p>
    <w:p w:rsidR="0054307F" w:rsidRPr="0054307F" w:rsidRDefault="0054307F" w:rsidP="00890EE0">
      <w:pPr>
        <w:jc w:val="both"/>
        <w:rPr>
          <w:rFonts w:eastAsia="Calibri" w:cs="Calibri"/>
          <w:i/>
          <w:lang w:eastAsia="en-US"/>
        </w:rPr>
      </w:pP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3289"/>
        <w:gridCol w:w="1997"/>
        <w:gridCol w:w="2991"/>
      </w:tblGrid>
      <w:tr w:rsidR="0054307F" w:rsidRPr="00F92C85" w:rsidTr="00F92C85">
        <w:trPr>
          <w:jc w:val="center"/>
        </w:trPr>
        <w:tc>
          <w:tcPr>
            <w:tcW w:w="3289" w:type="dxa"/>
            <w:shd w:val="clear" w:color="auto" w:fill="A50021"/>
            <w:vAlign w:val="center"/>
          </w:tcPr>
          <w:p w:rsidR="0054307F" w:rsidRPr="00F92C85" w:rsidRDefault="0054307F" w:rsidP="004240F2">
            <w:pPr>
              <w:jc w:val="both"/>
              <w:rPr>
                <w:rFonts w:eastAsia="Calibri" w:cs="Calibri"/>
                <w:b/>
                <w:sz w:val="16"/>
                <w:szCs w:val="16"/>
                <w:lang w:eastAsia="en-US"/>
              </w:rPr>
            </w:pPr>
            <w:r w:rsidRPr="00F92C85">
              <w:rPr>
                <w:rFonts w:eastAsia="Calibri" w:cs="Calibri"/>
                <w:b/>
                <w:sz w:val="16"/>
                <w:szCs w:val="16"/>
                <w:lang w:eastAsia="en-US"/>
              </w:rPr>
              <w:t>Typ ukládaných dat</w:t>
            </w:r>
          </w:p>
        </w:tc>
        <w:tc>
          <w:tcPr>
            <w:tcW w:w="1997" w:type="dxa"/>
            <w:shd w:val="clear" w:color="auto" w:fill="A50021"/>
            <w:vAlign w:val="center"/>
          </w:tcPr>
          <w:p w:rsidR="0054307F" w:rsidRPr="00F92C85" w:rsidRDefault="0054307F" w:rsidP="004240F2">
            <w:pPr>
              <w:jc w:val="both"/>
              <w:rPr>
                <w:rFonts w:eastAsia="Calibri" w:cs="Calibri"/>
                <w:b/>
                <w:sz w:val="16"/>
                <w:szCs w:val="16"/>
                <w:lang w:eastAsia="en-US"/>
              </w:rPr>
            </w:pPr>
            <w:r w:rsidRPr="00F92C85">
              <w:rPr>
                <w:rFonts w:eastAsia="Calibri" w:cs="Calibri"/>
                <w:b/>
                <w:sz w:val="16"/>
                <w:szCs w:val="16"/>
                <w:lang w:eastAsia="en-US"/>
              </w:rPr>
              <w:t>Odhad objemu</w:t>
            </w:r>
          </w:p>
        </w:tc>
        <w:tc>
          <w:tcPr>
            <w:tcW w:w="2991" w:type="dxa"/>
            <w:shd w:val="clear" w:color="auto" w:fill="A50021"/>
            <w:vAlign w:val="center"/>
          </w:tcPr>
          <w:p w:rsidR="0054307F" w:rsidRPr="00F92C85" w:rsidRDefault="0054307F" w:rsidP="004240F2">
            <w:pPr>
              <w:jc w:val="both"/>
              <w:rPr>
                <w:rFonts w:eastAsia="Calibri" w:cs="Calibri"/>
                <w:b/>
                <w:sz w:val="16"/>
                <w:szCs w:val="16"/>
                <w:lang w:eastAsia="en-US"/>
              </w:rPr>
            </w:pPr>
            <w:r w:rsidRPr="00F92C85">
              <w:rPr>
                <w:rFonts w:eastAsia="Calibri" w:cs="Calibri"/>
                <w:b/>
                <w:sz w:val="16"/>
                <w:szCs w:val="16"/>
                <w:lang w:eastAsia="en-US"/>
              </w:rPr>
              <w:t>Způsob uložení</w:t>
            </w:r>
          </w:p>
        </w:tc>
      </w:tr>
      <w:tr w:rsidR="0054307F" w:rsidRPr="004240F2" w:rsidTr="00F92C85">
        <w:trPr>
          <w:jc w:val="center"/>
        </w:trPr>
        <w:tc>
          <w:tcPr>
            <w:tcW w:w="3289"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Virtuální disky virtuálních serverů</w:t>
            </w:r>
          </w:p>
        </w:tc>
        <w:tc>
          <w:tcPr>
            <w:tcW w:w="1997"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19 x 40GB + rezerva = 1TB</w:t>
            </w:r>
          </w:p>
        </w:tc>
        <w:tc>
          <w:tcPr>
            <w:tcW w:w="2991"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RAID5</w:t>
            </w:r>
          </w:p>
        </w:tc>
      </w:tr>
      <w:tr w:rsidR="0054307F" w:rsidRPr="004240F2" w:rsidTr="00F92C85">
        <w:trPr>
          <w:jc w:val="center"/>
        </w:trPr>
        <w:tc>
          <w:tcPr>
            <w:tcW w:w="3289"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Roaming user profily</w:t>
            </w:r>
          </w:p>
        </w:tc>
        <w:tc>
          <w:tcPr>
            <w:tcW w:w="1997"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400 x 2GB = 800GB</w:t>
            </w:r>
          </w:p>
        </w:tc>
        <w:tc>
          <w:tcPr>
            <w:tcW w:w="2991"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RAID5</w:t>
            </w:r>
          </w:p>
        </w:tc>
      </w:tr>
      <w:tr w:rsidR="0054307F" w:rsidRPr="004240F2" w:rsidTr="00F92C85">
        <w:trPr>
          <w:jc w:val="center"/>
        </w:trPr>
        <w:tc>
          <w:tcPr>
            <w:tcW w:w="3289"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Data CRM</w:t>
            </w:r>
          </w:p>
        </w:tc>
        <w:tc>
          <w:tcPr>
            <w:tcW w:w="1997"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150 GB*</w:t>
            </w:r>
          </w:p>
        </w:tc>
        <w:tc>
          <w:tcPr>
            <w:tcW w:w="2991"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RAID5</w:t>
            </w:r>
          </w:p>
        </w:tc>
      </w:tr>
      <w:tr w:rsidR="0054307F" w:rsidRPr="004240F2" w:rsidTr="00F92C85">
        <w:trPr>
          <w:jc w:val="center"/>
        </w:trPr>
        <w:tc>
          <w:tcPr>
            <w:tcW w:w="3289" w:type="dxa"/>
            <w:shd w:val="clear" w:color="auto" w:fill="F2DBDB"/>
            <w:vAlign w:val="center"/>
          </w:tcPr>
          <w:p w:rsidR="0054307F" w:rsidRPr="004240F2" w:rsidRDefault="0054307F" w:rsidP="00B45124">
            <w:pPr>
              <w:jc w:val="both"/>
              <w:rPr>
                <w:rFonts w:eastAsia="Calibri" w:cs="Calibri"/>
                <w:sz w:val="16"/>
                <w:szCs w:val="16"/>
                <w:lang w:eastAsia="en-US"/>
              </w:rPr>
            </w:pPr>
            <w:r w:rsidRPr="004240F2">
              <w:rPr>
                <w:rFonts w:eastAsia="Calibri" w:cs="Calibri"/>
                <w:sz w:val="16"/>
                <w:szCs w:val="16"/>
                <w:lang w:eastAsia="en-US"/>
              </w:rPr>
              <w:t xml:space="preserve">Data </w:t>
            </w:r>
            <w:r w:rsidR="00B45124">
              <w:rPr>
                <w:rFonts w:eastAsia="Calibri" w:cs="Calibri"/>
                <w:sz w:val="16"/>
                <w:szCs w:val="16"/>
                <w:lang w:eastAsia="en-US"/>
              </w:rPr>
              <w:t>ERP</w:t>
            </w:r>
          </w:p>
        </w:tc>
        <w:tc>
          <w:tcPr>
            <w:tcW w:w="1997"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800 GB*</w:t>
            </w:r>
          </w:p>
        </w:tc>
        <w:tc>
          <w:tcPr>
            <w:tcW w:w="2991"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RAID5</w:t>
            </w:r>
          </w:p>
        </w:tc>
      </w:tr>
      <w:tr w:rsidR="0054307F" w:rsidRPr="004240F2" w:rsidTr="00F92C85">
        <w:trPr>
          <w:jc w:val="center"/>
        </w:trPr>
        <w:tc>
          <w:tcPr>
            <w:tcW w:w="3289"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Data výdajové části</w:t>
            </w:r>
          </w:p>
        </w:tc>
        <w:tc>
          <w:tcPr>
            <w:tcW w:w="1997"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1TB</w:t>
            </w:r>
          </w:p>
        </w:tc>
        <w:tc>
          <w:tcPr>
            <w:tcW w:w="2991"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RAID5</w:t>
            </w:r>
          </w:p>
        </w:tc>
      </w:tr>
      <w:tr w:rsidR="0054307F" w:rsidRPr="004240F2" w:rsidTr="00F92C85">
        <w:trPr>
          <w:jc w:val="center"/>
        </w:trPr>
        <w:tc>
          <w:tcPr>
            <w:tcW w:w="3289"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Business Inteligence</w:t>
            </w:r>
          </w:p>
        </w:tc>
        <w:tc>
          <w:tcPr>
            <w:tcW w:w="1997"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1TB</w:t>
            </w:r>
          </w:p>
        </w:tc>
        <w:tc>
          <w:tcPr>
            <w:tcW w:w="2991" w:type="dxa"/>
            <w:shd w:val="clear" w:color="auto" w:fill="F2DBDB"/>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RAID5</w:t>
            </w:r>
          </w:p>
        </w:tc>
      </w:tr>
      <w:tr w:rsidR="0054307F" w:rsidRPr="004240F2" w:rsidTr="00F92C85">
        <w:trPr>
          <w:jc w:val="center"/>
        </w:trPr>
        <w:tc>
          <w:tcPr>
            <w:tcW w:w="3289"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CELKEM</w:t>
            </w:r>
          </w:p>
        </w:tc>
        <w:tc>
          <w:tcPr>
            <w:tcW w:w="1997"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4,75TB</w:t>
            </w:r>
          </w:p>
        </w:tc>
        <w:tc>
          <w:tcPr>
            <w:tcW w:w="2991" w:type="dxa"/>
            <w:shd w:val="clear" w:color="auto" w:fill="FFFFFF"/>
            <w:vAlign w:val="center"/>
          </w:tcPr>
          <w:p w:rsidR="0054307F" w:rsidRPr="004240F2" w:rsidRDefault="0054307F" w:rsidP="004240F2">
            <w:pPr>
              <w:jc w:val="both"/>
              <w:rPr>
                <w:rFonts w:eastAsia="Calibri" w:cs="Calibri"/>
                <w:sz w:val="16"/>
                <w:szCs w:val="16"/>
                <w:lang w:eastAsia="en-US"/>
              </w:rPr>
            </w:pPr>
            <w:r w:rsidRPr="004240F2">
              <w:rPr>
                <w:rFonts w:eastAsia="Calibri" w:cs="Calibri"/>
                <w:sz w:val="16"/>
                <w:szCs w:val="16"/>
                <w:lang w:eastAsia="en-US"/>
              </w:rPr>
              <w:t>RAID5</w:t>
            </w:r>
          </w:p>
        </w:tc>
      </w:tr>
    </w:tbl>
    <w:p w:rsidR="0054307F" w:rsidRPr="00F92C85" w:rsidRDefault="0054307F" w:rsidP="00F92C85">
      <w:pPr>
        <w:spacing w:before="120" w:after="120"/>
        <w:ind w:left="720"/>
        <w:jc w:val="both"/>
        <w:rPr>
          <w:rFonts w:eastAsia="Calibri"/>
          <w:szCs w:val="22"/>
          <w:lang w:eastAsia="ar-SA"/>
        </w:rPr>
      </w:pPr>
      <w:r w:rsidRPr="00F92C85">
        <w:rPr>
          <w:rFonts w:eastAsia="Calibri"/>
          <w:szCs w:val="22"/>
          <w:lang w:eastAsia="ar-SA"/>
        </w:rPr>
        <w:t>Poznámka: Odhad objemu se týká provozního systému. Celkovou kapacitu je třeba vynásobit počtem kopií systému (záložní, testovací, školící systém).</w:t>
      </w:r>
    </w:p>
    <w:p w:rsidR="0054307F" w:rsidRPr="00F92C85" w:rsidRDefault="0054307F" w:rsidP="00F92C85">
      <w:pPr>
        <w:numPr>
          <w:ilvl w:val="0"/>
          <w:numId w:val="41"/>
        </w:numPr>
        <w:spacing w:before="120" w:after="120"/>
        <w:jc w:val="both"/>
        <w:rPr>
          <w:rFonts w:eastAsia="Calibri"/>
          <w:b/>
          <w:szCs w:val="22"/>
          <w:lang w:eastAsia="ar-SA"/>
        </w:rPr>
      </w:pPr>
      <w:r w:rsidRPr="00F92C85">
        <w:rPr>
          <w:rFonts w:eastAsia="Calibri"/>
          <w:b/>
          <w:szCs w:val="22"/>
          <w:lang w:eastAsia="ar-SA"/>
        </w:rPr>
        <w:t>Centrální výpočetní výkon - kapacity přenosových linek</w:t>
      </w:r>
    </w:p>
    <w:p w:rsidR="0054307F" w:rsidRPr="0054307F" w:rsidRDefault="0054307F" w:rsidP="00F92C85">
      <w:pPr>
        <w:ind w:left="709"/>
        <w:jc w:val="both"/>
        <w:rPr>
          <w:rFonts w:eastAsia="Calibri" w:cs="Calibri"/>
          <w:szCs w:val="22"/>
          <w:lang w:eastAsia="en-US"/>
        </w:rPr>
      </w:pPr>
      <w:r w:rsidRPr="0054307F">
        <w:rPr>
          <w:rFonts w:eastAsia="Calibri" w:cs="Calibri"/>
          <w:szCs w:val="22"/>
          <w:lang w:eastAsia="en-US"/>
        </w:rPr>
        <w:t xml:space="preserve">Pro síť LAN v sídle OZP předpokládáme dnes již standardní strukturovanou kabeláž a aktivní prvky pro </w:t>
      </w:r>
      <w:proofErr w:type="spellStart"/>
      <w:r w:rsidRPr="0054307F">
        <w:rPr>
          <w:rFonts w:eastAsia="Calibri" w:cs="Calibri"/>
          <w:szCs w:val="22"/>
          <w:lang w:eastAsia="en-US"/>
        </w:rPr>
        <w:t>Ethernet</w:t>
      </w:r>
      <w:proofErr w:type="spellEnd"/>
      <w:r w:rsidRPr="0054307F">
        <w:rPr>
          <w:rFonts w:eastAsia="Calibri" w:cs="Calibri"/>
          <w:szCs w:val="22"/>
          <w:lang w:eastAsia="en-US"/>
        </w:rPr>
        <w:t xml:space="preserve"> 100 </w:t>
      </w:r>
      <w:proofErr w:type="spellStart"/>
      <w:r w:rsidRPr="0054307F">
        <w:rPr>
          <w:rFonts w:eastAsia="Calibri" w:cs="Calibri"/>
          <w:szCs w:val="22"/>
          <w:lang w:eastAsia="en-US"/>
        </w:rPr>
        <w:t>Mbit</w:t>
      </w:r>
      <w:proofErr w:type="spellEnd"/>
      <w:r w:rsidRPr="0054307F">
        <w:rPr>
          <w:rFonts w:eastAsia="Calibri" w:cs="Calibri"/>
          <w:szCs w:val="22"/>
          <w:lang w:eastAsia="en-US"/>
        </w:rPr>
        <w:t xml:space="preserve">/s. Páteřní síťové prvky by proto měly mít kapacitu 1 </w:t>
      </w:r>
      <w:proofErr w:type="spellStart"/>
      <w:r w:rsidRPr="0054307F">
        <w:rPr>
          <w:rFonts w:eastAsia="Calibri" w:cs="Calibri"/>
          <w:szCs w:val="22"/>
          <w:lang w:eastAsia="en-US"/>
        </w:rPr>
        <w:t>Gbit</w:t>
      </w:r>
      <w:proofErr w:type="spellEnd"/>
      <w:r w:rsidRPr="0054307F">
        <w:rPr>
          <w:rFonts w:eastAsia="Calibri" w:cs="Calibri"/>
          <w:szCs w:val="22"/>
          <w:lang w:eastAsia="en-US"/>
        </w:rPr>
        <w:t xml:space="preserve">/s. </w:t>
      </w:r>
      <w:r w:rsidRPr="0054307F">
        <w:rPr>
          <w:rFonts w:eastAsia="Calibri" w:cs="Calibri"/>
          <w:szCs w:val="22"/>
          <w:lang w:eastAsia="en-US"/>
        </w:rPr>
        <w:lastRenderedPageBreak/>
        <w:t>Navrhované řešení nebude klást zvýšené nároky na kapacitu LAN oproti běžnému provozu – nepředpokládáme přenosy velkého objemu dat po LAN.</w:t>
      </w:r>
    </w:p>
    <w:p w:rsidR="0054307F" w:rsidRPr="0054307F" w:rsidRDefault="0054307F" w:rsidP="00F92C85">
      <w:pPr>
        <w:ind w:left="709"/>
        <w:jc w:val="both"/>
        <w:rPr>
          <w:rFonts w:eastAsia="Calibri" w:cs="Calibri"/>
          <w:i/>
          <w:lang w:eastAsia="en-US"/>
        </w:rPr>
      </w:pPr>
      <w:r w:rsidRPr="0054307F">
        <w:rPr>
          <w:rFonts w:eastAsia="Calibri" w:cs="Calibri"/>
          <w:szCs w:val="22"/>
          <w:lang w:eastAsia="en-US"/>
        </w:rPr>
        <w:t xml:space="preserve">Síť WAN pro připojení poboček a odloučených pracovišť bude pro navrhované řešení klíčová. Vzhledem k navržené </w:t>
      </w:r>
      <w:proofErr w:type="spellStart"/>
      <w:r w:rsidRPr="0054307F">
        <w:rPr>
          <w:rFonts w:eastAsia="Calibri" w:cs="Calibri"/>
          <w:szCs w:val="22"/>
          <w:lang w:eastAsia="en-US"/>
        </w:rPr>
        <w:t>virtualizaci</w:t>
      </w:r>
      <w:proofErr w:type="spellEnd"/>
      <w:r w:rsidRPr="0054307F">
        <w:rPr>
          <w:rFonts w:eastAsia="Calibri" w:cs="Calibri"/>
          <w:szCs w:val="22"/>
          <w:lang w:eastAsia="en-US"/>
        </w:rPr>
        <w:t xml:space="preserve"> desktopových sezení (využití terminálů s protokolem RDP) bude třeba zajistit malou latenci sítě. Pro síť WAN doporučujeme:</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D</w:t>
      </w:r>
      <w:r w:rsidR="0054307F" w:rsidRPr="00F92C85">
        <w:rPr>
          <w:rFonts w:eastAsia="Calibri"/>
          <w:szCs w:val="22"/>
          <w:lang w:eastAsia="ar-SA"/>
        </w:rPr>
        <w:t xml:space="preserve">ostatečnou kapacitu pro připojení každého terminálového uživatele (pro základní odhad lze vyjít z kapacity 64 </w:t>
      </w:r>
      <w:proofErr w:type="spellStart"/>
      <w:r w:rsidR="0054307F" w:rsidRPr="00F92C85">
        <w:rPr>
          <w:rFonts w:eastAsia="Calibri"/>
          <w:szCs w:val="22"/>
          <w:lang w:eastAsia="ar-SA"/>
        </w:rPr>
        <w:t>Kbit</w:t>
      </w:r>
      <w:proofErr w:type="spellEnd"/>
      <w:r w:rsidR="0054307F" w:rsidRPr="00F92C85">
        <w:rPr>
          <w:rFonts w:eastAsia="Calibri"/>
          <w:szCs w:val="22"/>
          <w:lang w:eastAsia="ar-SA"/>
        </w:rPr>
        <w:t xml:space="preserve">/s na uživatele u malého počtu uživatelů, při počtu 10 a více klesne postupně průměr na uživatele k 32 </w:t>
      </w:r>
      <w:proofErr w:type="spellStart"/>
      <w:r w:rsidR="0054307F" w:rsidRPr="00F92C85">
        <w:rPr>
          <w:rFonts w:eastAsia="Calibri"/>
          <w:szCs w:val="22"/>
          <w:lang w:eastAsia="ar-SA"/>
        </w:rPr>
        <w:t>Kbit</w:t>
      </w:r>
      <w:proofErr w:type="spellEnd"/>
      <w:r w:rsidR="0054307F" w:rsidRPr="00F92C85">
        <w:rPr>
          <w:rFonts w:eastAsia="Calibri"/>
          <w:szCs w:val="22"/>
          <w:lang w:eastAsia="ar-SA"/>
        </w:rPr>
        <w:t>/s vzhledem k nestejnoměrnému využití terminálového desktopu jednotlivými uživateli v čase) se zohledněním dodatečných požadavků na kapacitu pro přenos skenovaných dokumen</w:t>
      </w:r>
      <w:r>
        <w:rPr>
          <w:rFonts w:eastAsia="Calibri"/>
          <w:szCs w:val="22"/>
          <w:lang w:eastAsia="ar-SA"/>
        </w:rPr>
        <w:t>tů a další neterminálový provoz.</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Z</w:t>
      </w:r>
      <w:r w:rsidR="0054307F" w:rsidRPr="00F92C85">
        <w:rPr>
          <w:rFonts w:eastAsia="Calibri"/>
          <w:szCs w:val="22"/>
          <w:lang w:eastAsia="ar-SA"/>
        </w:rPr>
        <w:t xml:space="preserve">ajištění nízké latence sítě, pokud bude po WAN i jiný než terminálový provoz (např. tisky, skenování, přenosy souborů apod.) doporučujeme uplatnit </w:t>
      </w:r>
      <w:r>
        <w:rPr>
          <w:rFonts w:eastAsia="Calibri"/>
          <w:szCs w:val="22"/>
          <w:lang w:eastAsia="ar-SA"/>
        </w:rPr>
        <w:t xml:space="preserve">nějakou formu řízení sítě a </w:t>
      </w:r>
      <w:proofErr w:type="spellStart"/>
      <w:r>
        <w:rPr>
          <w:rFonts w:eastAsia="Calibri"/>
          <w:szCs w:val="22"/>
          <w:lang w:eastAsia="ar-SA"/>
        </w:rPr>
        <w:t>QoS</w:t>
      </w:r>
      <w:proofErr w:type="spellEnd"/>
      <w:r>
        <w:rPr>
          <w:rFonts w:eastAsia="Calibri"/>
          <w:szCs w:val="22"/>
          <w:lang w:eastAsia="ar-SA"/>
        </w:rPr>
        <w:t>.</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Z</w:t>
      </w:r>
      <w:r w:rsidR="0054307F" w:rsidRPr="00F92C85">
        <w:rPr>
          <w:rFonts w:eastAsia="Calibri"/>
          <w:szCs w:val="22"/>
          <w:lang w:eastAsia="ar-SA"/>
        </w:rPr>
        <w:t>ajištění záložních linek pro ta pracoviště, kde by výpadek primární linky znamenal zásadní problém.</w:t>
      </w:r>
    </w:p>
    <w:p w:rsidR="0054307F" w:rsidRPr="00F92C85" w:rsidRDefault="0054307F" w:rsidP="00F92C85">
      <w:pPr>
        <w:numPr>
          <w:ilvl w:val="0"/>
          <w:numId w:val="41"/>
        </w:numPr>
        <w:spacing w:before="120" w:after="120"/>
        <w:jc w:val="both"/>
        <w:rPr>
          <w:rFonts w:eastAsia="Calibri"/>
          <w:b/>
          <w:szCs w:val="22"/>
          <w:lang w:eastAsia="ar-SA"/>
        </w:rPr>
      </w:pPr>
      <w:r w:rsidRPr="00F92C85">
        <w:rPr>
          <w:rFonts w:eastAsia="Calibri"/>
          <w:b/>
          <w:szCs w:val="22"/>
          <w:lang w:eastAsia="ar-SA"/>
        </w:rPr>
        <w:t>Další požadavky</w:t>
      </w:r>
    </w:p>
    <w:p w:rsidR="0054307F" w:rsidRPr="0054307F" w:rsidRDefault="0054307F" w:rsidP="00F92C85">
      <w:pPr>
        <w:ind w:left="709"/>
        <w:jc w:val="both"/>
        <w:rPr>
          <w:rFonts w:eastAsia="Calibri" w:cs="Calibri"/>
          <w:szCs w:val="22"/>
          <w:lang w:eastAsia="en-US"/>
        </w:rPr>
      </w:pPr>
      <w:r w:rsidRPr="0054307F">
        <w:rPr>
          <w:rFonts w:eastAsia="Calibri" w:cs="Calibri"/>
          <w:szCs w:val="22"/>
          <w:lang w:eastAsia="en-US"/>
        </w:rPr>
        <w:t>Navrhované řešení předpokládá využití následujících služeb stávající infrastruktury OZP (případně jejich realizaci):</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P</w:t>
      </w:r>
      <w:r w:rsidR="0054307F" w:rsidRPr="00F92C85">
        <w:rPr>
          <w:rFonts w:eastAsia="Calibri"/>
          <w:szCs w:val="22"/>
          <w:lang w:eastAsia="ar-SA"/>
        </w:rPr>
        <w:t xml:space="preserve">rostředí zálohování v SAN infrastruktuře (zálohovací server a software </w:t>
      </w:r>
      <w:proofErr w:type="spellStart"/>
      <w:r w:rsidR="0054307F" w:rsidRPr="00F92C85">
        <w:rPr>
          <w:rFonts w:eastAsia="Calibri"/>
          <w:szCs w:val="22"/>
          <w:lang w:eastAsia="ar-SA"/>
        </w:rPr>
        <w:t>NetWorker</w:t>
      </w:r>
      <w:proofErr w:type="spellEnd"/>
      <w:r w:rsidR="0054307F" w:rsidRPr="00F92C85">
        <w:rPr>
          <w:rFonts w:eastAsia="Calibri"/>
          <w:szCs w:val="22"/>
          <w:lang w:eastAsia="ar-SA"/>
        </w:rPr>
        <w:t>, páskovou knihovnu a média), licence pro zálohování nově pořízených fyzických a</w:t>
      </w:r>
      <w:r>
        <w:rPr>
          <w:rFonts w:eastAsia="Calibri"/>
          <w:szCs w:val="22"/>
          <w:lang w:eastAsia="ar-SA"/>
        </w:rPr>
        <w:t xml:space="preserve"> případně i virtuálních serverů.</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D</w:t>
      </w:r>
      <w:r w:rsidR="0054307F" w:rsidRPr="00F92C85">
        <w:rPr>
          <w:rFonts w:eastAsia="Calibri"/>
          <w:szCs w:val="22"/>
          <w:lang w:eastAsia="ar-SA"/>
        </w:rPr>
        <w:t>ostatečné prostory datového centra pro umístění nové tec</w:t>
      </w:r>
      <w:r>
        <w:rPr>
          <w:rFonts w:eastAsia="Calibri"/>
          <w:szCs w:val="22"/>
          <w:lang w:eastAsia="ar-SA"/>
        </w:rPr>
        <w:t>hniky se zajištěným přívodem elektrické</w:t>
      </w:r>
      <w:r w:rsidR="0054307F" w:rsidRPr="00F92C85">
        <w:rPr>
          <w:rFonts w:eastAsia="Calibri"/>
          <w:szCs w:val="22"/>
          <w:lang w:eastAsia="ar-SA"/>
        </w:rPr>
        <w:t xml:space="preserve"> energie, UPS, klimatiza</w:t>
      </w:r>
      <w:r>
        <w:rPr>
          <w:rFonts w:eastAsia="Calibri"/>
          <w:szCs w:val="22"/>
          <w:lang w:eastAsia="ar-SA"/>
        </w:rPr>
        <w:t>cí, volné místo v RACK skříních.</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Z</w:t>
      </w:r>
      <w:r w:rsidR="0054307F" w:rsidRPr="00F92C85">
        <w:rPr>
          <w:rFonts w:eastAsia="Calibri"/>
          <w:szCs w:val="22"/>
          <w:lang w:eastAsia="ar-SA"/>
        </w:rPr>
        <w:t xml:space="preserve">ajištěnou objektovou (fyzickou) bezpečnost datového centra a jeho </w:t>
      </w:r>
      <w:r>
        <w:rPr>
          <w:rFonts w:eastAsia="Calibri"/>
          <w:szCs w:val="22"/>
          <w:lang w:eastAsia="ar-SA"/>
        </w:rPr>
        <w:t>kvalifikovanou obsluhu a správu.</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S</w:t>
      </w:r>
      <w:r w:rsidR="0054307F" w:rsidRPr="00F92C85">
        <w:rPr>
          <w:rFonts w:eastAsia="Calibri"/>
          <w:szCs w:val="22"/>
          <w:lang w:eastAsia="ar-SA"/>
        </w:rPr>
        <w:t>íťovou infrastrukturu centra (aktivní prvky sítě), volné porty pro připojení navrho</w:t>
      </w:r>
      <w:r>
        <w:rPr>
          <w:rFonts w:eastAsia="Calibri"/>
          <w:szCs w:val="22"/>
          <w:lang w:eastAsia="ar-SA"/>
        </w:rPr>
        <w:t>vaných fyzických serverů řešení.</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P</w:t>
      </w:r>
      <w:r w:rsidR="0054307F" w:rsidRPr="00F92C85">
        <w:rPr>
          <w:rFonts w:eastAsia="Calibri"/>
          <w:szCs w:val="22"/>
          <w:lang w:eastAsia="ar-SA"/>
        </w:rPr>
        <w:t xml:space="preserve">rostředky pro zabezpečení sítě a oddělení bezpečnostních perimetrů – firewally, možnost zřízení </w:t>
      </w:r>
      <w:r>
        <w:rPr>
          <w:rFonts w:eastAsia="Calibri"/>
          <w:szCs w:val="22"/>
          <w:lang w:eastAsia="ar-SA"/>
        </w:rPr>
        <w:t>VLAN a řízení provozu mezi nimi.</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Z</w:t>
      </w:r>
      <w:r w:rsidR="0054307F" w:rsidRPr="00F92C85">
        <w:rPr>
          <w:rFonts w:eastAsia="Calibri"/>
          <w:szCs w:val="22"/>
          <w:lang w:eastAsia="ar-SA"/>
        </w:rPr>
        <w:t>abezpečené připojení do Internetu a dalších privátních sítí budou-l</w:t>
      </w:r>
      <w:r>
        <w:rPr>
          <w:rFonts w:eastAsia="Calibri"/>
          <w:szCs w:val="22"/>
          <w:lang w:eastAsia="ar-SA"/>
        </w:rPr>
        <w:t>i potřeba pro provoz řešení.</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P</w:t>
      </w:r>
      <w:r w:rsidR="0054307F" w:rsidRPr="00F92C85">
        <w:rPr>
          <w:rFonts w:eastAsia="Calibri"/>
          <w:szCs w:val="22"/>
          <w:lang w:eastAsia="ar-SA"/>
        </w:rPr>
        <w:t>eriferie dle zadávací dokumentace (tiskárny, scanne</w:t>
      </w:r>
      <w:r>
        <w:rPr>
          <w:rFonts w:eastAsia="Calibri"/>
          <w:szCs w:val="22"/>
          <w:lang w:eastAsia="ar-SA"/>
        </w:rPr>
        <w:t>ry, čtečky čárových kódů apod.).</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Z</w:t>
      </w:r>
      <w:r w:rsidR="0054307F" w:rsidRPr="00F92C85">
        <w:rPr>
          <w:rFonts w:eastAsia="Calibri"/>
          <w:szCs w:val="22"/>
          <w:lang w:eastAsia="ar-SA"/>
        </w:rPr>
        <w:t xml:space="preserve">ákladní </w:t>
      </w:r>
      <w:r>
        <w:rPr>
          <w:rFonts w:eastAsia="Calibri"/>
          <w:szCs w:val="22"/>
          <w:lang w:eastAsia="ar-SA"/>
        </w:rPr>
        <w:t>síťové služby (DNS, DHCP apod.).</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S</w:t>
      </w:r>
      <w:r w:rsidR="0054307F" w:rsidRPr="00F92C85">
        <w:rPr>
          <w:rFonts w:eastAsia="Calibri"/>
          <w:szCs w:val="22"/>
          <w:lang w:eastAsia="ar-SA"/>
        </w:rPr>
        <w:t>ystém elektronické poš</w:t>
      </w:r>
      <w:r>
        <w:rPr>
          <w:rFonts w:eastAsia="Calibri"/>
          <w:szCs w:val="22"/>
          <w:lang w:eastAsia="ar-SA"/>
        </w:rPr>
        <w:t>ty se standardním API rozhraním.</w:t>
      </w:r>
    </w:p>
    <w:p w:rsidR="0054307F" w:rsidRPr="00F92C85" w:rsidRDefault="00893EA6" w:rsidP="00F92C85">
      <w:pPr>
        <w:numPr>
          <w:ilvl w:val="0"/>
          <w:numId w:val="18"/>
        </w:numPr>
        <w:spacing w:before="120" w:after="120"/>
        <w:ind w:left="993" w:hanging="284"/>
        <w:jc w:val="both"/>
        <w:rPr>
          <w:rFonts w:eastAsia="Calibri"/>
          <w:szCs w:val="22"/>
          <w:lang w:eastAsia="ar-SA"/>
        </w:rPr>
      </w:pPr>
      <w:r>
        <w:rPr>
          <w:rFonts w:eastAsia="Calibri"/>
          <w:szCs w:val="22"/>
          <w:lang w:eastAsia="ar-SA"/>
        </w:rPr>
        <w:t>A</w:t>
      </w:r>
      <w:r w:rsidR="0054307F" w:rsidRPr="00F92C85">
        <w:rPr>
          <w:rFonts w:eastAsia="Calibri"/>
          <w:szCs w:val="22"/>
          <w:lang w:eastAsia="ar-SA"/>
        </w:rPr>
        <w:t xml:space="preserve">dresářovou službu MS </w:t>
      </w:r>
      <w:proofErr w:type="spellStart"/>
      <w:r w:rsidR="0054307F" w:rsidRPr="00F92C85">
        <w:rPr>
          <w:rFonts w:eastAsia="Calibri"/>
          <w:szCs w:val="22"/>
          <w:lang w:eastAsia="ar-SA"/>
        </w:rPr>
        <w:t>Active</w:t>
      </w:r>
      <w:proofErr w:type="spellEnd"/>
      <w:r w:rsidR="0054307F" w:rsidRPr="00F92C85">
        <w:rPr>
          <w:rFonts w:eastAsia="Calibri"/>
          <w:szCs w:val="22"/>
          <w:lang w:eastAsia="ar-SA"/>
        </w:rPr>
        <w:t xml:space="preserve"> </w:t>
      </w:r>
      <w:proofErr w:type="spellStart"/>
      <w:r w:rsidR="0054307F" w:rsidRPr="00F92C85">
        <w:rPr>
          <w:rFonts w:eastAsia="Calibri"/>
          <w:szCs w:val="22"/>
          <w:lang w:eastAsia="ar-SA"/>
        </w:rPr>
        <w:t>Directory</w:t>
      </w:r>
      <w:proofErr w:type="spellEnd"/>
      <w:r w:rsidR="0054307F" w:rsidRPr="00F92C85">
        <w:rPr>
          <w:rFonts w:eastAsia="Calibri"/>
          <w:szCs w:val="22"/>
          <w:lang w:eastAsia="ar-SA"/>
        </w:rPr>
        <w:t xml:space="preserve"> pro zajištění vzdálené správy stanic, jednotné identity uživatelů – pro aplikační a databázovou vrstvu navrženého řešení předpokládáme vytvoření oddělené AD domény s jednostranným vztahem důvěry pro ochranu aplikačních účtů centra (pokud již neexistuje).</w:t>
      </w:r>
    </w:p>
    <w:p w:rsidR="0054307F" w:rsidRPr="00893EA6" w:rsidRDefault="0054307F" w:rsidP="00893EA6">
      <w:pPr>
        <w:numPr>
          <w:ilvl w:val="0"/>
          <w:numId w:val="41"/>
        </w:numPr>
        <w:spacing w:before="120" w:after="120"/>
        <w:jc w:val="both"/>
        <w:rPr>
          <w:rFonts w:eastAsia="Calibri"/>
          <w:b/>
          <w:szCs w:val="22"/>
          <w:lang w:eastAsia="ar-SA"/>
        </w:rPr>
      </w:pPr>
      <w:r w:rsidRPr="00893EA6">
        <w:rPr>
          <w:rFonts w:eastAsia="Calibri"/>
          <w:b/>
          <w:szCs w:val="22"/>
          <w:lang w:eastAsia="ar-SA"/>
        </w:rPr>
        <w:t>Bezpečnost dat</w:t>
      </w:r>
    </w:p>
    <w:p w:rsidR="0054307F" w:rsidRPr="0054307F" w:rsidRDefault="0054307F" w:rsidP="00893EA6">
      <w:pPr>
        <w:ind w:left="709"/>
        <w:jc w:val="both"/>
        <w:rPr>
          <w:rFonts w:eastAsia="Calibri" w:cs="Calibri"/>
          <w:szCs w:val="22"/>
          <w:lang w:eastAsia="en-US"/>
        </w:rPr>
      </w:pPr>
      <w:r w:rsidRPr="0054307F">
        <w:rPr>
          <w:rFonts w:eastAsia="Calibri" w:cs="Calibri"/>
          <w:szCs w:val="22"/>
          <w:lang w:eastAsia="en-US"/>
        </w:rPr>
        <w:t>Nový ICIS musí splňovat požadavky na bezpečnost dat:</w:t>
      </w:r>
    </w:p>
    <w:p w:rsidR="0054307F" w:rsidRPr="00893EA6" w:rsidRDefault="0054307F" w:rsidP="00893EA6">
      <w:pPr>
        <w:numPr>
          <w:ilvl w:val="0"/>
          <w:numId w:val="18"/>
        </w:numPr>
        <w:spacing w:before="120" w:after="120"/>
        <w:ind w:left="993" w:hanging="284"/>
        <w:jc w:val="both"/>
        <w:rPr>
          <w:rFonts w:eastAsia="Calibri"/>
          <w:szCs w:val="22"/>
          <w:lang w:eastAsia="ar-SA"/>
        </w:rPr>
      </w:pPr>
      <w:proofErr w:type="spellStart"/>
      <w:r w:rsidRPr="00893EA6">
        <w:rPr>
          <w:rFonts w:eastAsia="Calibri"/>
          <w:szCs w:val="22"/>
          <w:lang w:eastAsia="ar-SA"/>
        </w:rPr>
        <w:t>Dohledatelnost</w:t>
      </w:r>
      <w:proofErr w:type="spellEnd"/>
      <w:r w:rsidRPr="00893EA6">
        <w:rPr>
          <w:rFonts w:eastAsia="Calibri"/>
          <w:szCs w:val="22"/>
          <w:lang w:eastAsia="ar-SA"/>
        </w:rPr>
        <w:t xml:space="preserve"> a právní prokazatelnost údajů a jejich změn v ICIS, právní prokazatelnost účetnictví.</w:t>
      </w:r>
    </w:p>
    <w:p w:rsidR="0054307F" w:rsidRPr="00893EA6" w:rsidRDefault="0054307F" w:rsidP="00893EA6">
      <w:pPr>
        <w:numPr>
          <w:ilvl w:val="0"/>
          <w:numId w:val="18"/>
        </w:numPr>
        <w:spacing w:before="120" w:after="120"/>
        <w:ind w:left="993" w:hanging="284"/>
        <w:jc w:val="both"/>
        <w:rPr>
          <w:rFonts w:eastAsia="Calibri"/>
          <w:szCs w:val="22"/>
          <w:lang w:eastAsia="ar-SA"/>
        </w:rPr>
      </w:pPr>
      <w:proofErr w:type="spellStart"/>
      <w:r w:rsidRPr="00893EA6">
        <w:rPr>
          <w:rFonts w:eastAsia="Calibri"/>
          <w:szCs w:val="22"/>
          <w:lang w:eastAsia="ar-SA"/>
        </w:rPr>
        <w:lastRenderedPageBreak/>
        <w:t>Dohledatelnost</w:t>
      </w:r>
      <w:proofErr w:type="spellEnd"/>
      <w:r w:rsidRPr="00893EA6">
        <w:rPr>
          <w:rFonts w:eastAsia="Calibri"/>
          <w:szCs w:val="22"/>
          <w:lang w:eastAsia="ar-SA"/>
        </w:rPr>
        <w:t xml:space="preserve"> a právní prokazatelnost dokumentů distribuovaných ICIS – standardní používání certifikátů, šifrované komunikace a elektronických podpisů s časovým razítkem.</w:t>
      </w:r>
    </w:p>
    <w:p w:rsidR="0054307F" w:rsidRPr="00893EA6" w:rsidRDefault="0054307F" w:rsidP="00893EA6">
      <w:pPr>
        <w:numPr>
          <w:ilvl w:val="0"/>
          <w:numId w:val="18"/>
        </w:numPr>
        <w:spacing w:before="120" w:after="120"/>
        <w:ind w:left="993" w:hanging="284"/>
        <w:jc w:val="both"/>
        <w:rPr>
          <w:rFonts w:eastAsia="Calibri"/>
          <w:szCs w:val="22"/>
          <w:lang w:eastAsia="ar-SA"/>
        </w:rPr>
      </w:pPr>
      <w:r w:rsidRPr="00893EA6">
        <w:rPr>
          <w:rFonts w:eastAsia="Calibri"/>
          <w:szCs w:val="22"/>
          <w:lang w:eastAsia="ar-SA"/>
        </w:rPr>
        <w:t>Ochranu údajů proti zneužití (neoprávněnému přístupu), včetně logování přístupu uživatelů.</w:t>
      </w:r>
    </w:p>
    <w:p w:rsidR="0054307F" w:rsidRPr="00893EA6" w:rsidRDefault="0054307F" w:rsidP="00893EA6">
      <w:pPr>
        <w:numPr>
          <w:ilvl w:val="0"/>
          <w:numId w:val="18"/>
        </w:numPr>
        <w:spacing w:before="120" w:after="120"/>
        <w:ind w:left="993" w:hanging="284"/>
        <w:jc w:val="both"/>
        <w:rPr>
          <w:rFonts w:eastAsia="Calibri"/>
          <w:szCs w:val="22"/>
          <w:lang w:eastAsia="ar-SA"/>
        </w:rPr>
      </w:pPr>
      <w:r w:rsidRPr="00893EA6">
        <w:rPr>
          <w:rFonts w:eastAsia="Calibri"/>
          <w:szCs w:val="22"/>
          <w:lang w:eastAsia="ar-SA"/>
        </w:rPr>
        <w:t>Ochranu proti neoprávněnému přístupu nástroji mimo systém ICIS.</w:t>
      </w:r>
    </w:p>
    <w:p w:rsidR="0054307F" w:rsidRPr="00893EA6" w:rsidRDefault="0054307F" w:rsidP="00893EA6">
      <w:pPr>
        <w:numPr>
          <w:ilvl w:val="0"/>
          <w:numId w:val="18"/>
        </w:numPr>
        <w:spacing w:before="120" w:after="120"/>
        <w:ind w:left="993" w:hanging="284"/>
        <w:jc w:val="both"/>
        <w:rPr>
          <w:rFonts w:eastAsia="Calibri"/>
          <w:szCs w:val="22"/>
          <w:lang w:eastAsia="ar-SA"/>
        </w:rPr>
      </w:pPr>
      <w:r w:rsidRPr="00893EA6">
        <w:rPr>
          <w:rFonts w:eastAsia="Calibri"/>
          <w:szCs w:val="22"/>
          <w:lang w:eastAsia="ar-SA"/>
        </w:rPr>
        <w:t>Ochranu proti neoprávněné změně dat a funkcí.</w:t>
      </w:r>
    </w:p>
    <w:p w:rsidR="0054307F" w:rsidRPr="00893EA6" w:rsidRDefault="0054307F" w:rsidP="00893EA6">
      <w:pPr>
        <w:numPr>
          <w:ilvl w:val="0"/>
          <w:numId w:val="18"/>
        </w:numPr>
        <w:spacing w:before="120" w:after="120"/>
        <w:ind w:left="993" w:hanging="284"/>
        <w:jc w:val="both"/>
        <w:rPr>
          <w:rFonts w:eastAsia="Calibri"/>
          <w:szCs w:val="22"/>
          <w:lang w:eastAsia="ar-SA"/>
        </w:rPr>
      </w:pPr>
      <w:r w:rsidRPr="00893EA6">
        <w:rPr>
          <w:rFonts w:eastAsia="Calibri"/>
          <w:szCs w:val="22"/>
          <w:lang w:eastAsia="ar-SA"/>
        </w:rPr>
        <w:t>Ochranu konzistence dat uvnitř ICIS i v rámci komunikačních kanálů a protokolů s okolními systémy.</w:t>
      </w:r>
    </w:p>
    <w:p w:rsidR="0054307F" w:rsidRPr="00893EA6" w:rsidRDefault="0054307F" w:rsidP="00893EA6">
      <w:pPr>
        <w:numPr>
          <w:ilvl w:val="0"/>
          <w:numId w:val="18"/>
        </w:numPr>
        <w:spacing w:before="120" w:after="120"/>
        <w:ind w:left="993" w:hanging="284"/>
        <w:jc w:val="both"/>
        <w:rPr>
          <w:rFonts w:eastAsia="Calibri"/>
          <w:szCs w:val="22"/>
          <w:lang w:eastAsia="ar-SA"/>
        </w:rPr>
      </w:pPr>
      <w:r w:rsidRPr="00893EA6">
        <w:rPr>
          <w:rFonts w:eastAsia="Calibri"/>
          <w:szCs w:val="22"/>
          <w:lang w:eastAsia="ar-SA"/>
        </w:rPr>
        <w:t xml:space="preserve">Kontrolu proti vnitřnímu </w:t>
      </w:r>
      <w:proofErr w:type="spellStart"/>
      <w:r w:rsidRPr="00893EA6">
        <w:rPr>
          <w:rFonts w:eastAsia="Calibri"/>
          <w:szCs w:val="22"/>
          <w:lang w:eastAsia="ar-SA"/>
        </w:rPr>
        <w:t>fraudu</w:t>
      </w:r>
      <w:proofErr w:type="spellEnd"/>
      <w:r w:rsidRPr="00893EA6">
        <w:rPr>
          <w:rFonts w:eastAsia="Calibri"/>
          <w:szCs w:val="22"/>
          <w:lang w:eastAsia="ar-SA"/>
        </w:rPr>
        <w:t xml:space="preserve"> – ICIS bude podporovat nástroje pro identifikaci podezřelých situací indikujících možné snahy o neoprávněné obohacení ze strany pracovníků pojišťovny.</w:t>
      </w:r>
    </w:p>
    <w:p w:rsidR="0054307F" w:rsidRPr="00893EA6" w:rsidRDefault="0054307F" w:rsidP="00893EA6">
      <w:pPr>
        <w:numPr>
          <w:ilvl w:val="0"/>
          <w:numId w:val="18"/>
        </w:numPr>
        <w:spacing w:before="120" w:after="120"/>
        <w:ind w:left="993" w:hanging="284"/>
        <w:jc w:val="both"/>
        <w:rPr>
          <w:rFonts w:eastAsia="Calibri"/>
          <w:szCs w:val="22"/>
          <w:lang w:eastAsia="ar-SA"/>
        </w:rPr>
      </w:pPr>
      <w:r w:rsidRPr="00893EA6">
        <w:rPr>
          <w:rFonts w:eastAsia="Calibri"/>
          <w:szCs w:val="22"/>
          <w:lang w:eastAsia="ar-SA"/>
        </w:rPr>
        <w:t>Výstupy pro interní a externí bezpečnostní audit.</w:t>
      </w:r>
    </w:p>
    <w:p w:rsidR="0054307F" w:rsidRPr="00893EA6" w:rsidRDefault="0054307F" w:rsidP="00893EA6">
      <w:pPr>
        <w:numPr>
          <w:ilvl w:val="0"/>
          <w:numId w:val="18"/>
        </w:numPr>
        <w:spacing w:before="120" w:after="120"/>
        <w:ind w:left="993" w:hanging="284"/>
        <w:jc w:val="both"/>
        <w:rPr>
          <w:rFonts w:eastAsia="Calibri"/>
          <w:szCs w:val="22"/>
          <w:lang w:eastAsia="ar-SA"/>
        </w:rPr>
      </w:pPr>
      <w:r w:rsidRPr="00893EA6">
        <w:rPr>
          <w:rFonts w:eastAsia="Calibri"/>
          <w:szCs w:val="22"/>
          <w:lang w:eastAsia="ar-SA"/>
        </w:rPr>
        <w:t>Ochranu proti úniku informací neoprávněným uživatelům.</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Zabezpečení dat uvnitř systému ICIS není explicitně vyžadováno. Serverové prostředí ICIS včetně datových úložišť bude považováno za důvěryhodné, není nutné šifrovat data na datovém úložišti nebo při komunikaci mezi systémy. Systém musí být připraven na možnou změnu legislativy v oblasti vnitřního zabezpečení dat. Funkce ICIS však musí zajistit logování veškerých aktivit uživatelů a správců v souvislosti s modifikací a čtením dat včetně historie a zajistit podporu pro vyhodnocení logů. Aktivace logování nesmí snížit odezvy systému ICIS mimo požadované provozní parametry.</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 xml:space="preserve">Bude-li nový ICIS ukládat důvěrná data mimo samotný systém (serverovou infrastrukturu), musí být tato funkce explicitně zdůvodněna a schválena </w:t>
      </w:r>
      <w:r w:rsidR="003A6A11">
        <w:rPr>
          <w:rFonts w:eastAsia="Calibri" w:cs="Calibri"/>
          <w:szCs w:val="22"/>
          <w:lang w:eastAsia="en-US"/>
        </w:rPr>
        <w:t>zadavatel</w:t>
      </w:r>
      <w:r w:rsidR="003A6A11" w:rsidRPr="0054307F">
        <w:rPr>
          <w:rFonts w:eastAsia="Calibri" w:cs="Calibri"/>
          <w:szCs w:val="22"/>
          <w:lang w:eastAsia="en-US"/>
        </w:rPr>
        <w:t>em</w:t>
      </w:r>
      <w:r w:rsidRPr="0054307F">
        <w:rPr>
          <w:rFonts w:eastAsia="Calibri" w:cs="Calibri"/>
          <w:szCs w:val="22"/>
          <w:lang w:eastAsia="en-US"/>
        </w:rPr>
        <w:t xml:space="preserve">. Toto se netýká ostatních interních systémů </w:t>
      </w:r>
      <w:r w:rsidR="003A6A11">
        <w:rPr>
          <w:rFonts w:eastAsia="Calibri" w:cs="Calibri"/>
          <w:szCs w:val="22"/>
          <w:lang w:eastAsia="en-US"/>
        </w:rPr>
        <w:t>zadavatele</w:t>
      </w:r>
      <w:r w:rsidRPr="0054307F">
        <w:rPr>
          <w:rFonts w:eastAsia="Calibri" w:cs="Calibri"/>
          <w:szCs w:val="22"/>
          <w:lang w:eastAsia="en-US"/>
        </w:rPr>
        <w:t>, které jsou také považovány za důvěryhodné.</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Uživatelé budou k datům přistupovat prostředky ICIS, případně budou mít pro reporting přístup do definovaného datového skladu. Přímý přístup k datům transakčních částí systému musí být uživatelům zamezen s výjimkou odpovědných pracovníků IT.</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 xml:space="preserve">Oprávněný uživatel bude moci data přenášet na PC </w:t>
      </w:r>
      <w:r w:rsidR="003A6A11">
        <w:rPr>
          <w:rFonts w:eastAsia="Calibri" w:cs="Calibri"/>
          <w:szCs w:val="22"/>
          <w:lang w:eastAsia="en-US"/>
        </w:rPr>
        <w:t>zadavatele</w:t>
      </w:r>
      <w:r w:rsidRPr="0054307F">
        <w:rPr>
          <w:rFonts w:eastAsia="Calibri" w:cs="Calibri"/>
          <w:szCs w:val="22"/>
          <w:lang w:eastAsia="en-US"/>
        </w:rPr>
        <w:t>. Řízení přístupu k datům mimo systém ICIS není součástí poptávky.</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Datové úložiště by mělo být pro celý systém ICIS na jedné technologické platformě. Datové úložiště musí zajistit požadavky na zabezpečení, výkon a integritu spravovaných dat. Nový ICIS musí v maximální míře omezit duplicitu dat.</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 xml:space="preserve">Datové úložiště musí umožnit propojení na stávající datový sklad provozovaný na platformě Microsoft SQL Server, a to zaměstnanci IT oddělení </w:t>
      </w:r>
      <w:r w:rsidR="003A6A11">
        <w:rPr>
          <w:rFonts w:eastAsia="Calibri" w:cs="Calibri"/>
          <w:szCs w:val="22"/>
          <w:lang w:eastAsia="en-US"/>
        </w:rPr>
        <w:t>zadavatele</w:t>
      </w:r>
      <w:r w:rsidRPr="0054307F">
        <w:rPr>
          <w:rFonts w:eastAsia="Calibri" w:cs="Calibri"/>
          <w:szCs w:val="22"/>
          <w:lang w:eastAsia="en-US"/>
        </w:rPr>
        <w:t xml:space="preserve">. Pro tvorbu sestav </w:t>
      </w:r>
      <w:r w:rsidR="003A6A11">
        <w:rPr>
          <w:rFonts w:eastAsia="Calibri" w:cs="Calibri"/>
          <w:szCs w:val="22"/>
          <w:lang w:eastAsia="en-US"/>
        </w:rPr>
        <w:t>zadavatel</w:t>
      </w:r>
      <w:r w:rsidR="003A6A11" w:rsidRPr="0054307F">
        <w:rPr>
          <w:rFonts w:eastAsia="Calibri" w:cs="Calibri"/>
          <w:szCs w:val="22"/>
          <w:lang w:eastAsia="en-US"/>
        </w:rPr>
        <w:t xml:space="preserve"> </w:t>
      </w:r>
      <w:r w:rsidRPr="0054307F">
        <w:rPr>
          <w:rFonts w:eastAsia="Calibri" w:cs="Calibri"/>
          <w:szCs w:val="22"/>
          <w:lang w:eastAsia="en-US"/>
        </w:rPr>
        <w:t xml:space="preserve">předpokládá, že součástí ICIS bude datový prostor pro provádění analýz, ke kterému bude přístup z technologií Microsoft SQL Server (SSIS, SSAS, SSRS) za účelem vlastních analýz a tvorby vlastních sestav </w:t>
      </w:r>
      <w:r w:rsidR="003A6A11">
        <w:rPr>
          <w:rFonts w:eastAsia="Calibri" w:cs="Calibri"/>
          <w:szCs w:val="22"/>
          <w:lang w:eastAsia="en-US"/>
        </w:rPr>
        <w:t>zadavatelem</w:t>
      </w:r>
      <w:r w:rsidRPr="0054307F">
        <w:rPr>
          <w:rFonts w:eastAsia="Calibri" w:cs="Calibri"/>
          <w:szCs w:val="22"/>
          <w:lang w:eastAsia="en-US"/>
        </w:rPr>
        <w:t>.</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 xml:space="preserve">Pro specifické aplikace uvedené v návrhu systému musí ICIS umožnit IT oddělení OZP vytvořit vlastní programy zpracování dat, které budou postaveny na technologiích </w:t>
      </w:r>
      <w:proofErr w:type="gramStart"/>
      <w:r w:rsidRPr="0054307F">
        <w:rPr>
          <w:rFonts w:eastAsia="Calibri" w:cs="Calibri"/>
          <w:szCs w:val="22"/>
          <w:lang w:eastAsia="en-US"/>
        </w:rPr>
        <w:t>Microsoft.NET</w:t>
      </w:r>
      <w:proofErr w:type="gramEnd"/>
      <w:r w:rsidRPr="0054307F">
        <w:rPr>
          <w:rFonts w:eastAsia="Calibri" w:cs="Calibri"/>
          <w:szCs w:val="22"/>
          <w:lang w:eastAsia="en-US"/>
        </w:rPr>
        <w:t>. Nový ICIS musí minimálně podporovat vzájemnou výměnu dat za použití standardních služeb (SOAP, REST, XML).</w:t>
      </w:r>
    </w:p>
    <w:p w:rsidR="0054307F" w:rsidRPr="0054307F" w:rsidRDefault="0054307F" w:rsidP="00890EE0">
      <w:pPr>
        <w:jc w:val="both"/>
        <w:rPr>
          <w:rFonts w:eastAsia="Calibri" w:cs="Calibri"/>
          <w:szCs w:val="22"/>
          <w:lang w:eastAsia="en-US"/>
        </w:rPr>
      </w:pPr>
    </w:p>
    <w:p w:rsidR="0054307F" w:rsidRPr="005F7D57" w:rsidRDefault="0054307F" w:rsidP="005F7D57">
      <w:pPr>
        <w:numPr>
          <w:ilvl w:val="0"/>
          <w:numId w:val="41"/>
        </w:numPr>
        <w:spacing w:before="120" w:after="120"/>
        <w:jc w:val="both"/>
        <w:rPr>
          <w:rFonts w:eastAsia="Calibri"/>
          <w:b/>
          <w:szCs w:val="22"/>
          <w:lang w:eastAsia="ar-SA"/>
        </w:rPr>
      </w:pPr>
      <w:r w:rsidRPr="005F7D57">
        <w:rPr>
          <w:rFonts w:eastAsia="Calibri"/>
          <w:b/>
          <w:szCs w:val="22"/>
          <w:lang w:eastAsia="ar-SA"/>
        </w:rPr>
        <w:t>Řízení přístupu uživatelů a správců</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lastRenderedPageBreak/>
        <w:t xml:space="preserve">Přihlašování do systému ICIS bude řešeno technologií Single Sign-On s využitím Microsoft </w:t>
      </w:r>
      <w:proofErr w:type="spellStart"/>
      <w:r w:rsidRPr="0054307F">
        <w:rPr>
          <w:rFonts w:eastAsia="Calibri" w:cs="Calibri"/>
          <w:szCs w:val="22"/>
          <w:lang w:eastAsia="en-US"/>
        </w:rPr>
        <w:t>Active</w:t>
      </w:r>
      <w:proofErr w:type="spellEnd"/>
      <w:r w:rsidRPr="0054307F">
        <w:rPr>
          <w:rFonts w:eastAsia="Calibri" w:cs="Calibri"/>
          <w:szCs w:val="22"/>
          <w:lang w:eastAsia="en-US"/>
        </w:rPr>
        <w:t xml:space="preserve"> </w:t>
      </w:r>
      <w:proofErr w:type="spellStart"/>
      <w:r w:rsidRPr="0054307F">
        <w:rPr>
          <w:rFonts w:eastAsia="Calibri" w:cs="Calibri"/>
          <w:szCs w:val="22"/>
          <w:lang w:eastAsia="en-US"/>
        </w:rPr>
        <w:t>Directory</w:t>
      </w:r>
      <w:proofErr w:type="spellEnd"/>
      <w:r w:rsidRPr="0054307F">
        <w:rPr>
          <w:rFonts w:eastAsia="Calibri" w:cs="Calibri"/>
          <w:szCs w:val="22"/>
          <w:lang w:eastAsia="en-US"/>
        </w:rPr>
        <w:t xml:space="preserve"> provozované </w:t>
      </w:r>
      <w:r w:rsidR="003A6A11">
        <w:rPr>
          <w:rFonts w:eastAsia="Calibri" w:cs="Calibri"/>
          <w:szCs w:val="22"/>
          <w:lang w:eastAsia="en-US"/>
        </w:rPr>
        <w:t>zadavatelem</w:t>
      </w:r>
      <w:r w:rsidRPr="0054307F">
        <w:rPr>
          <w:rFonts w:eastAsia="Calibri" w:cs="Calibri"/>
          <w:szCs w:val="22"/>
          <w:lang w:eastAsia="en-US"/>
        </w:rPr>
        <w:t xml:space="preserve">. MS Active Directory je aktuálně na technologické úrovni Windows 2008 R2. Bude-li </w:t>
      </w:r>
      <w:r w:rsidR="000F7926">
        <w:rPr>
          <w:rFonts w:eastAsia="Calibri" w:cs="Calibri"/>
          <w:szCs w:val="22"/>
          <w:lang w:eastAsia="en-US"/>
        </w:rPr>
        <w:t>Dodavatel</w:t>
      </w:r>
      <w:r w:rsidRPr="0054307F">
        <w:rPr>
          <w:rFonts w:eastAsia="Calibri" w:cs="Calibri"/>
          <w:szCs w:val="22"/>
          <w:lang w:eastAsia="en-US"/>
        </w:rPr>
        <w:t xml:space="preserve"> požadovat jinou technologickou úroveň, musí být tato informace explicitně uvedena a náklady na tuto změnu musí být součástí nabídkové ceny. Ochrana specifických částí systému (heslo, certifikát, HW token) musí být explicitně uvedena. </w:t>
      </w:r>
      <w:r w:rsidR="000F7926">
        <w:rPr>
          <w:rFonts w:eastAsia="Calibri" w:cs="Calibri"/>
          <w:szCs w:val="22"/>
          <w:lang w:eastAsia="en-US"/>
        </w:rPr>
        <w:t>Dodavatel</w:t>
      </w:r>
      <w:r w:rsidRPr="0054307F">
        <w:rPr>
          <w:rFonts w:eastAsia="Calibri" w:cs="Calibri"/>
          <w:szCs w:val="22"/>
          <w:lang w:eastAsia="en-US"/>
        </w:rPr>
        <w:t xml:space="preserve"> může navrhnout vlastní způsob realizace Single Sign-On s využitím stávající MS Active Directory, např. v kombinaci s dalšími identifikačními nástroji, avšak správa uživatelů musí být napříč řešením jednotná a probíhat nad MS Active Directory.</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 xml:space="preserve">Zabezpečení přístupu k funkcím ICIS bude řízeno víceúrovňovou definicí oprávnění. Základní autentizační jednotkou bude identita uživatele v prostředí Active Directory. Pro řízení přístupu k prostředkům systému ICIS </w:t>
      </w:r>
      <w:r w:rsidR="003A6A11">
        <w:rPr>
          <w:rFonts w:eastAsia="Calibri" w:cs="Calibri"/>
          <w:szCs w:val="22"/>
          <w:lang w:eastAsia="en-US"/>
        </w:rPr>
        <w:t>zadavatel</w:t>
      </w:r>
      <w:r w:rsidR="003A6A11" w:rsidRPr="0054307F">
        <w:rPr>
          <w:rFonts w:eastAsia="Calibri" w:cs="Calibri"/>
          <w:szCs w:val="22"/>
          <w:lang w:eastAsia="en-US"/>
        </w:rPr>
        <w:t xml:space="preserve"> </w:t>
      </w:r>
      <w:r w:rsidRPr="0054307F">
        <w:rPr>
          <w:rFonts w:eastAsia="Calibri" w:cs="Calibri"/>
          <w:szCs w:val="22"/>
          <w:lang w:eastAsia="en-US"/>
        </w:rPr>
        <w:t>předpokládá využití bezpečnostních skupin, uživatelé budou zařazováni do připravených skupin dle rolí, které budou vykonávat.</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Nový ICIS bude pro vybrané agendy podporovat řízení přístupu až k jednotlivým datovým záznamům (např. filtrovat přístup k datům dle vybraného atributu), viz požadavky na funkce systému.</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 xml:space="preserve">Nový ICIS bude podporovat ověřování identity klientů v externích aplikacích uvedených v tomto dokumentu. </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Nový ICIS bude obsahovat víceúrovňovou administraci uživatelských oprávnění. ICIS umožní vybraným uživatelům spravovat uživatelské přístupy jemu podřízených zaměstnanců.</w:t>
      </w:r>
    </w:p>
    <w:p w:rsidR="0054307F" w:rsidRP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Základní bezpečnostní cíle, které ICIS musí zajistit, jsou:</w:t>
      </w:r>
    </w:p>
    <w:p w:rsidR="0054307F" w:rsidRPr="005F7D57" w:rsidRDefault="0054307F" w:rsidP="005F7D57">
      <w:pPr>
        <w:numPr>
          <w:ilvl w:val="0"/>
          <w:numId w:val="18"/>
        </w:numPr>
        <w:spacing w:before="120" w:after="120"/>
        <w:ind w:left="993" w:hanging="284"/>
        <w:jc w:val="both"/>
        <w:rPr>
          <w:rFonts w:eastAsia="Calibri"/>
          <w:szCs w:val="22"/>
          <w:lang w:eastAsia="ar-SA"/>
        </w:rPr>
      </w:pPr>
      <w:r w:rsidRPr="005F7D57">
        <w:rPr>
          <w:rFonts w:eastAsia="Calibri"/>
          <w:szCs w:val="22"/>
          <w:lang w:eastAsia="ar-SA"/>
        </w:rPr>
        <w:t>Integrita</w:t>
      </w:r>
    </w:p>
    <w:p w:rsidR="0054307F" w:rsidRPr="005F7D57" w:rsidRDefault="0054307F" w:rsidP="005F7D57">
      <w:pPr>
        <w:numPr>
          <w:ilvl w:val="0"/>
          <w:numId w:val="18"/>
        </w:numPr>
        <w:spacing w:before="120" w:after="120"/>
        <w:ind w:left="993" w:hanging="284"/>
        <w:jc w:val="both"/>
        <w:rPr>
          <w:rFonts w:eastAsia="Calibri"/>
          <w:szCs w:val="22"/>
          <w:lang w:eastAsia="ar-SA"/>
        </w:rPr>
      </w:pPr>
      <w:r w:rsidRPr="005F7D57">
        <w:rPr>
          <w:rFonts w:eastAsia="Calibri"/>
          <w:szCs w:val="22"/>
          <w:lang w:eastAsia="ar-SA"/>
        </w:rPr>
        <w:t>Důvěrnost</w:t>
      </w:r>
    </w:p>
    <w:p w:rsidR="0054307F" w:rsidRPr="005F7D57" w:rsidRDefault="0054307F" w:rsidP="005F7D57">
      <w:pPr>
        <w:numPr>
          <w:ilvl w:val="0"/>
          <w:numId w:val="18"/>
        </w:numPr>
        <w:spacing w:before="120" w:after="120"/>
        <w:ind w:left="993" w:hanging="284"/>
        <w:jc w:val="both"/>
        <w:rPr>
          <w:rFonts w:eastAsia="Calibri"/>
          <w:szCs w:val="22"/>
          <w:lang w:eastAsia="ar-SA"/>
        </w:rPr>
      </w:pPr>
      <w:r w:rsidRPr="005F7D57">
        <w:rPr>
          <w:rFonts w:eastAsia="Calibri"/>
          <w:szCs w:val="22"/>
          <w:lang w:eastAsia="ar-SA"/>
        </w:rPr>
        <w:t>Dostupnost</w:t>
      </w:r>
    </w:p>
    <w:p w:rsidR="0054307F" w:rsidRPr="005F7D57" w:rsidRDefault="0054307F" w:rsidP="005F7D57">
      <w:pPr>
        <w:numPr>
          <w:ilvl w:val="0"/>
          <w:numId w:val="18"/>
        </w:numPr>
        <w:spacing w:before="120" w:after="120"/>
        <w:ind w:left="993" w:hanging="284"/>
        <w:jc w:val="both"/>
        <w:rPr>
          <w:rFonts w:eastAsia="Calibri"/>
          <w:szCs w:val="22"/>
          <w:lang w:eastAsia="ar-SA"/>
        </w:rPr>
      </w:pPr>
      <w:r w:rsidRPr="005F7D57">
        <w:rPr>
          <w:rFonts w:eastAsia="Calibri"/>
          <w:szCs w:val="22"/>
          <w:lang w:eastAsia="ar-SA"/>
        </w:rPr>
        <w:t>Autenticita</w:t>
      </w:r>
    </w:p>
    <w:p w:rsidR="0054307F" w:rsidRPr="005F7D57" w:rsidRDefault="0054307F" w:rsidP="005F7D57">
      <w:pPr>
        <w:numPr>
          <w:ilvl w:val="0"/>
          <w:numId w:val="18"/>
        </w:numPr>
        <w:spacing w:before="120" w:after="120"/>
        <w:ind w:left="993" w:hanging="284"/>
        <w:jc w:val="both"/>
        <w:rPr>
          <w:rFonts w:eastAsia="Calibri"/>
          <w:szCs w:val="22"/>
          <w:lang w:eastAsia="ar-SA"/>
        </w:rPr>
      </w:pPr>
      <w:r w:rsidRPr="005F7D57">
        <w:rPr>
          <w:rFonts w:eastAsia="Calibri"/>
          <w:szCs w:val="22"/>
          <w:lang w:eastAsia="ar-SA"/>
        </w:rPr>
        <w:t>Prokazatelnost odpovědnosti</w:t>
      </w:r>
    </w:p>
    <w:p w:rsidR="0054307F" w:rsidRPr="005F7D57" w:rsidRDefault="0054307F" w:rsidP="005F7D57">
      <w:pPr>
        <w:numPr>
          <w:ilvl w:val="0"/>
          <w:numId w:val="18"/>
        </w:numPr>
        <w:spacing w:before="120" w:after="120"/>
        <w:ind w:left="993" w:hanging="284"/>
        <w:jc w:val="both"/>
        <w:rPr>
          <w:rFonts w:eastAsia="Calibri"/>
          <w:szCs w:val="22"/>
          <w:lang w:eastAsia="ar-SA"/>
        </w:rPr>
      </w:pPr>
      <w:r w:rsidRPr="005F7D57">
        <w:rPr>
          <w:rFonts w:eastAsia="Calibri"/>
          <w:szCs w:val="22"/>
          <w:lang w:eastAsia="ar-SA"/>
        </w:rPr>
        <w:t>Nepopiratelnost odpovědnosti</w:t>
      </w:r>
    </w:p>
    <w:p w:rsidR="0054307F" w:rsidRPr="005F7D57" w:rsidRDefault="0054307F" w:rsidP="005F7D57">
      <w:pPr>
        <w:numPr>
          <w:ilvl w:val="0"/>
          <w:numId w:val="18"/>
        </w:numPr>
        <w:spacing w:before="120" w:after="120"/>
        <w:ind w:left="993" w:hanging="284"/>
        <w:jc w:val="both"/>
        <w:rPr>
          <w:rFonts w:eastAsia="Calibri"/>
          <w:szCs w:val="22"/>
          <w:lang w:eastAsia="ar-SA"/>
        </w:rPr>
      </w:pPr>
      <w:r w:rsidRPr="005F7D57">
        <w:rPr>
          <w:rFonts w:eastAsia="Calibri"/>
          <w:szCs w:val="22"/>
          <w:lang w:eastAsia="ar-SA"/>
        </w:rPr>
        <w:t>Spolehlivost</w:t>
      </w:r>
    </w:p>
    <w:p w:rsidR="0054307F" w:rsidRDefault="0054307F" w:rsidP="005F7D57">
      <w:pPr>
        <w:spacing w:before="120" w:after="120"/>
        <w:ind w:left="709"/>
        <w:jc w:val="both"/>
        <w:rPr>
          <w:rFonts w:eastAsia="Calibri" w:cs="Calibri"/>
          <w:szCs w:val="22"/>
          <w:lang w:eastAsia="en-US"/>
        </w:rPr>
      </w:pPr>
      <w:r w:rsidRPr="0054307F">
        <w:rPr>
          <w:rFonts w:eastAsia="Calibri" w:cs="Calibri"/>
          <w:szCs w:val="22"/>
          <w:lang w:eastAsia="en-US"/>
        </w:rPr>
        <w:t xml:space="preserve">ICIS musí podporovat zavedení identity managementu (IDM), které </w:t>
      </w:r>
      <w:r w:rsidR="003A6A11">
        <w:rPr>
          <w:rFonts w:eastAsia="Calibri" w:cs="Calibri"/>
          <w:szCs w:val="22"/>
          <w:lang w:eastAsia="en-US"/>
        </w:rPr>
        <w:t>zadavatel</w:t>
      </w:r>
      <w:r w:rsidR="003A6A11" w:rsidRPr="0054307F">
        <w:rPr>
          <w:rFonts w:eastAsia="Calibri" w:cs="Calibri"/>
          <w:szCs w:val="22"/>
          <w:lang w:eastAsia="en-US"/>
        </w:rPr>
        <w:t xml:space="preserve"> </w:t>
      </w:r>
      <w:r w:rsidRPr="0054307F">
        <w:rPr>
          <w:rFonts w:eastAsia="Calibri" w:cs="Calibri"/>
          <w:szCs w:val="22"/>
          <w:lang w:eastAsia="en-US"/>
        </w:rPr>
        <w:t>plánuje.</w:t>
      </w:r>
    </w:p>
    <w:p w:rsidR="00C63810" w:rsidRDefault="00C63810" w:rsidP="005F7D57">
      <w:pPr>
        <w:spacing w:before="120" w:after="120"/>
        <w:ind w:left="709"/>
        <w:jc w:val="both"/>
        <w:rPr>
          <w:rFonts w:eastAsia="Calibri" w:cs="Calibri"/>
          <w:szCs w:val="22"/>
          <w:lang w:eastAsia="en-US"/>
        </w:rPr>
      </w:pPr>
    </w:p>
    <w:p w:rsidR="00C63810" w:rsidRDefault="00C63810" w:rsidP="005F7D57">
      <w:pPr>
        <w:spacing w:before="120" w:after="120"/>
        <w:ind w:left="709"/>
        <w:jc w:val="both"/>
        <w:rPr>
          <w:rFonts w:eastAsia="Calibri" w:cs="Calibri"/>
          <w:szCs w:val="22"/>
          <w:lang w:eastAsia="en-US"/>
        </w:rPr>
      </w:pPr>
    </w:p>
    <w:p w:rsidR="0076747B" w:rsidRDefault="00C63810" w:rsidP="003D6811">
      <w:pPr>
        <w:spacing w:before="120" w:after="120"/>
        <w:jc w:val="both"/>
        <w:rPr>
          <w:rFonts w:eastAsia="Calibri" w:cs="Calibri"/>
          <w:szCs w:val="22"/>
          <w:lang w:eastAsia="en-US"/>
        </w:rPr>
      </w:pPr>
      <w:r>
        <w:rPr>
          <w:rFonts w:eastAsia="Calibri" w:cs="Calibri"/>
          <w:b/>
          <w:szCs w:val="22"/>
          <w:u w:val="single"/>
          <w:lang w:eastAsia="en-US"/>
        </w:rPr>
        <w:t xml:space="preserve">Přílohy: </w:t>
      </w:r>
      <w:r>
        <w:rPr>
          <w:rFonts w:eastAsia="Calibri" w:cs="Calibri"/>
          <w:szCs w:val="22"/>
          <w:lang w:eastAsia="en-US"/>
        </w:rPr>
        <w:t>Studie proveditelnosti projektu „Výstavba, implementace a technická podpora ICIS OZP“</w:t>
      </w:r>
    </w:p>
    <w:sectPr w:rsidR="0076747B" w:rsidSect="00313EE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24" w:rsidRDefault="00DB2A24" w:rsidP="0054307F">
      <w:r>
        <w:separator/>
      </w:r>
    </w:p>
  </w:endnote>
  <w:endnote w:type="continuationSeparator" w:id="0">
    <w:p w:rsidR="00DB2A24" w:rsidRDefault="00DB2A24" w:rsidP="0054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Palatino Linotype">
    <w:altName w:val="Palatino"/>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24" w:rsidRDefault="00DB2A24" w:rsidP="0054307F">
      <w:r>
        <w:separator/>
      </w:r>
    </w:p>
  </w:footnote>
  <w:footnote w:type="continuationSeparator" w:id="0">
    <w:p w:rsidR="00DB2A24" w:rsidRDefault="00DB2A24" w:rsidP="0054307F">
      <w:r>
        <w:continuationSeparator/>
      </w:r>
    </w:p>
  </w:footnote>
  <w:footnote w:id="1">
    <w:p w:rsidR="00B361D3" w:rsidRDefault="00B361D3">
      <w:pPr>
        <w:pStyle w:val="Textpoznpodarou"/>
      </w:pPr>
      <w:r>
        <w:rPr>
          <w:rStyle w:val="Znakapoznpodarou"/>
        </w:rPr>
        <w:footnoteRef/>
      </w:r>
      <w:r>
        <w:t xml:space="preserve"> Portál OZP ONLINE je od </w:t>
      </w:r>
      <w:proofErr w:type="gramStart"/>
      <w:r>
        <w:t>1.4.2014</w:t>
      </w:r>
      <w:proofErr w:type="gramEnd"/>
      <w:r>
        <w:t xml:space="preserve"> nazýván VITAKARTA ONLINE. Z důvodu přehlednosti ve vazbě na Studii proveditelnosti, je v zadávací dokumentaci ponecháno původní pojmenování.</w:t>
      </w:r>
    </w:p>
  </w:footnote>
  <w:footnote w:id="2">
    <w:p w:rsidR="00B361D3" w:rsidRDefault="00B361D3">
      <w:pPr>
        <w:pStyle w:val="Textpoznpodarou"/>
      </w:pPr>
      <w:r>
        <w:rPr>
          <w:rStyle w:val="Znakapoznpodarou"/>
        </w:rPr>
        <w:footnoteRef/>
      </w:r>
      <w:r>
        <w:t xml:space="preserve"> Popisy interface (rozhraní) budou Dodavateli předány v rámci realizace díla.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D3" w:rsidRPr="00453D7B" w:rsidRDefault="00B361D3" w:rsidP="00C63810">
    <w:pPr>
      <w:widowControl w:val="0"/>
      <w:spacing w:line="276" w:lineRule="auto"/>
      <w:rPr>
        <w:rFonts w:ascii="Palatino Linotype" w:hAnsi="Palatino Linotype" w:cs="Arial"/>
        <w:szCs w:val="22"/>
      </w:rPr>
    </w:pPr>
    <w:r w:rsidRPr="00453D7B">
      <w:rPr>
        <w:rFonts w:ascii="Palatino Linotype" w:hAnsi="Palatino Linotype" w:cs="Arial"/>
        <w:i/>
        <w:sz w:val="20"/>
      </w:rPr>
      <w:t>Příloha č.</w:t>
    </w:r>
    <w:r>
      <w:rPr>
        <w:rFonts w:ascii="Palatino Linotype" w:hAnsi="Palatino Linotype" w:cs="Arial"/>
        <w:i/>
        <w:sz w:val="20"/>
      </w:rPr>
      <w:t xml:space="preserve"> 1</w:t>
    </w:r>
    <w:r w:rsidRPr="00453D7B">
      <w:rPr>
        <w:rFonts w:ascii="Palatino Linotype" w:hAnsi="Palatino Linotype" w:cs="Arial"/>
        <w:i/>
        <w:sz w:val="20"/>
      </w:rPr>
      <w:t xml:space="preserve"> </w:t>
    </w:r>
    <w:r>
      <w:rPr>
        <w:rFonts w:ascii="Palatino Linotype" w:hAnsi="Palatino Linotype" w:cs="Arial"/>
        <w:i/>
        <w:sz w:val="20"/>
      </w:rPr>
      <w:t>zadávací</w:t>
    </w:r>
    <w:r w:rsidRPr="00453D7B">
      <w:rPr>
        <w:rFonts w:ascii="Palatino Linotype" w:hAnsi="Palatino Linotype" w:cs="Arial"/>
        <w:i/>
        <w:sz w:val="20"/>
      </w:rPr>
      <w:t xml:space="preserve"> dokumentace – </w:t>
    </w:r>
    <w:r>
      <w:rPr>
        <w:rFonts w:ascii="Palatino Linotype" w:hAnsi="Palatino Linotype" w:cs="Arial"/>
        <w:i/>
        <w:sz w:val="20"/>
      </w:rPr>
      <w:t>Podrobná specifikace předmětu veřejné zakázky</w:t>
    </w:r>
  </w:p>
  <w:p w:rsidR="00B361D3" w:rsidRDefault="00B361D3" w:rsidP="00C63810">
    <w:pPr>
      <w:pStyle w:val="Zhlav"/>
    </w:pPr>
  </w:p>
  <w:p w:rsidR="00B361D3" w:rsidRDefault="00B361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B70"/>
    <w:multiLevelType w:val="hybridMultilevel"/>
    <w:tmpl w:val="41CEF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3B75A6"/>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DB48DF"/>
    <w:multiLevelType w:val="hybridMultilevel"/>
    <w:tmpl w:val="BADC352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8B24C0"/>
    <w:multiLevelType w:val="multilevel"/>
    <w:tmpl w:val="250E1668"/>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nsid w:val="071E3705"/>
    <w:multiLevelType w:val="hybridMultilevel"/>
    <w:tmpl w:val="D1BC96A2"/>
    <w:lvl w:ilvl="0" w:tplc="CABE97F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836E91"/>
    <w:multiLevelType w:val="hybridMultilevel"/>
    <w:tmpl w:val="FE58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071870"/>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1D5DD5"/>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837044"/>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203FB6"/>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C0736"/>
    <w:multiLevelType w:val="hybridMultilevel"/>
    <w:tmpl w:val="AF5013F6"/>
    <w:lvl w:ilvl="0" w:tplc="CABE97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FC5074"/>
    <w:multiLevelType w:val="hybridMultilevel"/>
    <w:tmpl w:val="723E4292"/>
    <w:lvl w:ilvl="0" w:tplc="60C25BC8">
      <w:start w:val="1"/>
      <w:numFmt w:val="decimal"/>
      <w:lvlText w:val="%1."/>
      <w:lvlJc w:val="left"/>
      <w:pPr>
        <w:ind w:left="720" w:hanging="360"/>
      </w:pPr>
      <w:rPr>
        <w:i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1B76F9"/>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F610B4"/>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38407E"/>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FA6827"/>
    <w:multiLevelType w:val="multilevel"/>
    <w:tmpl w:val="BF385B62"/>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360"/>
        </w:tabs>
        <w:ind w:left="360" w:hanging="360"/>
      </w:pPr>
      <w:rPr>
        <w:rFonts w:cs="Times New Roman" w:hint="default"/>
        <w:b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color w:val="auto"/>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nsid w:val="28B44873"/>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776363"/>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593255"/>
    <w:multiLevelType w:val="hybridMultilevel"/>
    <w:tmpl w:val="274AC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7A60B9"/>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EAB0624"/>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2687215"/>
    <w:multiLevelType w:val="hybridMultilevel"/>
    <w:tmpl w:val="27FAE824"/>
    <w:lvl w:ilvl="0" w:tplc="35A081DE">
      <w:start w:val="1"/>
      <w:numFmt w:val="lowerLetter"/>
      <w:pStyle w:val="Obsah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8002322"/>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4E5302"/>
    <w:multiLevelType w:val="hybridMultilevel"/>
    <w:tmpl w:val="5BA4FDAC"/>
    <w:lvl w:ilvl="0" w:tplc="CABE97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BB83D7A"/>
    <w:multiLevelType w:val="hybridMultilevel"/>
    <w:tmpl w:val="E4C05ED2"/>
    <w:lvl w:ilvl="0" w:tplc="7F402468">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nsid w:val="3D786FFC"/>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665578"/>
    <w:multiLevelType w:val="hybridMultilevel"/>
    <w:tmpl w:val="642C6B66"/>
    <w:lvl w:ilvl="0" w:tplc="CABE97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65B4F43"/>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A0846A6"/>
    <w:multiLevelType w:val="hybridMultilevel"/>
    <w:tmpl w:val="E4C05ED2"/>
    <w:lvl w:ilvl="0" w:tplc="A3D01648">
      <w:start w:val="1"/>
      <w:numFmt w:val="decimal"/>
      <w:lvlText w:val="%1."/>
      <w:lvlJc w:val="left"/>
      <w:pPr>
        <w:ind w:left="720" w:hanging="360"/>
      </w:pPr>
    </w:lvl>
    <w:lvl w:ilvl="1" w:tplc="1ECA72EC" w:tentative="1">
      <w:start w:val="1"/>
      <w:numFmt w:val="lowerLetter"/>
      <w:lvlText w:val="%2."/>
      <w:lvlJc w:val="left"/>
      <w:pPr>
        <w:ind w:left="1440" w:hanging="360"/>
      </w:pPr>
    </w:lvl>
    <w:lvl w:ilvl="2" w:tplc="44E0C5C0" w:tentative="1">
      <w:start w:val="1"/>
      <w:numFmt w:val="lowerRoman"/>
      <w:lvlText w:val="%3."/>
      <w:lvlJc w:val="right"/>
      <w:pPr>
        <w:ind w:left="2160" w:hanging="180"/>
      </w:pPr>
    </w:lvl>
    <w:lvl w:ilvl="3" w:tplc="D700A04C" w:tentative="1">
      <w:start w:val="1"/>
      <w:numFmt w:val="decimal"/>
      <w:lvlText w:val="%4."/>
      <w:lvlJc w:val="left"/>
      <w:pPr>
        <w:ind w:left="2880" w:hanging="360"/>
      </w:pPr>
    </w:lvl>
    <w:lvl w:ilvl="4" w:tplc="EC52839A" w:tentative="1">
      <w:start w:val="1"/>
      <w:numFmt w:val="lowerLetter"/>
      <w:lvlText w:val="%5."/>
      <w:lvlJc w:val="left"/>
      <w:pPr>
        <w:ind w:left="3600" w:hanging="360"/>
      </w:pPr>
    </w:lvl>
    <w:lvl w:ilvl="5" w:tplc="2DEACE00" w:tentative="1">
      <w:start w:val="1"/>
      <w:numFmt w:val="lowerRoman"/>
      <w:lvlText w:val="%6."/>
      <w:lvlJc w:val="right"/>
      <w:pPr>
        <w:ind w:left="4320" w:hanging="180"/>
      </w:pPr>
    </w:lvl>
    <w:lvl w:ilvl="6" w:tplc="59C8A9A4" w:tentative="1">
      <w:start w:val="1"/>
      <w:numFmt w:val="decimal"/>
      <w:lvlText w:val="%7."/>
      <w:lvlJc w:val="left"/>
      <w:pPr>
        <w:ind w:left="5040" w:hanging="360"/>
      </w:pPr>
    </w:lvl>
    <w:lvl w:ilvl="7" w:tplc="9D16BD2C" w:tentative="1">
      <w:start w:val="1"/>
      <w:numFmt w:val="lowerLetter"/>
      <w:lvlText w:val="%8."/>
      <w:lvlJc w:val="left"/>
      <w:pPr>
        <w:ind w:left="5760" w:hanging="360"/>
      </w:pPr>
    </w:lvl>
    <w:lvl w:ilvl="8" w:tplc="FB1048A6" w:tentative="1">
      <w:start w:val="1"/>
      <w:numFmt w:val="lowerRoman"/>
      <w:lvlText w:val="%9."/>
      <w:lvlJc w:val="right"/>
      <w:pPr>
        <w:ind w:left="6480" w:hanging="180"/>
      </w:pPr>
    </w:lvl>
  </w:abstractNum>
  <w:abstractNum w:abstractNumId="29">
    <w:nsid w:val="4A323259"/>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9922BB"/>
    <w:multiLevelType w:val="hybridMultilevel"/>
    <w:tmpl w:val="249AA190"/>
    <w:lvl w:ilvl="0" w:tplc="A7B0A282">
      <w:start w:val="1"/>
      <w:numFmt w:val="upperRoman"/>
      <w:pStyle w:val="Nadpis1"/>
      <w:lvlText w:val="%1."/>
      <w:lvlJc w:val="left"/>
      <w:pPr>
        <w:ind w:left="720" w:hanging="360"/>
      </w:pPr>
      <w:rPr>
        <w:rFonts w:ascii="Calibri" w:hAnsi="Calibri" w:cs="Calibri" w:hint="default"/>
        <w:b/>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F9978E6"/>
    <w:multiLevelType w:val="hybridMultilevel"/>
    <w:tmpl w:val="C8282A9E"/>
    <w:lvl w:ilvl="0" w:tplc="CABE97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6C51459"/>
    <w:multiLevelType w:val="multilevel"/>
    <w:tmpl w:val="BF385B62"/>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360"/>
        </w:tabs>
        <w:ind w:left="360" w:hanging="360"/>
      </w:pPr>
      <w:rPr>
        <w:rFonts w:cs="Times New Roman" w:hint="default"/>
        <w:b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color w:val="auto"/>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nsid w:val="652452B5"/>
    <w:multiLevelType w:val="hybridMultilevel"/>
    <w:tmpl w:val="590A5A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EF1548"/>
    <w:multiLevelType w:val="hybridMultilevel"/>
    <w:tmpl w:val="60C4C8DA"/>
    <w:lvl w:ilvl="0" w:tplc="CABE97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8B95C81"/>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E5294D"/>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F33A1E"/>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901C67"/>
    <w:multiLevelType w:val="multilevel"/>
    <w:tmpl w:val="B63EE06C"/>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360"/>
        </w:tabs>
        <w:ind w:left="360" w:hanging="360"/>
      </w:pPr>
      <w:rPr>
        <w:rFonts w:cs="Times New Roman" w:hint="default"/>
        <w:b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nsid w:val="77112014"/>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FB1272"/>
    <w:multiLevelType w:val="multilevel"/>
    <w:tmpl w:val="BF385B62"/>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360"/>
        </w:tabs>
        <w:ind w:left="360" w:hanging="360"/>
      </w:pPr>
      <w:rPr>
        <w:rFonts w:cs="Times New Roman" w:hint="default"/>
        <w:b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color w:val="auto"/>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nsid w:val="7C3F576D"/>
    <w:multiLevelType w:val="hybridMultilevel"/>
    <w:tmpl w:val="61068784"/>
    <w:lvl w:ilvl="0" w:tplc="FDA65926">
      <w:numFmt w:val="bullet"/>
      <w:lvlText w:val="-"/>
      <w:lvlJc w:val="left"/>
      <w:pPr>
        <w:ind w:left="848" w:hanging="360"/>
      </w:pPr>
      <w:rPr>
        <w:rFonts w:ascii="Arial" w:eastAsia="Calibri" w:hAnsi="Arial" w:cs="Arial" w:hint="default"/>
      </w:rPr>
    </w:lvl>
    <w:lvl w:ilvl="1" w:tplc="04050003" w:tentative="1">
      <w:start w:val="1"/>
      <w:numFmt w:val="bullet"/>
      <w:lvlText w:val="o"/>
      <w:lvlJc w:val="left"/>
      <w:pPr>
        <w:ind w:left="1568" w:hanging="360"/>
      </w:pPr>
      <w:rPr>
        <w:rFonts w:ascii="Courier New" w:hAnsi="Courier New" w:cs="Courier New" w:hint="default"/>
      </w:rPr>
    </w:lvl>
    <w:lvl w:ilvl="2" w:tplc="04050005" w:tentative="1">
      <w:start w:val="1"/>
      <w:numFmt w:val="bullet"/>
      <w:lvlText w:val=""/>
      <w:lvlJc w:val="left"/>
      <w:pPr>
        <w:ind w:left="2288" w:hanging="360"/>
      </w:pPr>
      <w:rPr>
        <w:rFonts w:ascii="Wingdings" w:hAnsi="Wingdings" w:hint="default"/>
      </w:rPr>
    </w:lvl>
    <w:lvl w:ilvl="3" w:tplc="04050001" w:tentative="1">
      <w:start w:val="1"/>
      <w:numFmt w:val="bullet"/>
      <w:lvlText w:val=""/>
      <w:lvlJc w:val="left"/>
      <w:pPr>
        <w:ind w:left="3008" w:hanging="360"/>
      </w:pPr>
      <w:rPr>
        <w:rFonts w:ascii="Symbol" w:hAnsi="Symbol" w:hint="default"/>
      </w:rPr>
    </w:lvl>
    <w:lvl w:ilvl="4" w:tplc="04050003" w:tentative="1">
      <w:start w:val="1"/>
      <w:numFmt w:val="bullet"/>
      <w:lvlText w:val="o"/>
      <w:lvlJc w:val="left"/>
      <w:pPr>
        <w:ind w:left="3728" w:hanging="360"/>
      </w:pPr>
      <w:rPr>
        <w:rFonts w:ascii="Courier New" w:hAnsi="Courier New" w:cs="Courier New" w:hint="default"/>
      </w:rPr>
    </w:lvl>
    <w:lvl w:ilvl="5" w:tplc="04050005" w:tentative="1">
      <w:start w:val="1"/>
      <w:numFmt w:val="bullet"/>
      <w:lvlText w:val=""/>
      <w:lvlJc w:val="left"/>
      <w:pPr>
        <w:ind w:left="4448" w:hanging="360"/>
      </w:pPr>
      <w:rPr>
        <w:rFonts w:ascii="Wingdings" w:hAnsi="Wingdings" w:hint="default"/>
      </w:rPr>
    </w:lvl>
    <w:lvl w:ilvl="6" w:tplc="04050001" w:tentative="1">
      <w:start w:val="1"/>
      <w:numFmt w:val="bullet"/>
      <w:lvlText w:val=""/>
      <w:lvlJc w:val="left"/>
      <w:pPr>
        <w:ind w:left="5168" w:hanging="360"/>
      </w:pPr>
      <w:rPr>
        <w:rFonts w:ascii="Symbol" w:hAnsi="Symbol" w:hint="default"/>
      </w:rPr>
    </w:lvl>
    <w:lvl w:ilvl="7" w:tplc="04050003" w:tentative="1">
      <w:start w:val="1"/>
      <w:numFmt w:val="bullet"/>
      <w:lvlText w:val="o"/>
      <w:lvlJc w:val="left"/>
      <w:pPr>
        <w:ind w:left="5888" w:hanging="360"/>
      </w:pPr>
      <w:rPr>
        <w:rFonts w:ascii="Courier New" w:hAnsi="Courier New" w:cs="Courier New" w:hint="default"/>
      </w:rPr>
    </w:lvl>
    <w:lvl w:ilvl="8" w:tplc="04050005" w:tentative="1">
      <w:start w:val="1"/>
      <w:numFmt w:val="bullet"/>
      <w:lvlText w:val=""/>
      <w:lvlJc w:val="left"/>
      <w:pPr>
        <w:ind w:left="6608" w:hanging="360"/>
      </w:pPr>
      <w:rPr>
        <w:rFonts w:ascii="Wingdings" w:hAnsi="Wingdings" w:hint="default"/>
      </w:rPr>
    </w:lvl>
  </w:abstractNum>
  <w:abstractNum w:abstractNumId="42">
    <w:nsid w:val="7E846376"/>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24"/>
  </w:num>
  <w:num w:numId="4">
    <w:abstractNumId w:val="28"/>
  </w:num>
  <w:num w:numId="5">
    <w:abstractNumId w:val="41"/>
  </w:num>
  <w:num w:numId="6">
    <w:abstractNumId w:val="30"/>
  </w:num>
  <w:num w:numId="7">
    <w:abstractNumId w:val="40"/>
  </w:num>
  <w:num w:numId="8">
    <w:abstractNumId w:val="38"/>
  </w:num>
  <w:num w:numId="9">
    <w:abstractNumId w:val="0"/>
  </w:num>
  <w:num w:numId="10">
    <w:abstractNumId w:val="3"/>
  </w:num>
  <w:num w:numId="11">
    <w:abstractNumId w:val="11"/>
  </w:num>
  <w:num w:numId="12">
    <w:abstractNumId w:val="10"/>
  </w:num>
  <w:num w:numId="13">
    <w:abstractNumId w:val="34"/>
  </w:num>
  <w:num w:numId="14">
    <w:abstractNumId w:val="31"/>
  </w:num>
  <w:num w:numId="15">
    <w:abstractNumId w:val="26"/>
  </w:num>
  <w:num w:numId="16">
    <w:abstractNumId w:val="23"/>
  </w:num>
  <w:num w:numId="17">
    <w:abstractNumId w:val="33"/>
  </w:num>
  <w:num w:numId="18">
    <w:abstractNumId w:val="18"/>
  </w:num>
  <w:num w:numId="19">
    <w:abstractNumId w:val="4"/>
  </w:num>
  <w:num w:numId="20">
    <w:abstractNumId w:val="16"/>
  </w:num>
  <w:num w:numId="21">
    <w:abstractNumId w:val="22"/>
  </w:num>
  <w:num w:numId="22">
    <w:abstractNumId w:val="14"/>
  </w:num>
  <w:num w:numId="23">
    <w:abstractNumId w:val="9"/>
  </w:num>
  <w:num w:numId="24">
    <w:abstractNumId w:val="17"/>
  </w:num>
  <w:num w:numId="25">
    <w:abstractNumId w:val="37"/>
  </w:num>
  <w:num w:numId="26">
    <w:abstractNumId w:val="19"/>
  </w:num>
  <w:num w:numId="27">
    <w:abstractNumId w:val="35"/>
  </w:num>
  <w:num w:numId="28">
    <w:abstractNumId w:val="39"/>
  </w:num>
  <w:num w:numId="29">
    <w:abstractNumId w:val="42"/>
  </w:num>
  <w:num w:numId="30">
    <w:abstractNumId w:val="25"/>
  </w:num>
  <w:num w:numId="31">
    <w:abstractNumId w:val="7"/>
  </w:num>
  <w:num w:numId="32">
    <w:abstractNumId w:val="6"/>
  </w:num>
  <w:num w:numId="33">
    <w:abstractNumId w:val="29"/>
  </w:num>
  <w:num w:numId="34">
    <w:abstractNumId w:val="13"/>
  </w:num>
  <w:num w:numId="35">
    <w:abstractNumId w:val="20"/>
  </w:num>
  <w:num w:numId="36">
    <w:abstractNumId w:val="5"/>
  </w:num>
  <w:num w:numId="37">
    <w:abstractNumId w:val="30"/>
  </w:num>
  <w:num w:numId="38">
    <w:abstractNumId w:val="32"/>
  </w:num>
  <w:num w:numId="39">
    <w:abstractNumId w:val="27"/>
  </w:num>
  <w:num w:numId="40">
    <w:abstractNumId w:val="12"/>
  </w:num>
  <w:num w:numId="41">
    <w:abstractNumId w:val="36"/>
  </w:num>
  <w:num w:numId="42">
    <w:abstractNumId w:val="30"/>
  </w:num>
  <w:num w:numId="43">
    <w:abstractNumId w:val="15"/>
  </w:num>
  <w:num w:numId="44">
    <w:abstractNumId w:val="8"/>
  </w:num>
  <w:num w:numId="45">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81"/>
    <w:rsid w:val="00011108"/>
    <w:rsid w:val="00027A17"/>
    <w:rsid w:val="000304D8"/>
    <w:rsid w:val="0003635B"/>
    <w:rsid w:val="00094A9F"/>
    <w:rsid w:val="000A1DF3"/>
    <w:rsid w:val="000A4894"/>
    <w:rsid w:val="000A70E6"/>
    <w:rsid w:val="000D3916"/>
    <w:rsid w:val="000F0A42"/>
    <w:rsid w:val="000F2715"/>
    <w:rsid w:val="000F7926"/>
    <w:rsid w:val="001123DC"/>
    <w:rsid w:val="00135F86"/>
    <w:rsid w:val="00136ED9"/>
    <w:rsid w:val="00146C61"/>
    <w:rsid w:val="0016670D"/>
    <w:rsid w:val="0017055D"/>
    <w:rsid w:val="00181BBD"/>
    <w:rsid w:val="00184B6D"/>
    <w:rsid w:val="0019085B"/>
    <w:rsid w:val="00193A9A"/>
    <w:rsid w:val="001C3954"/>
    <w:rsid w:val="001C4F72"/>
    <w:rsid w:val="001E2C6E"/>
    <w:rsid w:val="001F1D68"/>
    <w:rsid w:val="001F5B7F"/>
    <w:rsid w:val="00214AA2"/>
    <w:rsid w:val="002155F8"/>
    <w:rsid w:val="002200B0"/>
    <w:rsid w:val="00240C45"/>
    <w:rsid w:val="002477D4"/>
    <w:rsid w:val="0025468E"/>
    <w:rsid w:val="00257DEC"/>
    <w:rsid w:val="0026189A"/>
    <w:rsid w:val="0028098A"/>
    <w:rsid w:val="00282BB7"/>
    <w:rsid w:val="00292FB0"/>
    <w:rsid w:val="002A6A8F"/>
    <w:rsid w:val="002B1330"/>
    <w:rsid w:val="002E5537"/>
    <w:rsid w:val="003009D8"/>
    <w:rsid w:val="00311E18"/>
    <w:rsid w:val="00313EE3"/>
    <w:rsid w:val="00392D61"/>
    <w:rsid w:val="003A4A5D"/>
    <w:rsid w:val="003A6A11"/>
    <w:rsid w:val="003B227D"/>
    <w:rsid w:val="003B5162"/>
    <w:rsid w:val="003D5153"/>
    <w:rsid w:val="003D6811"/>
    <w:rsid w:val="003D7047"/>
    <w:rsid w:val="003F5A4E"/>
    <w:rsid w:val="00400C1D"/>
    <w:rsid w:val="004240F2"/>
    <w:rsid w:val="00430B47"/>
    <w:rsid w:val="00444631"/>
    <w:rsid w:val="00445C44"/>
    <w:rsid w:val="0045230D"/>
    <w:rsid w:val="0048031D"/>
    <w:rsid w:val="00481B1D"/>
    <w:rsid w:val="004A43BF"/>
    <w:rsid w:val="0050308D"/>
    <w:rsid w:val="00507E61"/>
    <w:rsid w:val="00511E15"/>
    <w:rsid w:val="00522436"/>
    <w:rsid w:val="00523507"/>
    <w:rsid w:val="0054307F"/>
    <w:rsid w:val="00562430"/>
    <w:rsid w:val="00581312"/>
    <w:rsid w:val="0058658D"/>
    <w:rsid w:val="005A6D99"/>
    <w:rsid w:val="005E12E8"/>
    <w:rsid w:val="005F4DF5"/>
    <w:rsid w:val="005F7D57"/>
    <w:rsid w:val="00612122"/>
    <w:rsid w:val="00655804"/>
    <w:rsid w:val="00660682"/>
    <w:rsid w:val="00664B45"/>
    <w:rsid w:val="00682124"/>
    <w:rsid w:val="00685CD8"/>
    <w:rsid w:val="00690FB8"/>
    <w:rsid w:val="006A268C"/>
    <w:rsid w:val="006B353B"/>
    <w:rsid w:val="006C7B9E"/>
    <w:rsid w:val="006F122F"/>
    <w:rsid w:val="007009D5"/>
    <w:rsid w:val="00715903"/>
    <w:rsid w:val="00717CEB"/>
    <w:rsid w:val="0076067C"/>
    <w:rsid w:val="0076747B"/>
    <w:rsid w:val="00790FF1"/>
    <w:rsid w:val="007A3186"/>
    <w:rsid w:val="007B15EF"/>
    <w:rsid w:val="007B6AA2"/>
    <w:rsid w:val="007E2035"/>
    <w:rsid w:val="007F562F"/>
    <w:rsid w:val="00820D04"/>
    <w:rsid w:val="00822221"/>
    <w:rsid w:val="00856974"/>
    <w:rsid w:val="0087042D"/>
    <w:rsid w:val="00890EE0"/>
    <w:rsid w:val="00893EA6"/>
    <w:rsid w:val="008E5C91"/>
    <w:rsid w:val="008F5569"/>
    <w:rsid w:val="009038E6"/>
    <w:rsid w:val="0092040F"/>
    <w:rsid w:val="00963C65"/>
    <w:rsid w:val="0098656D"/>
    <w:rsid w:val="009C0EA0"/>
    <w:rsid w:val="009C69E1"/>
    <w:rsid w:val="009F2F9E"/>
    <w:rsid w:val="00A065B2"/>
    <w:rsid w:val="00A41CC9"/>
    <w:rsid w:val="00A4749D"/>
    <w:rsid w:val="00A574F1"/>
    <w:rsid w:val="00A8416D"/>
    <w:rsid w:val="00A91DF7"/>
    <w:rsid w:val="00AB41BE"/>
    <w:rsid w:val="00AB50D1"/>
    <w:rsid w:val="00AD0918"/>
    <w:rsid w:val="00AD3863"/>
    <w:rsid w:val="00AE187D"/>
    <w:rsid w:val="00AF51EF"/>
    <w:rsid w:val="00B133BD"/>
    <w:rsid w:val="00B35005"/>
    <w:rsid w:val="00B361D3"/>
    <w:rsid w:val="00B45124"/>
    <w:rsid w:val="00B50FBB"/>
    <w:rsid w:val="00B67144"/>
    <w:rsid w:val="00B85728"/>
    <w:rsid w:val="00B93236"/>
    <w:rsid w:val="00BA5DBE"/>
    <w:rsid w:val="00BA7E7B"/>
    <w:rsid w:val="00BB7C50"/>
    <w:rsid w:val="00BE0838"/>
    <w:rsid w:val="00C10648"/>
    <w:rsid w:val="00C15368"/>
    <w:rsid w:val="00C21D80"/>
    <w:rsid w:val="00C301B7"/>
    <w:rsid w:val="00C34153"/>
    <w:rsid w:val="00C448C1"/>
    <w:rsid w:val="00C62879"/>
    <w:rsid w:val="00C63810"/>
    <w:rsid w:val="00C66A27"/>
    <w:rsid w:val="00C67C07"/>
    <w:rsid w:val="00C852AB"/>
    <w:rsid w:val="00C92165"/>
    <w:rsid w:val="00C94AA4"/>
    <w:rsid w:val="00C974F2"/>
    <w:rsid w:val="00CB5B7E"/>
    <w:rsid w:val="00CB7581"/>
    <w:rsid w:val="00CD1121"/>
    <w:rsid w:val="00CF5E3C"/>
    <w:rsid w:val="00CF728D"/>
    <w:rsid w:val="00D101C4"/>
    <w:rsid w:val="00D26249"/>
    <w:rsid w:val="00D45B19"/>
    <w:rsid w:val="00D51CFA"/>
    <w:rsid w:val="00D62158"/>
    <w:rsid w:val="00D6292F"/>
    <w:rsid w:val="00D7626B"/>
    <w:rsid w:val="00D8704D"/>
    <w:rsid w:val="00D87A06"/>
    <w:rsid w:val="00D96647"/>
    <w:rsid w:val="00DA3C61"/>
    <w:rsid w:val="00DB2A24"/>
    <w:rsid w:val="00DB4A1F"/>
    <w:rsid w:val="00DB4B22"/>
    <w:rsid w:val="00DC5B0A"/>
    <w:rsid w:val="00DD02B9"/>
    <w:rsid w:val="00DF67E8"/>
    <w:rsid w:val="00E11C47"/>
    <w:rsid w:val="00E208E1"/>
    <w:rsid w:val="00E31B19"/>
    <w:rsid w:val="00E36DB6"/>
    <w:rsid w:val="00E55B51"/>
    <w:rsid w:val="00E71467"/>
    <w:rsid w:val="00E77BAE"/>
    <w:rsid w:val="00EB3952"/>
    <w:rsid w:val="00EB781C"/>
    <w:rsid w:val="00EC3CB0"/>
    <w:rsid w:val="00ED0C3A"/>
    <w:rsid w:val="00ED7BD1"/>
    <w:rsid w:val="00EE228B"/>
    <w:rsid w:val="00EF57E7"/>
    <w:rsid w:val="00F000F7"/>
    <w:rsid w:val="00F06439"/>
    <w:rsid w:val="00F06D29"/>
    <w:rsid w:val="00F13744"/>
    <w:rsid w:val="00F24A1A"/>
    <w:rsid w:val="00F24E19"/>
    <w:rsid w:val="00F37424"/>
    <w:rsid w:val="00F54CFE"/>
    <w:rsid w:val="00F734C2"/>
    <w:rsid w:val="00F76054"/>
    <w:rsid w:val="00F92C85"/>
    <w:rsid w:val="00FA206B"/>
    <w:rsid w:val="00FB5464"/>
    <w:rsid w:val="00FD1C45"/>
    <w:rsid w:val="00FF0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581"/>
    <w:rPr>
      <w:rFonts w:eastAsia="Times New Roman"/>
      <w:sz w:val="22"/>
      <w:szCs w:val="24"/>
    </w:rPr>
  </w:style>
  <w:style w:type="paragraph" w:styleId="Nadpis1">
    <w:name w:val="heading 1"/>
    <w:basedOn w:val="Bezmezer"/>
    <w:next w:val="Bezmezer"/>
    <w:link w:val="Nadpis1Char"/>
    <w:uiPriority w:val="9"/>
    <w:qFormat/>
    <w:rsid w:val="00E71467"/>
    <w:pPr>
      <w:keepNext/>
      <w:keepLines/>
      <w:numPr>
        <w:numId w:val="6"/>
      </w:numPr>
      <w:outlineLvl w:val="0"/>
    </w:pPr>
    <w:rPr>
      <w:rFonts w:ascii="Cambria" w:eastAsia="Times New Roman" w:hAnsi="Cambria"/>
      <w:b/>
      <w:bCs/>
      <w:sz w:val="28"/>
      <w:szCs w:val="28"/>
    </w:rPr>
  </w:style>
  <w:style w:type="paragraph" w:styleId="Nadpis7">
    <w:name w:val="heading 7"/>
    <w:basedOn w:val="Normln"/>
    <w:next w:val="Normln"/>
    <w:link w:val="Nadpis7Char"/>
    <w:uiPriority w:val="9"/>
    <w:semiHidden/>
    <w:unhideWhenUsed/>
    <w:qFormat/>
    <w:rsid w:val="001F1D6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D02B9"/>
    <w:rPr>
      <w:sz w:val="22"/>
      <w:szCs w:val="22"/>
      <w:lang w:eastAsia="en-US"/>
    </w:rPr>
  </w:style>
  <w:style w:type="paragraph" w:styleId="Odstavecseseznamem">
    <w:name w:val="List Paragraph"/>
    <w:basedOn w:val="Normln"/>
    <w:link w:val="OdstavecseseznamemChar"/>
    <w:uiPriority w:val="34"/>
    <w:qFormat/>
    <w:rsid w:val="00CB7581"/>
    <w:pPr>
      <w:ind w:left="720"/>
      <w:contextualSpacing/>
      <w:jc w:val="both"/>
    </w:pPr>
    <w:rPr>
      <w:rFonts w:eastAsia="Calibri"/>
      <w:szCs w:val="22"/>
      <w:lang w:eastAsia="en-US"/>
    </w:rPr>
  </w:style>
  <w:style w:type="character" w:customStyle="1" w:styleId="OdstavecseseznamemChar">
    <w:name w:val="Odstavec se seznamem Char"/>
    <w:link w:val="Odstavecseseznamem"/>
    <w:uiPriority w:val="34"/>
    <w:rsid w:val="00CB7581"/>
    <w:rPr>
      <w:rFonts w:ascii="Calibri" w:eastAsia="Calibri" w:hAnsi="Calibri" w:cs="Times New Roman"/>
    </w:rPr>
  </w:style>
  <w:style w:type="table" w:customStyle="1" w:styleId="Mojetabulka1">
    <w:name w:val="Moje tabulka1"/>
    <w:basedOn w:val="Normlntabulka"/>
    <w:uiPriority w:val="59"/>
    <w:rsid w:val="00CB7581"/>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table" w:styleId="Mkatabulky">
    <w:name w:val="Table Grid"/>
    <w:aliases w:val="Moje tabulka"/>
    <w:basedOn w:val="Normlntabulka"/>
    <w:uiPriority w:val="59"/>
    <w:rsid w:val="00CB75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uiPriority w:val="9"/>
    <w:rsid w:val="00E71467"/>
    <w:rPr>
      <w:rFonts w:ascii="Cambria" w:eastAsia="Times New Roman" w:hAnsi="Cambria"/>
      <w:b/>
      <w:bCs/>
      <w:sz w:val="28"/>
      <w:szCs w:val="28"/>
      <w:lang w:eastAsia="en-US"/>
    </w:rPr>
  </w:style>
  <w:style w:type="paragraph" w:styleId="Nadpisobsahu">
    <w:name w:val="TOC Heading"/>
    <w:basedOn w:val="Nadpis1"/>
    <w:next w:val="Normln"/>
    <w:uiPriority w:val="39"/>
    <w:semiHidden/>
    <w:unhideWhenUsed/>
    <w:qFormat/>
    <w:rsid w:val="00CB7581"/>
    <w:pPr>
      <w:spacing w:line="276" w:lineRule="auto"/>
      <w:outlineLvl w:val="9"/>
    </w:pPr>
  </w:style>
  <w:style w:type="paragraph" w:styleId="Textbubliny">
    <w:name w:val="Balloon Text"/>
    <w:basedOn w:val="Normln"/>
    <w:link w:val="TextbublinyChar"/>
    <w:uiPriority w:val="99"/>
    <w:semiHidden/>
    <w:unhideWhenUsed/>
    <w:rsid w:val="00CB7581"/>
    <w:rPr>
      <w:rFonts w:ascii="Tahoma" w:hAnsi="Tahoma" w:cs="Tahoma"/>
      <w:sz w:val="16"/>
      <w:szCs w:val="16"/>
    </w:rPr>
  </w:style>
  <w:style w:type="character" w:customStyle="1" w:styleId="TextbublinyChar">
    <w:name w:val="Text bubliny Char"/>
    <w:link w:val="Textbubliny"/>
    <w:uiPriority w:val="99"/>
    <w:semiHidden/>
    <w:rsid w:val="00CB7581"/>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523507"/>
    <w:pPr>
      <w:numPr>
        <w:numId w:val="45"/>
      </w:numPr>
      <w:tabs>
        <w:tab w:val="right" w:leader="dot" w:pos="9062"/>
      </w:tabs>
      <w:spacing w:after="100"/>
      <w:ind w:hanging="720"/>
      <w:jc w:val="both"/>
    </w:pPr>
  </w:style>
  <w:style w:type="character" w:styleId="Hypertextovodkaz">
    <w:name w:val="Hyperlink"/>
    <w:uiPriority w:val="99"/>
    <w:unhideWhenUsed/>
    <w:rsid w:val="00CB7581"/>
    <w:rPr>
      <w:color w:val="0000FF"/>
      <w:u w:val="single"/>
    </w:rPr>
  </w:style>
  <w:style w:type="character" w:styleId="Odkaznakoment">
    <w:name w:val="annotation reference"/>
    <w:semiHidden/>
    <w:rsid w:val="00CB7581"/>
    <w:rPr>
      <w:sz w:val="16"/>
    </w:rPr>
  </w:style>
  <w:style w:type="paragraph" w:styleId="Textkomente">
    <w:name w:val="annotation text"/>
    <w:basedOn w:val="Normln"/>
    <w:link w:val="TextkomenteChar"/>
    <w:semiHidden/>
    <w:rsid w:val="00CB7581"/>
    <w:pPr>
      <w:spacing w:after="200" w:line="276" w:lineRule="auto"/>
    </w:pPr>
    <w:rPr>
      <w:rFonts w:eastAsia="Calibri"/>
      <w:sz w:val="20"/>
      <w:szCs w:val="22"/>
      <w:lang w:eastAsia="en-US"/>
    </w:rPr>
  </w:style>
  <w:style w:type="character" w:customStyle="1" w:styleId="TextkomenteChar">
    <w:name w:val="Text komentáře Char"/>
    <w:link w:val="Textkomente"/>
    <w:semiHidden/>
    <w:rsid w:val="00CB7581"/>
    <w:rPr>
      <w:sz w:val="20"/>
    </w:rPr>
  </w:style>
  <w:style w:type="table" w:customStyle="1" w:styleId="Mojetabulka2">
    <w:name w:val="Moje tabulka2"/>
    <w:basedOn w:val="Normlntabulka"/>
    <w:next w:val="Mkatabulky"/>
    <w:uiPriority w:val="59"/>
    <w:rsid w:val="00CB7581"/>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table" w:customStyle="1" w:styleId="Mojetabulka3">
    <w:name w:val="Moje tabulka3"/>
    <w:basedOn w:val="Normlntabulka"/>
    <w:next w:val="Mkatabulky"/>
    <w:uiPriority w:val="59"/>
    <w:rsid w:val="00E71467"/>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paragraph" w:styleId="Textpoznpodarou">
    <w:name w:val="footnote text"/>
    <w:basedOn w:val="Normln"/>
    <w:link w:val="TextpoznpodarouChar"/>
    <w:uiPriority w:val="99"/>
    <w:semiHidden/>
    <w:unhideWhenUsed/>
    <w:rsid w:val="0054307F"/>
    <w:rPr>
      <w:sz w:val="20"/>
      <w:szCs w:val="20"/>
    </w:rPr>
  </w:style>
  <w:style w:type="character" w:customStyle="1" w:styleId="TextpoznpodarouChar">
    <w:name w:val="Text pozn. pod čarou Char"/>
    <w:link w:val="Textpoznpodarou"/>
    <w:uiPriority w:val="99"/>
    <w:semiHidden/>
    <w:rsid w:val="0054307F"/>
    <w:rPr>
      <w:rFonts w:eastAsia="Times New Roman"/>
    </w:rPr>
  </w:style>
  <w:style w:type="character" w:styleId="Znakapoznpodarou">
    <w:name w:val="footnote reference"/>
    <w:semiHidden/>
    <w:rsid w:val="0054307F"/>
    <w:rPr>
      <w:vertAlign w:val="superscript"/>
    </w:rPr>
  </w:style>
  <w:style w:type="table" w:customStyle="1" w:styleId="Mojetabulka4">
    <w:name w:val="Moje tabulka4"/>
    <w:basedOn w:val="Normlntabulka"/>
    <w:next w:val="Mkatabulky"/>
    <w:uiPriority w:val="59"/>
    <w:rsid w:val="0054307F"/>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paragraph" w:styleId="Pedmtkomente">
    <w:name w:val="annotation subject"/>
    <w:basedOn w:val="Textkomente"/>
    <w:next w:val="Textkomente"/>
    <w:link w:val="PedmtkomenteChar"/>
    <w:uiPriority w:val="99"/>
    <w:semiHidden/>
    <w:unhideWhenUsed/>
    <w:rsid w:val="00890EE0"/>
    <w:pPr>
      <w:spacing w:after="0" w:line="240" w:lineRule="auto"/>
    </w:pPr>
    <w:rPr>
      <w:rFonts w:eastAsia="Times New Roman"/>
      <w:b/>
      <w:bCs/>
      <w:szCs w:val="20"/>
      <w:lang w:eastAsia="cs-CZ"/>
    </w:rPr>
  </w:style>
  <w:style w:type="character" w:customStyle="1" w:styleId="PedmtkomenteChar">
    <w:name w:val="Předmět komentáře Char"/>
    <w:link w:val="Pedmtkomente"/>
    <w:uiPriority w:val="99"/>
    <w:semiHidden/>
    <w:rsid w:val="00890EE0"/>
    <w:rPr>
      <w:rFonts w:eastAsia="Times New Roman"/>
      <w:b/>
      <w:bCs/>
      <w:sz w:val="20"/>
    </w:rPr>
  </w:style>
  <w:style w:type="character" w:customStyle="1" w:styleId="Nadpis7Char">
    <w:name w:val="Nadpis 7 Char"/>
    <w:basedOn w:val="Standardnpsmoodstavce"/>
    <w:link w:val="Nadpis7"/>
    <w:uiPriority w:val="9"/>
    <w:semiHidden/>
    <w:rsid w:val="001F1D68"/>
    <w:rPr>
      <w:rFonts w:asciiTheme="majorHAnsi" w:eastAsiaTheme="majorEastAsia" w:hAnsiTheme="majorHAnsi" w:cstheme="majorBidi"/>
      <w:i/>
      <w:iCs/>
      <w:color w:val="404040" w:themeColor="text1" w:themeTint="BF"/>
      <w:sz w:val="22"/>
      <w:szCs w:val="24"/>
    </w:rPr>
  </w:style>
  <w:style w:type="character" w:styleId="Sledovanodkaz">
    <w:name w:val="FollowedHyperlink"/>
    <w:basedOn w:val="Standardnpsmoodstavce"/>
    <w:uiPriority w:val="99"/>
    <w:semiHidden/>
    <w:unhideWhenUsed/>
    <w:rsid w:val="00B67144"/>
    <w:rPr>
      <w:color w:val="800080" w:themeColor="followedHyperlink"/>
      <w:u w:val="single"/>
    </w:rPr>
  </w:style>
  <w:style w:type="paragraph" w:styleId="Prosttext">
    <w:name w:val="Plain Text"/>
    <w:basedOn w:val="Normln"/>
    <w:link w:val="ProsttextChar"/>
    <w:uiPriority w:val="99"/>
    <w:unhideWhenUsed/>
    <w:rsid w:val="00AE187D"/>
    <w:rPr>
      <w:rFonts w:ascii="Consolas" w:hAnsi="Consolas"/>
      <w:sz w:val="21"/>
      <w:szCs w:val="21"/>
    </w:rPr>
  </w:style>
  <w:style w:type="character" w:customStyle="1" w:styleId="ProsttextChar">
    <w:name w:val="Prostý text Char"/>
    <w:basedOn w:val="Standardnpsmoodstavce"/>
    <w:link w:val="Prosttext"/>
    <w:uiPriority w:val="99"/>
    <w:rsid w:val="00AE187D"/>
    <w:rPr>
      <w:rFonts w:ascii="Consolas" w:eastAsia="Times New Roman" w:hAnsi="Consolas"/>
      <w:sz w:val="21"/>
      <w:szCs w:val="21"/>
    </w:rPr>
  </w:style>
  <w:style w:type="paragraph" w:styleId="Zhlav">
    <w:name w:val="header"/>
    <w:basedOn w:val="Normln"/>
    <w:link w:val="ZhlavChar"/>
    <w:uiPriority w:val="99"/>
    <w:unhideWhenUsed/>
    <w:rsid w:val="00C63810"/>
    <w:pPr>
      <w:tabs>
        <w:tab w:val="center" w:pos="4536"/>
        <w:tab w:val="right" w:pos="9072"/>
      </w:tabs>
    </w:pPr>
  </w:style>
  <w:style w:type="character" w:customStyle="1" w:styleId="ZhlavChar">
    <w:name w:val="Záhlaví Char"/>
    <w:basedOn w:val="Standardnpsmoodstavce"/>
    <w:link w:val="Zhlav"/>
    <w:uiPriority w:val="99"/>
    <w:rsid w:val="00C63810"/>
    <w:rPr>
      <w:rFonts w:eastAsia="Times New Roman"/>
      <w:sz w:val="22"/>
      <w:szCs w:val="24"/>
    </w:rPr>
  </w:style>
  <w:style w:type="paragraph" w:styleId="Zpat">
    <w:name w:val="footer"/>
    <w:basedOn w:val="Normln"/>
    <w:link w:val="ZpatChar"/>
    <w:uiPriority w:val="99"/>
    <w:unhideWhenUsed/>
    <w:rsid w:val="00C63810"/>
    <w:pPr>
      <w:tabs>
        <w:tab w:val="center" w:pos="4536"/>
        <w:tab w:val="right" w:pos="9072"/>
      </w:tabs>
    </w:pPr>
  </w:style>
  <w:style w:type="character" w:customStyle="1" w:styleId="ZpatChar">
    <w:name w:val="Zápatí Char"/>
    <w:basedOn w:val="Standardnpsmoodstavce"/>
    <w:link w:val="Zpat"/>
    <w:uiPriority w:val="99"/>
    <w:rsid w:val="00C63810"/>
    <w:rPr>
      <w:rFonts w:eastAsia="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7581"/>
    <w:rPr>
      <w:rFonts w:eastAsia="Times New Roman"/>
      <w:sz w:val="22"/>
      <w:szCs w:val="24"/>
    </w:rPr>
  </w:style>
  <w:style w:type="paragraph" w:styleId="Nadpis1">
    <w:name w:val="heading 1"/>
    <w:basedOn w:val="Bezmezer"/>
    <w:next w:val="Bezmezer"/>
    <w:link w:val="Nadpis1Char"/>
    <w:uiPriority w:val="9"/>
    <w:qFormat/>
    <w:rsid w:val="00E71467"/>
    <w:pPr>
      <w:keepNext/>
      <w:keepLines/>
      <w:numPr>
        <w:numId w:val="6"/>
      </w:numPr>
      <w:outlineLvl w:val="0"/>
    </w:pPr>
    <w:rPr>
      <w:rFonts w:ascii="Cambria" w:eastAsia="Times New Roman" w:hAnsi="Cambria"/>
      <w:b/>
      <w:bCs/>
      <w:sz w:val="28"/>
      <w:szCs w:val="28"/>
    </w:rPr>
  </w:style>
  <w:style w:type="paragraph" w:styleId="Nadpis7">
    <w:name w:val="heading 7"/>
    <w:basedOn w:val="Normln"/>
    <w:next w:val="Normln"/>
    <w:link w:val="Nadpis7Char"/>
    <w:uiPriority w:val="9"/>
    <w:semiHidden/>
    <w:unhideWhenUsed/>
    <w:qFormat/>
    <w:rsid w:val="001F1D6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D02B9"/>
    <w:rPr>
      <w:sz w:val="22"/>
      <w:szCs w:val="22"/>
      <w:lang w:eastAsia="en-US"/>
    </w:rPr>
  </w:style>
  <w:style w:type="paragraph" w:styleId="Odstavecseseznamem">
    <w:name w:val="List Paragraph"/>
    <w:basedOn w:val="Normln"/>
    <w:link w:val="OdstavecseseznamemChar"/>
    <w:uiPriority w:val="34"/>
    <w:qFormat/>
    <w:rsid w:val="00CB7581"/>
    <w:pPr>
      <w:ind w:left="720"/>
      <w:contextualSpacing/>
      <w:jc w:val="both"/>
    </w:pPr>
    <w:rPr>
      <w:rFonts w:eastAsia="Calibri"/>
      <w:szCs w:val="22"/>
      <w:lang w:eastAsia="en-US"/>
    </w:rPr>
  </w:style>
  <w:style w:type="character" w:customStyle="1" w:styleId="OdstavecseseznamemChar">
    <w:name w:val="Odstavec se seznamem Char"/>
    <w:link w:val="Odstavecseseznamem"/>
    <w:uiPriority w:val="34"/>
    <w:rsid w:val="00CB7581"/>
    <w:rPr>
      <w:rFonts w:ascii="Calibri" w:eastAsia="Calibri" w:hAnsi="Calibri" w:cs="Times New Roman"/>
    </w:rPr>
  </w:style>
  <w:style w:type="table" w:customStyle="1" w:styleId="Mojetabulka1">
    <w:name w:val="Moje tabulka1"/>
    <w:basedOn w:val="Normlntabulka"/>
    <w:uiPriority w:val="59"/>
    <w:rsid w:val="00CB7581"/>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table" w:styleId="Mkatabulky">
    <w:name w:val="Table Grid"/>
    <w:aliases w:val="Moje tabulka"/>
    <w:basedOn w:val="Normlntabulka"/>
    <w:uiPriority w:val="59"/>
    <w:rsid w:val="00CB75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uiPriority w:val="9"/>
    <w:rsid w:val="00E71467"/>
    <w:rPr>
      <w:rFonts w:ascii="Cambria" w:eastAsia="Times New Roman" w:hAnsi="Cambria"/>
      <w:b/>
      <w:bCs/>
      <w:sz w:val="28"/>
      <w:szCs w:val="28"/>
      <w:lang w:eastAsia="en-US"/>
    </w:rPr>
  </w:style>
  <w:style w:type="paragraph" w:styleId="Nadpisobsahu">
    <w:name w:val="TOC Heading"/>
    <w:basedOn w:val="Nadpis1"/>
    <w:next w:val="Normln"/>
    <w:uiPriority w:val="39"/>
    <w:semiHidden/>
    <w:unhideWhenUsed/>
    <w:qFormat/>
    <w:rsid w:val="00CB7581"/>
    <w:pPr>
      <w:spacing w:line="276" w:lineRule="auto"/>
      <w:outlineLvl w:val="9"/>
    </w:pPr>
  </w:style>
  <w:style w:type="paragraph" w:styleId="Textbubliny">
    <w:name w:val="Balloon Text"/>
    <w:basedOn w:val="Normln"/>
    <w:link w:val="TextbublinyChar"/>
    <w:uiPriority w:val="99"/>
    <w:semiHidden/>
    <w:unhideWhenUsed/>
    <w:rsid w:val="00CB7581"/>
    <w:rPr>
      <w:rFonts w:ascii="Tahoma" w:hAnsi="Tahoma" w:cs="Tahoma"/>
      <w:sz w:val="16"/>
      <w:szCs w:val="16"/>
    </w:rPr>
  </w:style>
  <w:style w:type="character" w:customStyle="1" w:styleId="TextbublinyChar">
    <w:name w:val="Text bubliny Char"/>
    <w:link w:val="Textbubliny"/>
    <w:uiPriority w:val="99"/>
    <w:semiHidden/>
    <w:rsid w:val="00CB7581"/>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523507"/>
    <w:pPr>
      <w:numPr>
        <w:numId w:val="45"/>
      </w:numPr>
      <w:tabs>
        <w:tab w:val="right" w:leader="dot" w:pos="9062"/>
      </w:tabs>
      <w:spacing w:after="100"/>
      <w:ind w:hanging="720"/>
      <w:jc w:val="both"/>
    </w:pPr>
  </w:style>
  <w:style w:type="character" w:styleId="Hypertextovodkaz">
    <w:name w:val="Hyperlink"/>
    <w:uiPriority w:val="99"/>
    <w:unhideWhenUsed/>
    <w:rsid w:val="00CB7581"/>
    <w:rPr>
      <w:color w:val="0000FF"/>
      <w:u w:val="single"/>
    </w:rPr>
  </w:style>
  <w:style w:type="character" w:styleId="Odkaznakoment">
    <w:name w:val="annotation reference"/>
    <w:semiHidden/>
    <w:rsid w:val="00CB7581"/>
    <w:rPr>
      <w:sz w:val="16"/>
    </w:rPr>
  </w:style>
  <w:style w:type="paragraph" w:styleId="Textkomente">
    <w:name w:val="annotation text"/>
    <w:basedOn w:val="Normln"/>
    <w:link w:val="TextkomenteChar"/>
    <w:semiHidden/>
    <w:rsid w:val="00CB7581"/>
    <w:pPr>
      <w:spacing w:after="200" w:line="276" w:lineRule="auto"/>
    </w:pPr>
    <w:rPr>
      <w:rFonts w:eastAsia="Calibri"/>
      <w:sz w:val="20"/>
      <w:szCs w:val="22"/>
      <w:lang w:eastAsia="en-US"/>
    </w:rPr>
  </w:style>
  <w:style w:type="character" w:customStyle="1" w:styleId="TextkomenteChar">
    <w:name w:val="Text komentáře Char"/>
    <w:link w:val="Textkomente"/>
    <w:semiHidden/>
    <w:rsid w:val="00CB7581"/>
    <w:rPr>
      <w:sz w:val="20"/>
    </w:rPr>
  </w:style>
  <w:style w:type="table" w:customStyle="1" w:styleId="Mojetabulka2">
    <w:name w:val="Moje tabulka2"/>
    <w:basedOn w:val="Normlntabulka"/>
    <w:next w:val="Mkatabulky"/>
    <w:uiPriority w:val="59"/>
    <w:rsid w:val="00CB7581"/>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table" w:customStyle="1" w:styleId="Mojetabulka3">
    <w:name w:val="Moje tabulka3"/>
    <w:basedOn w:val="Normlntabulka"/>
    <w:next w:val="Mkatabulky"/>
    <w:uiPriority w:val="59"/>
    <w:rsid w:val="00E71467"/>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paragraph" w:styleId="Textpoznpodarou">
    <w:name w:val="footnote text"/>
    <w:basedOn w:val="Normln"/>
    <w:link w:val="TextpoznpodarouChar"/>
    <w:uiPriority w:val="99"/>
    <w:semiHidden/>
    <w:unhideWhenUsed/>
    <w:rsid w:val="0054307F"/>
    <w:rPr>
      <w:sz w:val="20"/>
      <w:szCs w:val="20"/>
    </w:rPr>
  </w:style>
  <w:style w:type="character" w:customStyle="1" w:styleId="TextpoznpodarouChar">
    <w:name w:val="Text pozn. pod čarou Char"/>
    <w:link w:val="Textpoznpodarou"/>
    <w:uiPriority w:val="99"/>
    <w:semiHidden/>
    <w:rsid w:val="0054307F"/>
    <w:rPr>
      <w:rFonts w:eastAsia="Times New Roman"/>
    </w:rPr>
  </w:style>
  <w:style w:type="character" w:styleId="Znakapoznpodarou">
    <w:name w:val="footnote reference"/>
    <w:semiHidden/>
    <w:rsid w:val="0054307F"/>
    <w:rPr>
      <w:vertAlign w:val="superscript"/>
    </w:rPr>
  </w:style>
  <w:style w:type="table" w:customStyle="1" w:styleId="Mojetabulka4">
    <w:name w:val="Moje tabulka4"/>
    <w:basedOn w:val="Normlntabulka"/>
    <w:next w:val="Mkatabulky"/>
    <w:uiPriority w:val="59"/>
    <w:rsid w:val="0054307F"/>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vAlign w:val="center"/>
    </w:tcPr>
    <w:tblStylePr w:type="firstRow">
      <w:rPr>
        <w:b/>
      </w:rPr>
      <w:tblPr/>
      <w:tcPr>
        <w:shd w:val="clear" w:color="auto" w:fill="A50021"/>
      </w:tcPr>
    </w:tblStylePr>
    <w:tblStylePr w:type="band1Horz">
      <w:tblPr/>
      <w:tcPr>
        <w:shd w:val="clear" w:color="auto" w:fill="FFFFFF"/>
      </w:tcPr>
    </w:tblStylePr>
    <w:tblStylePr w:type="band2Horz">
      <w:tblPr/>
      <w:tcPr>
        <w:shd w:val="clear" w:color="auto" w:fill="F2DBDB"/>
      </w:tcPr>
    </w:tblStylePr>
  </w:style>
  <w:style w:type="paragraph" w:styleId="Pedmtkomente">
    <w:name w:val="annotation subject"/>
    <w:basedOn w:val="Textkomente"/>
    <w:next w:val="Textkomente"/>
    <w:link w:val="PedmtkomenteChar"/>
    <w:uiPriority w:val="99"/>
    <w:semiHidden/>
    <w:unhideWhenUsed/>
    <w:rsid w:val="00890EE0"/>
    <w:pPr>
      <w:spacing w:after="0" w:line="240" w:lineRule="auto"/>
    </w:pPr>
    <w:rPr>
      <w:rFonts w:eastAsia="Times New Roman"/>
      <w:b/>
      <w:bCs/>
      <w:szCs w:val="20"/>
      <w:lang w:eastAsia="cs-CZ"/>
    </w:rPr>
  </w:style>
  <w:style w:type="character" w:customStyle="1" w:styleId="PedmtkomenteChar">
    <w:name w:val="Předmět komentáře Char"/>
    <w:link w:val="Pedmtkomente"/>
    <w:uiPriority w:val="99"/>
    <w:semiHidden/>
    <w:rsid w:val="00890EE0"/>
    <w:rPr>
      <w:rFonts w:eastAsia="Times New Roman"/>
      <w:b/>
      <w:bCs/>
      <w:sz w:val="20"/>
    </w:rPr>
  </w:style>
  <w:style w:type="character" w:customStyle="1" w:styleId="Nadpis7Char">
    <w:name w:val="Nadpis 7 Char"/>
    <w:basedOn w:val="Standardnpsmoodstavce"/>
    <w:link w:val="Nadpis7"/>
    <w:uiPriority w:val="9"/>
    <w:semiHidden/>
    <w:rsid w:val="001F1D68"/>
    <w:rPr>
      <w:rFonts w:asciiTheme="majorHAnsi" w:eastAsiaTheme="majorEastAsia" w:hAnsiTheme="majorHAnsi" w:cstheme="majorBidi"/>
      <w:i/>
      <w:iCs/>
      <w:color w:val="404040" w:themeColor="text1" w:themeTint="BF"/>
      <w:sz w:val="22"/>
      <w:szCs w:val="24"/>
    </w:rPr>
  </w:style>
  <w:style w:type="character" w:styleId="Sledovanodkaz">
    <w:name w:val="FollowedHyperlink"/>
    <w:basedOn w:val="Standardnpsmoodstavce"/>
    <w:uiPriority w:val="99"/>
    <w:semiHidden/>
    <w:unhideWhenUsed/>
    <w:rsid w:val="00B67144"/>
    <w:rPr>
      <w:color w:val="800080" w:themeColor="followedHyperlink"/>
      <w:u w:val="single"/>
    </w:rPr>
  </w:style>
  <w:style w:type="paragraph" w:styleId="Prosttext">
    <w:name w:val="Plain Text"/>
    <w:basedOn w:val="Normln"/>
    <w:link w:val="ProsttextChar"/>
    <w:uiPriority w:val="99"/>
    <w:unhideWhenUsed/>
    <w:rsid w:val="00AE187D"/>
    <w:rPr>
      <w:rFonts w:ascii="Consolas" w:hAnsi="Consolas"/>
      <w:sz w:val="21"/>
      <w:szCs w:val="21"/>
    </w:rPr>
  </w:style>
  <w:style w:type="character" w:customStyle="1" w:styleId="ProsttextChar">
    <w:name w:val="Prostý text Char"/>
    <w:basedOn w:val="Standardnpsmoodstavce"/>
    <w:link w:val="Prosttext"/>
    <w:uiPriority w:val="99"/>
    <w:rsid w:val="00AE187D"/>
    <w:rPr>
      <w:rFonts w:ascii="Consolas" w:eastAsia="Times New Roman" w:hAnsi="Consolas"/>
      <w:sz w:val="21"/>
      <w:szCs w:val="21"/>
    </w:rPr>
  </w:style>
  <w:style w:type="paragraph" w:styleId="Zhlav">
    <w:name w:val="header"/>
    <w:basedOn w:val="Normln"/>
    <w:link w:val="ZhlavChar"/>
    <w:uiPriority w:val="99"/>
    <w:unhideWhenUsed/>
    <w:rsid w:val="00C63810"/>
    <w:pPr>
      <w:tabs>
        <w:tab w:val="center" w:pos="4536"/>
        <w:tab w:val="right" w:pos="9072"/>
      </w:tabs>
    </w:pPr>
  </w:style>
  <w:style w:type="character" w:customStyle="1" w:styleId="ZhlavChar">
    <w:name w:val="Záhlaví Char"/>
    <w:basedOn w:val="Standardnpsmoodstavce"/>
    <w:link w:val="Zhlav"/>
    <w:uiPriority w:val="99"/>
    <w:rsid w:val="00C63810"/>
    <w:rPr>
      <w:rFonts w:eastAsia="Times New Roman"/>
      <w:sz w:val="22"/>
      <w:szCs w:val="24"/>
    </w:rPr>
  </w:style>
  <w:style w:type="paragraph" w:styleId="Zpat">
    <w:name w:val="footer"/>
    <w:basedOn w:val="Normln"/>
    <w:link w:val="ZpatChar"/>
    <w:uiPriority w:val="99"/>
    <w:unhideWhenUsed/>
    <w:rsid w:val="00C63810"/>
    <w:pPr>
      <w:tabs>
        <w:tab w:val="center" w:pos="4536"/>
        <w:tab w:val="right" w:pos="9072"/>
      </w:tabs>
    </w:pPr>
  </w:style>
  <w:style w:type="character" w:customStyle="1" w:styleId="ZpatChar">
    <w:name w:val="Zápatí Char"/>
    <w:basedOn w:val="Standardnpsmoodstavce"/>
    <w:link w:val="Zpat"/>
    <w:uiPriority w:val="99"/>
    <w:rsid w:val="00C6381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U_x017e_ivatel xmlns="9d0ffbd8-1c08-45a9-9af5-3e57c64bdec5">
      <UserInfo>
        <DisplayName/>
        <AccountId xsi:nil="true"/>
        <AccountType/>
      </UserInfo>
    </U_x017e_ivatel>
    <t_x002e_linka xmlns="9d0ffbd8-1c08-45a9-9af5-3e57c64bde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8E13AFC7FE1144BEFE25AEBEA91CCF" ma:contentTypeVersion="3" ma:contentTypeDescription="Vytvoří nový dokument" ma:contentTypeScope="" ma:versionID="cb6644f954a129f1bf67ab1d2bd1572f">
  <xsd:schema xmlns:xsd="http://www.w3.org/2001/XMLSchema" xmlns:xs="http://www.w3.org/2001/XMLSchema" xmlns:p="http://schemas.microsoft.com/office/2006/metadata/properties" xmlns:ns2="9d0ffbd8-1c08-45a9-9af5-3e57c64bdec5" targetNamespace="http://schemas.microsoft.com/office/2006/metadata/properties" ma:root="true" ma:fieldsID="70d553d437a76217318c4ec33c1a7b71" ns2:_="">
    <xsd:import namespace="9d0ffbd8-1c08-45a9-9af5-3e57c64bdec5"/>
    <xsd:element name="properties">
      <xsd:complexType>
        <xsd:sequence>
          <xsd:element name="documentManagement">
            <xsd:complexType>
              <xsd:all>
                <xsd:element ref="ns2:U_x017e_ivatel" minOccurs="0"/>
                <xsd:element ref="ns2:t_x002e_lin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fbd8-1c08-45a9-9af5-3e57c64bdec5" elementFormDefault="qualified">
    <xsd:import namespace="http://schemas.microsoft.com/office/2006/documentManagement/types"/>
    <xsd:import namespace="http://schemas.microsoft.com/office/infopath/2007/PartnerControls"/>
    <xsd:element name="U_x017e_ivatel" ma:index="8" nillable="true" ma:displayName="Uživatel" ma:description="jméno uživatele - odkaz" ma:list="UserInfo" ma:SharePointGroup="0" ma:internalName="U_x017e_i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_x002e_linka" ma:index="9" nillable="true" ma:displayName="t.linka" ma:description="telefonní linka v rámci OZP / externí tel. číslo" ma:internalName="t_x002e_lin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6281-FC67-4725-899E-8DF4D27B79C9}">
  <ds:schemaRefs>
    <ds:schemaRef ds:uri="http://schemas.microsoft.com/sharepoint/v3/contenttype/forms"/>
  </ds:schemaRefs>
</ds:datastoreItem>
</file>

<file path=customXml/itemProps2.xml><?xml version="1.0" encoding="utf-8"?>
<ds:datastoreItem xmlns:ds="http://schemas.openxmlformats.org/officeDocument/2006/customXml" ds:itemID="{1CEC16C7-2F8B-4FF8-A9E8-5FD99FAFCA05}">
  <ds:schemaRefs>
    <ds:schemaRef ds:uri="http://schemas.microsoft.com/office/2006/metadata/longProperties"/>
  </ds:schemaRefs>
</ds:datastoreItem>
</file>

<file path=customXml/itemProps3.xml><?xml version="1.0" encoding="utf-8"?>
<ds:datastoreItem xmlns:ds="http://schemas.openxmlformats.org/officeDocument/2006/customXml" ds:itemID="{07A5089B-C22B-4901-8652-5E0AB6F20719}">
  <ds:schemaRefs>
    <ds:schemaRef ds:uri="http://schemas.microsoft.com/office/2006/metadata/properties"/>
    <ds:schemaRef ds:uri="9d0ffbd8-1c08-45a9-9af5-3e57c64bdec5"/>
  </ds:schemaRefs>
</ds:datastoreItem>
</file>

<file path=customXml/itemProps4.xml><?xml version="1.0" encoding="utf-8"?>
<ds:datastoreItem xmlns:ds="http://schemas.openxmlformats.org/officeDocument/2006/customXml" ds:itemID="{C58F3139-7005-45E9-91D9-E0A804CA8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ffbd8-1c08-45a9-9af5-3e57c64b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0D22C-0A41-4E6E-80BB-52AF0DBA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9805</Words>
  <Characters>57856</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67526</CharactersWithSpaces>
  <SharedDoc>false</SharedDoc>
  <HLinks>
    <vt:vector size="36" baseType="variant">
      <vt:variant>
        <vt:i4>1769531</vt:i4>
      </vt:variant>
      <vt:variant>
        <vt:i4>32</vt:i4>
      </vt:variant>
      <vt:variant>
        <vt:i4>0</vt:i4>
      </vt:variant>
      <vt:variant>
        <vt:i4>5</vt:i4>
      </vt:variant>
      <vt:variant>
        <vt:lpwstr/>
      </vt:variant>
      <vt:variant>
        <vt:lpwstr>_Toc379439262</vt:lpwstr>
      </vt:variant>
      <vt:variant>
        <vt:i4>1769531</vt:i4>
      </vt:variant>
      <vt:variant>
        <vt:i4>26</vt:i4>
      </vt:variant>
      <vt:variant>
        <vt:i4>0</vt:i4>
      </vt:variant>
      <vt:variant>
        <vt:i4>5</vt:i4>
      </vt:variant>
      <vt:variant>
        <vt:lpwstr/>
      </vt:variant>
      <vt:variant>
        <vt:lpwstr>_Toc379439261</vt:lpwstr>
      </vt:variant>
      <vt:variant>
        <vt:i4>1769531</vt:i4>
      </vt:variant>
      <vt:variant>
        <vt:i4>20</vt:i4>
      </vt:variant>
      <vt:variant>
        <vt:i4>0</vt:i4>
      </vt:variant>
      <vt:variant>
        <vt:i4>5</vt:i4>
      </vt:variant>
      <vt:variant>
        <vt:lpwstr/>
      </vt:variant>
      <vt:variant>
        <vt:lpwstr>_Toc379439260</vt:lpwstr>
      </vt:variant>
      <vt:variant>
        <vt:i4>1572923</vt:i4>
      </vt:variant>
      <vt:variant>
        <vt:i4>14</vt:i4>
      </vt:variant>
      <vt:variant>
        <vt:i4>0</vt:i4>
      </vt:variant>
      <vt:variant>
        <vt:i4>5</vt:i4>
      </vt:variant>
      <vt:variant>
        <vt:lpwstr/>
      </vt:variant>
      <vt:variant>
        <vt:lpwstr>_Toc379439259</vt:lpwstr>
      </vt:variant>
      <vt:variant>
        <vt:i4>1572923</vt:i4>
      </vt:variant>
      <vt:variant>
        <vt:i4>8</vt:i4>
      </vt:variant>
      <vt:variant>
        <vt:i4>0</vt:i4>
      </vt:variant>
      <vt:variant>
        <vt:i4>5</vt:i4>
      </vt:variant>
      <vt:variant>
        <vt:lpwstr/>
      </vt:variant>
      <vt:variant>
        <vt:lpwstr>_Toc379439258</vt:lpwstr>
      </vt:variant>
      <vt:variant>
        <vt:i4>1572923</vt:i4>
      </vt:variant>
      <vt:variant>
        <vt:i4>2</vt:i4>
      </vt:variant>
      <vt:variant>
        <vt:i4>0</vt:i4>
      </vt:variant>
      <vt:variant>
        <vt:i4>5</vt:i4>
      </vt:variant>
      <vt:variant>
        <vt:lpwstr/>
      </vt:variant>
      <vt:variant>
        <vt:lpwstr>_Toc379439257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OZP-Richard Kops</dc:creator>
  <cp:lastModifiedBy>Darja Kosmáková</cp:lastModifiedBy>
  <cp:revision>8</cp:revision>
  <cp:lastPrinted>2014-03-11T14:40:00Z</cp:lastPrinted>
  <dcterms:created xsi:type="dcterms:W3CDTF">2016-04-04T11:11:00Z</dcterms:created>
  <dcterms:modified xsi:type="dcterms:W3CDTF">2016-04-05T10:22:00Z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linka">
    <vt:lpwstr/>
  </property>
  <property fmtid="{D5CDD505-2E9C-101B-9397-08002B2CF9AE}" pid="3" name="Uživatel">
    <vt:lpwstr/>
  </property>
  <property fmtid="{D5CDD505-2E9C-101B-9397-08002B2CF9AE}" pid="4" name="ContentTypeId">
    <vt:lpwstr>0x010100DF8E13AFC7FE1144BEFE25AEBEA91CCF</vt:lpwstr>
  </property>
</Properties>
</file>