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72676EF8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ED0ABE">
        <w:rPr>
          <w:rFonts w:ascii="Arial" w:hAnsi="Arial"/>
          <w:sz w:val="20"/>
        </w:rPr>
        <w:t>0</w:t>
      </w:r>
      <w:r w:rsidR="00F9170D">
        <w:rPr>
          <w:rFonts w:ascii="Arial" w:hAnsi="Arial"/>
          <w:sz w:val="20"/>
        </w:rPr>
        <w:t>154</w:t>
      </w:r>
      <w:r w:rsidR="00ED0ABE">
        <w:rPr>
          <w:rFonts w:ascii="Arial" w:hAnsi="Arial"/>
          <w:sz w:val="20"/>
        </w:rPr>
        <w:t>/22</w:t>
      </w:r>
    </w:p>
    <w:p w14:paraId="447613A0" w14:textId="5120B114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257F90">
        <w:rPr>
          <w:rFonts w:ascii="Arial" w:hAnsi="Arial"/>
          <w:sz w:val="20"/>
        </w:rPr>
        <w:t xml:space="preserve"> 4</w:t>
      </w:r>
      <w:r w:rsidR="00EE3D97">
        <w:rPr>
          <w:rFonts w:ascii="Arial" w:hAnsi="Arial"/>
          <w:sz w:val="20"/>
        </w:rPr>
        <w:t>094</w:t>
      </w: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54E91F9B" w:rsidR="003A4475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0E6E4D6A" w14:textId="77777777" w:rsidR="00B402DC" w:rsidRPr="001759DF" w:rsidRDefault="00B402DC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2593C130" w14:textId="77777777" w:rsidR="004B0E1D" w:rsidRPr="00657EDD" w:rsidRDefault="004B0E1D" w:rsidP="004B0E1D">
      <w:pPr>
        <w:pStyle w:val="Bezmezer"/>
        <w:widowControl/>
        <w:suppressAutoHyphens w:val="0"/>
        <w:rPr>
          <w:rFonts w:ascii="Arial" w:hAnsi="Arial" w:cs="Arial"/>
          <w:b/>
          <w:bCs/>
          <w:caps/>
          <w:sz w:val="20"/>
        </w:rPr>
      </w:pPr>
      <w:r w:rsidRPr="00657EDD">
        <w:rPr>
          <w:rFonts w:ascii="Arial" w:hAnsi="Arial" w:cs="Arial"/>
          <w:b/>
          <w:bCs/>
          <w:sz w:val="20"/>
        </w:rPr>
        <w:t xml:space="preserve">FINEP Harfa k.s.     </w:t>
      </w:r>
    </w:p>
    <w:p w14:paraId="306711E0" w14:textId="3049055E" w:rsidR="004B0E1D" w:rsidRPr="00A97E8B" w:rsidRDefault="004B0E1D" w:rsidP="004B0E1D">
      <w:pPr>
        <w:pStyle w:val="Bezmezer"/>
        <w:rPr>
          <w:rFonts w:ascii="Arial" w:hAnsi="Arial" w:cs="Arial"/>
          <w:caps/>
          <w:sz w:val="20"/>
        </w:rPr>
      </w:pPr>
      <w:r w:rsidRPr="00A97E8B">
        <w:rPr>
          <w:rFonts w:ascii="Arial" w:hAnsi="Arial" w:cs="Arial"/>
          <w:sz w:val="20"/>
        </w:rPr>
        <w:t xml:space="preserve">se sídlem: </w:t>
      </w:r>
      <w:r w:rsidRPr="003B649B">
        <w:rPr>
          <w:rFonts w:ascii="Arial" w:hAnsi="Arial" w:cs="Arial"/>
          <w:sz w:val="20"/>
        </w:rPr>
        <w:t>Havlíčkova 1030/1, Nové Město, 110 00 Praha 1</w:t>
      </w:r>
    </w:p>
    <w:p w14:paraId="7D258421" w14:textId="5741978B" w:rsidR="004B0E1D" w:rsidRPr="00A97E8B" w:rsidRDefault="004B0E1D" w:rsidP="004B0E1D">
      <w:pPr>
        <w:pStyle w:val="Bezmezer"/>
        <w:rPr>
          <w:rFonts w:ascii="Arial" w:hAnsi="Arial" w:cs="Arial"/>
          <w:caps/>
          <w:sz w:val="20"/>
        </w:rPr>
      </w:pPr>
      <w:r w:rsidRPr="00A97E8B">
        <w:rPr>
          <w:rFonts w:ascii="Arial" w:hAnsi="Arial" w:cs="Arial"/>
          <w:sz w:val="20"/>
        </w:rPr>
        <w:t xml:space="preserve">IČO: </w:t>
      </w:r>
      <w:r w:rsidRPr="003B649B">
        <w:rPr>
          <w:rFonts w:ascii="Arial" w:hAnsi="Arial" w:cs="Arial"/>
          <w:sz w:val="20"/>
        </w:rPr>
        <w:t>27100626</w:t>
      </w:r>
    </w:p>
    <w:p w14:paraId="234AEA50" w14:textId="344CAE2D" w:rsidR="004B0E1D" w:rsidRPr="00A97E8B" w:rsidRDefault="004B0E1D" w:rsidP="004B0E1D">
      <w:pPr>
        <w:pStyle w:val="Bezmezer"/>
        <w:rPr>
          <w:rFonts w:ascii="Arial" w:hAnsi="Arial" w:cs="Arial"/>
          <w:caps/>
          <w:sz w:val="20"/>
        </w:rPr>
      </w:pPr>
      <w:r w:rsidRPr="00A97E8B">
        <w:rPr>
          <w:rFonts w:ascii="Arial" w:hAnsi="Arial" w:cs="Arial"/>
          <w:sz w:val="20"/>
        </w:rPr>
        <w:t>DIČ:  CZ</w:t>
      </w:r>
      <w:r w:rsidRPr="003B649B">
        <w:rPr>
          <w:rFonts w:ascii="Arial" w:hAnsi="Arial" w:cs="Arial"/>
          <w:sz w:val="20"/>
        </w:rPr>
        <w:t>27100626</w:t>
      </w:r>
    </w:p>
    <w:p w14:paraId="0C0BD083" w14:textId="24210A9C" w:rsidR="004B0E1D" w:rsidRDefault="00764F2C" w:rsidP="004B0E1D">
      <w:pPr>
        <w:pStyle w:val="Bezmezer"/>
        <w:rPr>
          <w:rFonts w:ascii="Arial" w:hAnsi="Arial" w:cs="Arial"/>
          <w:sz w:val="20"/>
        </w:rPr>
      </w:pPr>
      <w:r w:rsidRPr="00A97E8B">
        <w:rPr>
          <w:rFonts w:ascii="Arial" w:hAnsi="Arial" w:cs="Arial"/>
          <w:sz w:val="20"/>
        </w:rPr>
        <w:t>Z</w:t>
      </w:r>
      <w:r w:rsidR="004B0E1D" w:rsidRPr="00A97E8B">
        <w:rPr>
          <w:rFonts w:ascii="Arial" w:hAnsi="Arial" w:cs="Arial"/>
          <w:sz w:val="20"/>
        </w:rPr>
        <w:t>astoupena</w:t>
      </w:r>
      <w:r>
        <w:rPr>
          <w:rFonts w:ascii="Arial" w:hAnsi="Arial" w:cs="Arial"/>
          <w:sz w:val="20"/>
        </w:rPr>
        <w:t xml:space="preserve"> komplementářem</w:t>
      </w:r>
      <w:r w:rsidR="004B0E1D" w:rsidRPr="00A97E8B">
        <w:rPr>
          <w:rFonts w:ascii="Arial" w:hAnsi="Arial" w:cs="Arial"/>
          <w:sz w:val="20"/>
        </w:rPr>
        <w:t>:</w:t>
      </w:r>
      <w:r w:rsidR="004B0E1D">
        <w:rPr>
          <w:rFonts w:ascii="Arial" w:hAnsi="Arial" w:cs="Arial"/>
          <w:sz w:val="20"/>
        </w:rPr>
        <w:t xml:space="preserve"> </w:t>
      </w:r>
      <w:r w:rsidR="00FB6398" w:rsidRPr="00FB6398">
        <w:rPr>
          <w:rFonts w:ascii="Arial" w:hAnsi="Arial" w:cs="Arial"/>
          <w:sz w:val="20"/>
        </w:rPr>
        <w:t>PRAGUE DEVELOPMENT SICAV PLC, FINEP HARFA FUND</w:t>
      </w:r>
    </w:p>
    <w:p w14:paraId="257B8A54" w14:textId="77777777" w:rsidR="00FB6398" w:rsidRPr="00FB6398" w:rsidRDefault="00FB6398" w:rsidP="00FB6398">
      <w:pPr>
        <w:pStyle w:val="Bezmezer"/>
        <w:rPr>
          <w:rFonts w:ascii="Arial" w:hAnsi="Arial" w:cs="Arial"/>
          <w:sz w:val="20"/>
        </w:rPr>
      </w:pPr>
      <w:r w:rsidRPr="00FB6398">
        <w:rPr>
          <w:rFonts w:ascii="Arial" w:hAnsi="Arial" w:cs="Arial"/>
          <w:sz w:val="20"/>
        </w:rPr>
        <w:t>Santa Venera, 435 Triq Il-Kbira San Guzzepp, SVR 1011, Maltská republika</w:t>
      </w:r>
    </w:p>
    <w:p w14:paraId="22A0BD0B" w14:textId="4FA65A97" w:rsidR="00FB6398" w:rsidRDefault="00FB6398" w:rsidP="00FB6398">
      <w:pPr>
        <w:pStyle w:val="Bezmezer"/>
        <w:rPr>
          <w:rFonts w:ascii="Arial" w:hAnsi="Arial" w:cs="Arial"/>
          <w:sz w:val="20"/>
        </w:rPr>
      </w:pPr>
      <w:r w:rsidRPr="00FB6398">
        <w:rPr>
          <w:rFonts w:ascii="Arial" w:hAnsi="Arial" w:cs="Arial"/>
          <w:sz w:val="20"/>
        </w:rPr>
        <w:t>Registrační číslo: SV 113</w:t>
      </w:r>
    </w:p>
    <w:p w14:paraId="3BEE3AC8" w14:textId="7DC36EC2" w:rsidR="00FB6398" w:rsidRDefault="00154C50" w:rsidP="00FB6398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8D6D3E">
        <w:rPr>
          <w:rFonts w:ascii="Arial" w:hAnsi="Arial" w:cs="Arial"/>
          <w:sz w:val="20"/>
        </w:rPr>
        <w:t>enž při výkonu funkce zastupuje</w:t>
      </w:r>
      <w:r w:rsidR="009C148C">
        <w:rPr>
          <w:rFonts w:ascii="Arial" w:hAnsi="Arial" w:cs="Arial"/>
          <w:sz w:val="20"/>
        </w:rPr>
        <w:t xml:space="preserve"> Ing. Michal Kocián</w:t>
      </w:r>
    </w:p>
    <w:p w14:paraId="40E7028D" w14:textId="74CC813E" w:rsidR="00BE2731" w:rsidRDefault="00BE2731" w:rsidP="004B0E1D">
      <w:pPr>
        <w:pStyle w:val="Bezmezer"/>
        <w:rPr>
          <w:rFonts w:ascii="Arial" w:hAnsi="Arial" w:cs="Arial"/>
          <w:sz w:val="20"/>
        </w:rPr>
      </w:pPr>
    </w:p>
    <w:p w14:paraId="648723C1" w14:textId="796503B6" w:rsidR="00CA6383" w:rsidRPr="008339B0" w:rsidRDefault="00CA6383" w:rsidP="004B0E1D">
      <w:pPr>
        <w:pStyle w:val="Bezmezer"/>
        <w:rPr>
          <w:rFonts w:ascii="Arial" w:hAnsi="Arial" w:cs="Arial"/>
          <w:b/>
          <w:bCs/>
          <w:sz w:val="20"/>
        </w:rPr>
      </w:pPr>
      <w:r w:rsidRPr="008339B0">
        <w:rPr>
          <w:rFonts w:ascii="Arial" w:hAnsi="Arial" w:cs="Arial"/>
          <w:b/>
          <w:bCs/>
          <w:sz w:val="20"/>
        </w:rPr>
        <w:t>Bytové družstvo HARFA VII</w:t>
      </w:r>
    </w:p>
    <w:p w14:paraId="334C4C29" w14:textId="16E03901" w:rsidR="00CA6383" w:rsidRDefault="00961B12" w:rsidP="004B0E1D">
      <w:pPr>
        <w:pStyle w:val="Bezmezer"/>
        <w:rPr>
          <w:rFonts w:ascii="Arial" w:hAnsi="Arial" w:cs="Arial"/>
          <w:sz w:val="20"/>
        </w:rPr>
      </w:pPr>
      <w:r w:rsidRPr="00A97E8B"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 xml:space="preserve">: </w:t>
      </w:r>
      <w:r w:rsidR="007C3708" w:rsidRPr="007C3708">
        <w:rPr>
          <w:rFonts w:ascii="Arial" w:hAnsi="Arial" w:cs="Arial"/>
          <w:sz w:val="20"/>
        </w:rPr>
        <w:t>Havlíčkova 1030/1, Nové Město, 110 00 Praha 1</w:t>
      </w:r>
    </w:p>
    <w:p w14:paraId="32F79103" w14:textId="58BAE490" w:rsidR="00961B12" w:rsidRDefault="00961B12" w:rsidP="004B0E1D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 w:rsidR="00C40AD4" w:rsidRPr="00C40AD4">
        <w:rPr>
          <w:rFonts w:ascii="Arial" w:hAnsi="Arial" w:cs="Arial"/>
          <w:sz w:val="20"/>
        </w:rPr>
        <w:t>09294414</w:t>
      </w:r>
    </w:p>
    <w:p w14:paraId="1324D100" w14:textId="330E982D" w:rsidR="007541EF" w:rsidRPr="007541EF" w:rsidRDefault="00C40AD4" w:rsidP="007541EF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</w:t>
      </w:r>
      <w:r w:rsidR="00223D3A">
        <w:rPr>
          <w:rFonts w:ascii="Arial" w:hAnsi="Arial" w:cs="Arial"/>
          <w:sz w:val="20"/>
        </w:rPr>
        <w:t>:</w:t>
      </w:r>
      <w:r w:rsidR="007541EF">
        <w:rPr>
          <w:rFonts w:ascii="Arial" w:hAnsi="Arial" w:cs="Arial"/>
          <w:sz w:val="20"/>
        </w:rPr>
        <w:t xml:space="preserve"> předsedou představenstva </w:t>
      </w:r>
      <w:r w:rsidR="007541EF" w:rsidRPr="007541EF">
        <w:rPr>
          <w:rFonts w:ascii="Arial" w:hAnsi="Arial" w:cs="Arial"/>
          <w:sz w:val="20"/>
        </w:rPr>
        <w:t>FINEP HOLDING, SE, IČ: 279 27 822</w:t>
      </w:r>
    </w:p>
    <w:p w14:paraId="14DF5B08" w14:textId="172B23E2" w:rsidR="00C40AD4" w:rsidRDefault="00894F72" w:rsidP="007541EF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="007541EF" w:rsidRPr="007541EF">
        <w:rPr>
          <w:rFonts w:ascii="Arial" w:hAnsi="Arial" w:cs="Arial"/>
          <w:sz w:val="20"/>
        </w:rPr>
        <w:t>Havlíčkova 1030/1, Nové Město, 110 00 Praha 1</w:t>
      </w:r>
    </w:p>
    <w:p w14:paraId="43AA753F" w14:textId="725E6556" w:rsidR="008339B0" w:rsidRDefault="00AA055C" w:rsidP="007541EF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8339B0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nž při výkonu funkce zastupuje</w:t>
      </w:r>
      <w:r w:rsidR="00B611D1">
        <w:rPr>
          <w:rFonts w:ascii="Arial" w:hAnsi="Arial" w:cs="Arial"/>
          <w:sz w:val="20"/>
        </w:rPr>
        <w:t xml:space="preserve"> Ing. Štěpán Havlas</w:t>
      </w:r>
    </w:p>
    <w:p w14:paraId="63B5358E" w14:textId="555F5BD5" w:rsidR="00E47AA1" w:rsidRDefault="00E47AA1" w:rsidP="007541E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 místopředsedou představenstva </w:t>
      </w:r>
      <w:r w:rsidR="008126E1" w:rsidRPr="008126E1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Coop Development, družstvo, IČ: </w:t>
      </w:r>
      <w:hyperlink r:id="rId11" w:history="1">
        <w:r w:rsidR="008126E1" w:rsidRPr="008126E1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243 03</w:t>
        </w:r>
        <w:r w:rsidR="00D36756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 </w:t>
        </w:r>
        <w:r w:rsidR="008126E1" w:rsidRPr="008126E1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917</w:t>
        </w:r>
      </w:hyperlink>
    </w:p>
    <w:p w14:paraId="4652DF4F" w14:textId="46B445E2" w:rsidR="00D36756" w:rsidRDefault="00154C50" w:rsidP="007541EF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="00D36756" w:rsidRPr="00D36756">
        <w:rPr>
          <w:rFonts w:ascii="Arial" w:hAnsi="Arial" w:cs="Arial"/>
          <w:sz w:val="20"/>
        </w:rPr>
        <w:t>Střelničná 1680/8, Kobylisy, 182 00 Praha 8</w:t>
      </w:r>
    </w:p>
    <w:p w14:paraId="181ADB19" w14:textId="4D7CF6FF" w:rsidR="00D36756" w:rsidRPr="008126E1" w:rsidRDefault="00CA424A" w:rsidP="007541EF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D36756">
        <w:rPr>
          <w:rFonts w:ascii="Arial" w:hAnsi="Arial" w:cs="Arial"/>
          <w:sz w:val="20"/>
        </w:rPr>
        <w:t>e</w:t>
      </w:r>
      <w:r w:rsidR="00154C50">
        <w:rPr>
          <w:rFonts w:ascii="Arial" w:hAnsi="Arial" w:cs="Arial"/>
          <w:sz w:val="20"/>
        </w:rPr>
        <w:t>n</w:t>
      </w:r>
      <w:r w:rsidR="00D36756">
        <w:rPr>
          <w:rFonts w:ascii="Arial" w:hAnsi="Arial" w:cs="Arial"/>
          <w:sz w:val="20"/>
        </w:rPr>
        <w:t xml:space="preserve">ž při výkonu funkce zastupuje </w:t>
      </w:r>
      <w:r>
        <w:rPr>
          <w:rFonts w:ascii="Arial" w:hAnsi="Arial" w:cs="Arial"/>
          <w:sz w:val="20"/>
        </w:rPr>
        <w:t>Mgr. Martin Kroh</w:t>
      </w:r>
    </w:p>
    <w:p w14:paraId="065B237E" w14:textId="476BAE2F" w:rsidR="00796A29" w:rsidRPr="001759DF" w:rsidRDefault="00796A29" w:rsidP="008169AE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lastRenderedPageBreak/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373A0120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  <w:r w:rsidR="00BC4010" w:rsidRPr="00BC4010">
        <w:rPr>
          <w:rFonts w:ascii="Arial" w:hAnsi="Arial" w:cs="Arial"/>
        </w:rPr>
        <w:t>Nová Harfa - výstavba bytových domů X a Y</w:t>
      </w:r>
      <w:r w:rsidR="00FC762F">
        <w:rPr>
          <w:rFonts w:ascii="Arial" w:hAnsi="Arial" w:cs="Arial"/>
          <w:b/>
          <w:bCs/>
        </w:rPr>
        <w:t>,</w:t>
      </w:r>
    </w:p>
    <w:p w14:paraId="595165A3" w14:textId="673B53E2" w:rsidR="00FF2A17" w:rsidRDefault="00FF2A17" w:rsidP="00205AFF">
      <w:pPr>
        <w:pStyle w:val="Odstavecseseznamem"/>
        <w:ind w:left="567"/>
        <w:jc w:val="both"/>
        <w:rPr>
          <w:rFonts w:ascii="Arial" w:hAnsi="Arial" w:cs="Arial"/>
        </w:rPr>
      </w:pP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1E772ACE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F929FD" w:rsidRPr="002E6E9B">
        <w:t>:</w:t>
      </w:r>
      <w:r w:rsidR="008D63BD" w:rsidRPr="008D63BD">
        <w:t xml:space="preserve"> </w:t>
      </w:r>
      <w:r w:rsidR="008D63BD" w:rsidRPr="008D63BD">
        <w:rPr>
          <w:rFonts w:ascii="Arial" w:hAnsi="Arial" w:cs="Arial"/>
          <w:sz w:val="20"/>
        </w:rPr>
        <w:t>romana.nikolova@finep.cz</w:t>
      </w:r>
      <w:r w:rsidRPr="002E6E9B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</w:t>
      </w:r>
      <w:r w:rsidR="002F0C05" w:rsidRPr="00A47398">
        <w:rPr>
          <w:rFonts w:ascii="Arial" w:hAnsi="Arial"/>
          <w:sz w:val="20"/>
        </w:rPr>
        <w:lastRenderedPageBreak/>
        <w:t>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</w:t>
      </w:r>
      <w:r w:rsidRPr="001759DF">
        <w:rPr>
          <w:rFonts w:ascii="Arial" w:hAnsi="Arial" w:cs="Arial"/>
          <w:sz w:val="20"/>
        </w:rPr>
        <w:lastRenderedPageBreak/>
        <w:t>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</w:t>
      </w:r>
      <w:r w:rsidR="00796A29" w:rsidRPr="001759DF">
        <w:rPr>
          <w:rFonts w:ascii="Arial" w:hAnsi="Arial" w:cs="Arial"/>
          <w:sz w:val="20"/>
        </w:rPr>
        <w:lastRenderedPageBreak/>
        <w:t xml:space="preserve">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16A4E469" w14:textId="0BC3879D" w:rsidR="00356B33" w:rsidRPr="00CB7991" w:rsidRDefault="00796A29" w:rsidP="00CB7991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67364FD9" w:rsidR="00796A29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29A2326B" w14:textId="116491D3" w:rsidR="00CB7991" w:rsidRPr="001759DF" w:rsidRDefault="003857F7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Tato smlouva ruší a nahrazuje smlouvu č. SPO/</w:t>
      </w:r>
      <w:r w:rsidR="00B402DC">
        <w:rPr>
          <w:rFonts w:ascii="Arial" w:hAnsi="Arial"/>
          <w:iCs/>
          <w:sz w:val="20"/>
        </w:rPr>
        <w:t>49/</w:t>
      </w:r>
      <w:r w:rsidR="00240C48">
        <w:rPr>
          <w:rFonts w:ascii="Arial" w:hAnsi="Arial"/>
          <w:iCs/>
          <w:sz w:val="20"/>
        </w:rPr>
        <w:t>2</w:t>
      </w:r>
      <w:r w:rsidR="00B402DC">
        <w:rPr>
          <w:rFonts w:ascii="Arial" w:hAnsi="Arial"/>
          <w:iCs/>
          <w:sz w:val="20"/>
        </w:rPr>
        <w:t>017</w:t>
      </w:r>
      <w:r w:rsidR="00246F39">
        <w:rPr>
          <w:rFonts w:ascii="Arial" w:hAnsi="Arial"/>
          <w:iCs/>
          <w:sz w:val="20"/>
        </w:rPr>
        <w:t>, kterou strany uzavřel</w:t>
      </w:r>
      <w:r w:rsidR="00B402DC">
        <w:rPr>
          <w:rFonts w:ascii="Arial" w:hAnsi="Arial"/>
          <w:iCs/>
          <w:sz w:val="20"/>
        </w:rPr>
        <w:t>y</w:t>
      </w:r>
      <w:r w:rsidR="00246F39">
        <w:rPr>
          <w:rFonts w:ascii="Arial" w:hAnsi="Arial"/>
          <w:iCs/>
          <w:sz w:val="20"/>
        </w:rPr>
        <w:t xml:space="preserve"> dne </w:t>
      </w:r>
      <w:r w:rsidR="00240C48">
        <w:rPr>
          <w:rFonts w:ascii="Arial" w:hAnsi="Arial"/>
          <w:iCs/>
          <w:sz w:val="20"/>
        </w:rPr>
        <w:t>14.12.2017</w:t>
      </w:r>
      <w:r w:rsidR="006117CF">
        <w:rPr>
          <w:rFonts w:ascii="Arial" w:hAnsi="Arial"/>
          <w:iCs/>
          <w:sz w:val="20"/>
        </w:rPr>
        <w:t>.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2AE46C40" w:rsidR="00A73CCA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18199D0F" w14:textId="13800729" w:rsidR="001708F5" w:rsidRPr="00DD4C34" w:rsidRDefault="001708F5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Plná moc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4"/>
      <w:footerReference w:type="default" r:id="rId15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C2DE" w14:textId="77777777" w:rsidR="004B6613" w:rsidRDefault="004B6613" w:rsidP="00796A29">
      <w:r>
        <w:separator/>
      </w:r>
    </w:p>
  </w:endnote>
  <w:endnote w:type="continuationSeparator" w:id="0">
    <w:p w14:paraId="68EAB17F" w14:textId="77777777" w:rsidR="004B6613" w:rsidRDefault="004B6613" w:rsidP="00796A29">
      <w:r>
        <w:continuationSeparator/>
      </w:r>
    </w:p>
  </w:endnote>
  <w:endnote w:type="continuationNotice" w:id="1">
    <w:p w14:paraId="69F5E6C0" w14:textId="77777777" w:rsidR="004B6613" w:rsidRDefault="004B6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2283" w14:textId="77777777" w:rsidR="004B6613" w:rsidRDefault="004B6613" w:rsidP="00796A29">
      <w:r>
        <w:separator/>
      </w:r>
    </w:p>
  </w:footnote>
  <w:footnote w:type="continuationSeparator" w:id="0">
    <w:p w14:paraId="29D6862C" w14:textId="77777777" w:rsidR="004B6613" w:rsidRDefault="004B6613" w:rsidP="00796A29">
      <w:r>
        <w:continuationSeparator/>
      </w:r>
    </w:p>
  </w:footnote>
  <w:footnote w:type="continuationNotice" w:id="1">
    <w:p w14:paraId="05B951D9" w14:textId="77777777" w:rsidR="004B6613" w:rsidRDefault="004B6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4074"/>
    <w:multiLevelType w:val="hybridMultilevel"/>
    <w:tmpl w:val="ED4AB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4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2"/>
  </w:num>
  <w:num w:numId="13">
    <w:abstractNumId w:val="3"/>
  </w:num>
  <w:num w:numId="14">
    <w:abstractNumId w:val="0"/>
  </w:num>
  <w:num w:numId="15">
    <w:abstractNumId w:val="8"/>
  </w:num>
  <w:num w:numId="16">
    <w:abstractNumId w:val="23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5D49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6834"/>
    <w:rsid w:val="000A5A9D"/>
    <w:rsid w:val="000B37CE"/>
    <w:rsid w:val="000B3992"/>
    <w:rsid w:val="000B5F5F"/>
    <w:rsid w:val="000C3A3F"/>
    <w:rsid w:val="000C6DD3"/>
    <w:rsid w:val="000D257B"/>
    <w:rsid w:val="000D560D"/>
    <w:rsid w:val="000D74ED"/>
    <w:rsid w:val="000D7CE4"/>
    <w:rsid w:val="000E399E"/>
    <w:rsid w:val="000E61CC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54C50"/>
    <w:rsid w:val="00166333"/>
    <w:rsid w:val="001708F5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3D3A"/>
    <w:rsid w:val="00224641"/>
    <w:rsid w:val="00226C8A"/>
    <w:rsid w:val="00227130"/>
    <w:rsid w:val="0023076D"/>
    <w:rsid w:val="00240C48"/>
    <w:rsid w:val="002431FA"/>
    <w:rsid w:val="00246F39"/>
    <w:rsid w:val="002551C0"/>
    <w:rsid w:val="00257F90"/>
    <w:rsid w:val="00262139"/>
    <w:rsid w:val="002641C5"/>
    <w:rsid w:val="00264612"/>
    <w:rsid w:val="0026523A"/>
    <w:rsid w:val="00265CF1"/>
    <w:rsid w:val="00267679"/>
    <w:rsid w:val="00267B34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E6E9B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56B33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857F7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9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2665A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0E1D"/>
    <w:rsid w:val="004B53E6"/>
    <w:rsid w:val="004B6613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272D7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4DF0"/>
    <w:rsid w:val="005D68C1"/>
    <w:rsid w:val="005E5092"/>
    <w:rsid w:val="005E74CE"/>
    <w:rsid w:val="005E788E"/>
    <w:rsid w:val="005F421A"/>
    <w:rsid w:val="00603905"/>
    <w:rsid w:val="006117CF"/>
    <w:rsid w:val="00625C1F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541EF"/>
    <w:rsid w:val="00764F2C"/>
    <w:rsid w:val="00772181"/>
    <w:rsid w:val="00777E7A"/>
    <w:rsid w:val="00791FF8"/>
    <w:rsid w:val="00793C06"/>
    <w:rsid w:val="00796A29"/>
    <w:rsid w:val="007B0423"/>
    <w:rsid w:val="007B705A"/>
    <w:rsid w:val="007C3182"/>
    <w:rsid w:val="007C3708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126E1"/>
    <w:rsid w:val="008169AE"/>
    <w:rsid w:val="00820565"/>
    <w:rsid w:val="00824316"/>
    <w:rsid w:val="008339B0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4F72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0CDF"/>
    <w:rsid w:val="008D293D"/>
    <w:rsid w:val="008D40BC"/>
    <w:rsid w:val="008D60B4"/>
    <w:rsid w:val="008D63BD"/>
    <w:rsid w:val="008D6D3E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1B12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148C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055C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2681E"/>
    <w:rsid w:val="00B324A5"/>
    <w:rsid w:val="00B3296E"/>
    <w:rsid w:val="00B354D2"/>
    <w:rsid w:val="00B402DC"/>
    <w:rsid w:val="00B422E0"/>
    <w:rsid w:val="00B51D3D"/>
    <w:rsid w:val="00B611D1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4010"/>
    <w:rsid w:val="00BC797F"/>
    <w:rsid w:val="00BE2270"/>
    <w:rsid w:val="00BE2731"/>
    <w:rsid w:val="00BE3482"/>
    <w:rsid w:val="00BE408B"/>
    <w:rsid w:val="00BE49F0"/>
    <w:rsid w:val="00BE5554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0AD4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424A"/>
    <w:rsid w:val="00CA51DF"/>
    <w:rsid w:val="00CA6383"/>
    <w:rsid w:val="00CA6C5E"/>
    <w:rsid w:val="00CB750E"/>
    <w:rsid w:val="00CB7757"/>
    <w:rsid w:val="00CB7991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CF7DE5"/>
    <w:rsid w:val="00D224C5"/>
    <w:rsid w:val="00D26908"/>
    <w:rsid w:val="00D306D3"/>
    <w:rsid w:val="00D34125"/>
    <w:rsid w:val="00D344BE"/>
    <w:rsid w:val="00D362F1"/>
    <w:rsid w:val="00D36756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47AA1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D0ABE"/>
    <w:rsid w:val="00EE36DE"/>
    <w:rsid w:val="00EE3D97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70D"/>
    <w:rsid w:val="00F91EB1"/>
    <w:rsid w:val="00F929FD"/>
    <w:rsid w:val="00F94C50"/>
    <w:rsid w:val="00FA57F8"/>
    <w:rsid w:val="00FB2093"/>
    <w:rsid w:val="00FB22C7"/>
    <w:rsid w:val="00FB4321"/>
    <w:rsid w:val="00FB6398"/>
    <w:rsid w:val="00FC1EA8"/>
    <w:rsid w:val="00FC762F"/>
    <w:rsid w:val="00FD1DE7"/>
    <w:rsid w:val="00FD7536"/>
    <w:rsid w:val="00FD7BC2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D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243039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>Havlíčkova 1030/1</s_contractor2Street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>-#;Nová Harfa - výstavba bytových domů X a Y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A      49039 vedená u rejstříkového soudu 1-Městský soud v Praze, datum registrace: 11.12.2003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contractNumberFutureAuthorized xmlns="c49aa121-d839-403f-9ece-f92336e3c6a8" xsi:nil="true"/>
    <s_street xmlns="c49aa121-d839-403f-9ece-f92336e3c6a8" xsi:nil="true"/>
    <s_contractor2ZIP xmlns="c49aa121-d839-403f-9ece-f92336e3c6a8">11000</s_contractor2ZIP>
    <s_contractor2VAT xmlns="c49aa121-d839-403f-9ece-f92336e3c6a8">DIČ nepřiřazeno</s_contractor2VAT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CZ27100626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>Praha - Nové Město</s_contractor2Place>
    <s_contractor2Representative xmlns="c49aa121-d839-403f-9ece-f92336e3c6a8">Mgr. Martin Kroh</s_contractor2Representative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-#;FINEP Harfa k.s.</s_contractor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FINEP Harfa k.s.</s_contractorText>
    <s_contractor2FileMark xmlns="c49aa121-d839-403f-9ece-f92336e3c6a8">Dr       8828 vedená u rejstříkového soudu 1-Městský soud v Praze, datum registrace: 30.6.2020</s_contractor2FileMark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Nové Město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>Bytové družstvo HARFA VII</s_contractor2Text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[{"Cells":["2022-06-14T10:53:34","i:0#.w|pvs\\kasparovav","Start WF Schválení"],"IsDeleted":false,"IsSelected":false},{"Cells":["2022-06-15T08:20:09","i:0#.w|pvs\\almerovaj","{TiSP:Approved}",""],"IsDeleted":false,"IsSelected":false},{"Cells":["2022-06-15T11:54:43","i:0#.w|pvs\\cervenaz","{TiSP:Approved}",""],"IsDeleted":false,"IsSelected":false},{"Cells":["2022-06-15T12:04:33","i:0#.w|pvs\\grzegorzovak","{TiSP:To_signed}",""],"IsDeleted":false,"IsSelected":false}]</s_approvalProcessHistory>
    <s_supplier2IdentificationNumber xmlns="c49aa121-d839-403f-9ece-f92336e3c6a8">09294414</s_supplier2IdentificationNumber>
    <s_contractor2 xmlns="c49aa121-d839-403f-9ece-f92336e3c6a8">-#;Bytové družstvo HARFA VII</s_contractor2>
    <s_contractor3Text xmlns="c49aa121-d839-403f-9ece-f92336e3c6a8" xsi:nil="true"/>
    <s_cr_sentDate xmlns="c49aa121-d839-403f-9ece-f92336e3c6a8" xsi:nil="true"/>
    <s_openEndedContract xmlns="c49aa121-d839-403f-9ece-f92336e3c6a8">true</s_openEndedContract>
    <s_approvedAmountMoney xmlns="c49aa121-d839-403f-9ece-f92336e3c6a8">0</s_approvedAmountMoney>
    <s_contractNumber xmlns="c49aa121-d839-403f-9ece-f92336e3c6a8">0154/22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Havlíčkova 1030/1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4094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[{"Cells":["-#;FINEP Harfa k.s.","88065310","1205832","FINEP Harfa k.s.","","","2","","","Havlíčkova","Havlíčkova 1030/1","1","Praha - Nové Město","11000","CZ","","27100626","CZ27100626","A","01.01.2011 0:00:00","","SK","A      49039 vedená u rejstříkového soudu 1-Městský soud v Praze, datum registrace: 11.12.2003","","","","","J","","N","","","1030"]},{"Cells":["-#;Bytové družstvo HARFA VII","91352895","1205832","Bytové družstvo HARFA VII","","","2","","","Havlíčkova","Havlíčkova 1030/1","1","Praha - Nové Město","11000","CZ","","09294414","","N","","","DR","Dr       8828 vedená u rejstříkového soudu 1-Městský soud v Praze, datum registrace: 30.6.2020","","","","","","","N","","","1030"]}]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>Nová Harfa - výstavba bytových domů X a Y</s_actionName>
    <s_caseId xmlns="c49aa121-d839-403f-9ece-f92336e3c6a8" xsi:nil="true"/>
    <s_documentCaseId xmlns="c49aa121-d839-403f-9ece-f92336e3c6a8" xsi:nil="true"/>
    <s_managedBy xmlns="c49aa121-d839-403f-9ece-f92336e3c6a8">
      <UserInfo>
        <DisplayName>Kašparová Veronika</DisplayName>
        <AccountId>55</AccountId>
        <AccountType/>
      </UserInfo>
    </s_managedBy>
    <s_division xmlns="c49aa121-d839-403f-9ece-f92336e3c6a8">01</s_division>
    <s_supplierIdentificationNumber xmlns="c49aa121-d839-403f-9ece-f92336e3c6a8">27100626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Michal Kocián</s_contractorRepresentative>
    <s_contractorEmail xmlns="c49aa121-d839-403f-9ece-f92336e3c6a8">romana.nikolova@finep.cz</s_contractorEmail>
    <s_synchronizationStatusHMP xmlns="c49aa121-d839-403f-9ece-f92336e3c6a8" xsi:nil="true"/>
    <s_cr_publishedDate xmlns="c49aa121-d839-403f-9ece-f92336e3c6a8">2022-07-19T10:25:00+00:00</s_cr_publishedDate>
    <s_subjectShortened xmlns="c49aa121-d839-403f-9ece-f92336e3c6a8" xsi:nil="true"/>
    <s_contractNumberText xmlns="c49aa121-d839-403f-9ece-f92336e3c6a8" xsi:nil="true"/>
    <s_currentSolver xmlns="c49aa121-d839-403f-9ece-f92336e3c6a8">
      <UserInfo>
        <DisplayName/>
        <AccountId xsi:nil="true"/>
        <AccountType/>
      </UserInfo>
    </s_currentSolver>
    <s_contractKind xmlns="c49aa121-d839-403f-9ece-f92336e3c6a8" xsi:nil="true"/>
    <s_contractCategoryText xmlns="c49aa121-d839-403f-9ece-f92336e3c6a8" xsi:nil="true"/>
    <s_contractOrAmendment xmlns="c49aa121-d839-403f-9ece-f92336e3c6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34" ma:contentTypeDescription="Vytvoří nový dokument" ma:contentTypeScope="" ma:versionID="43a69dd0e331071296b783dea02e9d05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fb6b06c826e60a49e8825bb8ea63757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A3EB1CA8-A45C-4DF3-85A8-355D8FA59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5761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89</cp:revision>
  <cp:lastPrinted>2020-08-17T11:56:00Z</cp:lastPrinted>
  <dcterms:created xsi:type="dcterms:W3CDTF">2021-03-18T10:25:00Z</dcterms:created>
  <dcterms:modified xsi:type="dcterms:W3CDTF">2022-06-01T06:00:00Z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/>
  </property>
</Properties>
</file>