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2016"/>
        <w:gridCol w:w="7416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DODATEK Č. 2</w:t>
            </w:r>
          </w:p>
        </w:tc>
      </w:tr>
    </w:tbl>
    <w:p>
      <w:pPr>
        <w:widowControl w:val="0"/>
        <w:spacing w:after="159" w:line="1" w:lineRule="exact"/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smlouvě o dílo Rekonstrukce původní solné haly na CM JI ze dne 08.03.2022</w:t>
      </w:r>
      <w:bookmarkEnd w:id="0"/>
      <w:bookmarkEnd w:id="1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Číslo smlouvy objednatele: ZMR-ST-95-2021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Číslo smlouvy zhotovitele:</w:t>
      </w:r>
    </w:p>
    <w:tbl>
      <w:tblPr>
        <w:tblOverlap w:val="never"/>
        <w:jc w:val="center"/>
        <w:tblLayout w:type="fixed"/>
      </w:tblPr>
      <w:tblGrid>
        <w:gridCol w:w="2016"/>
        <w:gridCol w:w="7416"/>
      </w:tblGrid>
      <w:tr>
        <w:trPr>
          <w:trHeight w:val="68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Článek I.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strany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58601 Jihlava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widowControl w:val="0"/>
        <w:spacing w:after="79" w:line="1" w:lineRule="exact"/>
      </w:pPr>
    </w:p>
    <w:p>
      <w:pPr>
        <w:widowControl w:val="0"/>
        <w:spacing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objednatele ve věcech smluvních: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tbl>
      <w:tblPr>
        <w:tblOverlap w:val="never"/>
        <w:jc w:val="center"/>
        <w:tblLayout w:type="fixed"/>
      </w:tblPr>
      <w:tblGrid>
        <w:gridCol w:w="2016"/>
        <w:gridCol w:w="7416"/>
      </w:tblGrid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71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center"/>
        <w:tblLayout w:type="fixed"/>
      </w:tblPr>
      <w:tblGrid>
        <w:gridCol w:w="2016"/>
        <w:gridCol w:w="7416"/>
      </w:tblGrid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VSM, spol. s r. o.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Znojemská 5333/82a, 586 01 Jihlava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Janem Pertlíkem, jednatelem společnosti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vedeném Krajským soudem v Brně, oddíl C, vložka 510 Osoba pověřená jednat jménem zhotovitele ve věcech</w:t>
      </w:r>
    </w:p>
    <w:tbl>
      <w:tblPr>
        <w:tblOverlap w:val="never"/>
        <w:jc w:val="center"/>
        <w:tblLayout w:type="fixed"/>
      </w:tblPr>
      <w:tblGrid>
        <w:gridCol w:w="2016"/>
        <w:gridCol w:w="7416"/>
      </w:tblGrid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jednatel společnosti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15526194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 15526194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II.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  <w:bookmarkEnd w:id="2"/>
      <w:bookmarkEnd w:id="3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vzájemně dohodly na změně stávající smlouvy o dílo z důvodu změny původně navrženého asfaltobetonového krytu na stávajícím dilatovaném zasoleném betonovém podkladu haly, který by nezaručoval dlouhodobou bezporuchovost nového krytu haly, a po provedení statické zatěžovací zkoušky, kdy stávající betonová podlaha v přistavované části haly nevyhovovala z hlediska únosnosti, došlo k projektové změně.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plnění dle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II.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smlouvy o dílo v aktuálním znění se mění o dodatečné stavební práce (dále méněpráce a vícepráce) v souladu se schváleným Změnovým listem č. 1.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2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Celková cena díla dle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VI. odst. 6.1.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smlouvy o dílo je ve znění tohoto dodatku stanovena následovně:</w:t>
      </w:r>
    </w:p>
    <w:tbl>
      <w:tblPr>
        <w:tblOverlap w:val="never"/>
        <w:jc w:val="center"/>
        <w:tblLayout w:type="fixed"/>
      </w:tblPr>
      <w:tblGrid>
        <w:gridCol w:w="5395"/>
        <w:gridCol w:w="2208"/>
      </w:tblGrid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Původní cena díla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1 980 000,00 Kč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Méněpráce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- 175 603,29 Kč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Vícepráce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+ 648 985,49 Kč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Nově sjednaná cena dle Dodatku č. 2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2 453 382,20 Kč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21%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515 210,26 Kč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Nově sjednaná cena dle Dodatku č. 2 včetně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2 968 592,46 Kč</w:t>
            </w:r>
          </w:p>
        </w:tc>
      </w:tr>
    </w:tbl>
    <w:p>
      <w:pPr>
        <w:widowControl w:val="0"/>
        <w:spacing w:after="8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III.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0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shora citované smlouvy v aktuálním znění se nemění a zůstávají v platnosti.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0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nedílnou součástí smlouvy v aktuálním znění.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0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vyhotoven v elektronické podobě, přičemž obě smluvní strany obdrží jeho elektronický originál.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0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2 je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platný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0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2 je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účinný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dnem jeho uveřejnění v registru smluv.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0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podléhá zveřejnění dle zákona č. 340/2015 Sb., o zvláštních podmínkách účinnosti některých smluv, uveřejňování těchto smluv a o registru smluv (zákon o registru smluv), v platném a účinném znění.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0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0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2 byl sepsán na základě pravdivých údajů, z jejich pravé a svobodné vůle a nebyl uzavřen v tísni za jednostranně nevýhodných podmínek.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0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je následující příloha: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Rozpis ocenění změn položek pro Změnový list č. 1.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2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12700</wp:posOffset>
                </wp:positionV>
                <wp:extent cx="1149350" cy="17399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935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viz podpis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3.10000000000002pt;margin-top:1.pt;width:90.5pt;height:13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viz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803910</wp:posOffset>
                </wp:positionH>
                <wp:positionV relativeFrom="paragraph">
                  <wp:posOffset>1168400</wp:posOffset>
                </wp:positionV>
                <wp:extent cx="1825625" cy="35941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5625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Jan Pertlík, jednatel společnosti VSM, spol. s r. 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3.299999999999997pt;margin-top:92.pt;width:143.75pt;height:28.3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Jan Pertlík, jednatel společnosti VSM, spol. s r. o.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viz podpis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2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 Krajská správa a údržba silnic Vysočiny, příspěvková organizace</w:t>
      </w:r>
    </w:p>
    <w:sectPr>
      <w:headerReference w:type="default" r:id="rId5"/>
      <w:footerReference w:type="default" r:id="rId6"/>
      <w:footnotePr>
        <w:pos w:val="pageBottom"/>
        <w:numFmt w:val="decimal"/>
        <w:numRestart w:val="continuous"/>
      </w:footnotePr>
      <w:pgSz w:w="12240" w:h="15840"/>
      <w:pgMar w:top="1445" w:left="1154" w:right="1290" w:bottom="1224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3468370</wp:posOffset>
              </wp:positionH>
              <wp:positionV relativeFrom="page">
                <wp:posOffset>9558655</wp:posOffset>
              </wp:positionV>
              <wp:extent cx="746760" cy="109855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4676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273.10000000000002pt;margin-top:752.64999999999998pt;width:58.799999999999997pt;height:8.6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737235</wp:posOffset>
              </wp:positionH>
              <wp:positionV relativeFrom="page">
                <wp:posOffset>9514205</wp:posOffset>
              </wp:positionV>
              <wp:extent cx="6214745" cy="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1474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049999999999997pt;margin-top:749.14999999999998pt;width:489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755650</wp:posOffset>
              </wp:positionH>
              <wp:positionV relativeFrom="page">
                <wp:posOffset>441960</wp:posOffset>
              </wp:positionV>
              <wp:extent cx="6163310" cy="11874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331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Rekonstrukce původní solné haly na CM JI</w:t>
                            <w:tab/>
                            <w:t>ZMR-ST-95-2021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9.5pt;margin-top:34.799999999999997pt;width:485.30000000000001pt;height:9.3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Rekonstrukce původní solné haly na CM JI</w:t>
                      <w:tab/>
                      <w:t>ZMR-ST-95-2021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685165</wp:posOffset>
              </wp:positionH>
              <wp:positionV relativeFrom="page">
                <wp:posOffset>641350</wp:posOffset>
              </wp:positionV>
              <wp:extent cx="6303010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3030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3.950000000000003pt;margin-top:50.5pt;width:496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Jiné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Nadpis #1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Nadpis #2_"/>
    <w:basedOn w:val="DefaultParagraphFont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0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Jiné"/>
    <w:basedOn w:val="Normal"/>
    <w:link w:val="CharStyle5"/>
    <w:pPr>
      <w:widowControl w:val="0"/>
      <w:shd w:val="clear" w:color="auto" w:fill="FFFFFF"/>
      <w:spacing w:after="10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Nadpis #1"/>
    <w:basedOn w:val="Normal"/>
    <w:link w:val="CharStyle11"/>
    <w:pPr>
      <w:widowControl w:val="0"/>
      <w:shd w:val="clear" w:color="auto" w:fill="FFFFFF"/>
      <w:spacing w:after="4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  <w:spacing w:line="36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Nadpis #2"/>
    <w:basedOn w:val="Normal"/>
    <w:link w:val="CharStyle20"/>
    <w:pPr>
      <w:widowControl w:val="0"/>
      <w:shd w:val="clear" w:color="auto" w:fill="FFFFFF"/>
      <w:spacing w:after="260" w:line="276" w:lineRule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