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DODATEK č. 13</w:t>
      </w: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 ke SMLOUV</w:t>
      </w:r>
      <w:r>
        <w:rPr>
          <w:b/>
          <w:bCs/>
          <w:caps/>
          <w:sz w:val="36"/>
          <w:szCs w:val="28"/>
        </w:rPr>
        <w:t>ě</w:t>
      </w:r>
      <w:r>
        <w:rPr>
          <w:b/>
          <w:bCs/>
          <w:sz w:val="36"/>
          <w:szCs w:val="28"/>
        </w:rPr>
        <w:t xml:space="preserve"> O DÍLO</w:t>
      </w: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sz w:val="36"/>
          <w:szCs w:val="28"/>
        </w:rPr>
      </w:pPr>
    </w:p>
    <w:p w:rsidR="00F72194" w:rsidRDefault="00F72194" w:rsidP="00F72194">
      <w:pPr>
        <w:pStyle w:val="Normln0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uzavřený dle zákona č. 513/1991 Sb., obchodního zákoníku,</w:t>
      </w:r>
    </w:p>
    <w:p w:rsidR="00F72194" w:rsidRDefault="00F72194" w:rsidP="00F72194">
      <w:pPr>
        <w:pStyle w:val="Normln0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v platném a účinném znění (dále také jen „obchodní zákoník“)</w:t>
      </w: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č.  objednávky Objednatele: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60/2009</w:t>
      </w: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č. smlouvy Zhotovitele:</w:t>
      </w:r>
      <w:r>
        <w:rPr>
          <w:sz w:val="28"/>
          <w:szCs w:val="28"/>
        </w:rPr>
        <w:tab/>
        <w:t>88-42089/5</w:t>
      </w: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sz w:val="28"/>
          <w:szCs w:val="28"/>
        </w:rPr>
      </w:pPr>
    </w:p>
    <w:p w:rsidR="00F72194" w:rsidRDefault="00F72194" w:rsidP="00F72194">
      <w:pPr>
        <w:pStyle w:val="Normln00"/>
        <w:spacing w:line="24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 xml:space="preserve">ÚDRŽBa školního reaktoru VR – 1 </w:t>
      </w:r>
    </w:p>
    <w:p w:rsidR="00F72194" w:rsidRDefault="00F72194" w:rsidP="00F72194">
      <w:pPr>
        <w:pStyle w:val="Normln00"/>
        <w:spacing w:line="240" w:lineRule="auto"/>
        <w:jc w:val="center"/>
        <w:rPr>
          <w:caps/>
        </w:rPr>
      </w:pPr>
    </w:p>
    <w:p w:rsidR="00F72194" w:rsidRDefault="00F72194" w:rsidP="00F72194">
      <w:pPr>
        <w:pStyle w:val="Normln00"/>
        <w:spacing w:line="240" w:lineRule="auto"/>
        <w:rPr>
          <w:caps/>
        </w:rPr>
      </w:pPr>
    </w:p>
    <w:p w:rsidR="00F72194" w:rsidRDefault="00F72194" w:rsidP="00F72194">
      <w:pPr>
        <w:jc w:val="center"/>
        <w:rPr>
          <w:sz w:val="28"/>
          <w:szCs w:val="28"/>
        </w:rPr>
      </w:pPr>
    </w:p>
    <w:p w:rsidR="00F72194" w:rsidRDefault="00F72194" w:rsidP="00F72194">
      <w:pPr>
        <w:jc w:val="center"/>
        <w:rPr>
          <w:szCs w:val="24"/>
        </w:rPr>
      </w:pPr>
      <w:r>
        <w:rPr>
          <w:szCs w:val="24"/>
        </w:rPr>
        <w:t>(Dále též „Smlouva“)</w:t>
      </w:r>
    </w:p>
    <w:p w:rsidR="00F72194" w:rsidRDefault="00F72194" w:rsidP="00F72194">
      <w:pPr>
        <w:pStyle w:val="Obsah1"/>
        <w:tabs>
          <w:tab w:val="left" w:pos="720"/>
        </w:tabs>
        <w:rPr>
          <w:sz w:val="22"/>
          <w:szCs w:val="22"/>
          <w:highlight w:val="yellow"/>
        </w:rPr>
      </w:pPr>
      <w:r>
        <w:rPr>
          <w:b/>
          <w:bCs/>
          <w:caps w:val="0"/>
          <w:sz w:val="22"/>
          <w:szCs w:val="22"/>
        </w:rPr>
        <w:br w:type="page"/>
      </w:r>
      <w:r>
        <w:rPr>
          <w:sz w:val="22"/>
          <w:szCs w:val="22"/>
          <w:highlight w:val="yellow"/>
        </w:rPr>
        <w:lastRenderedPageBreak/>
        <w:t xml:space="preserve"> </w:t>
      </w:r>
    </w:p>
    <w:p w:rsidR="00F72194" w:rsidRDefault="00F72194" w:rsidP="00F72194">
      <w:pPr>
        <w:pStyle w:val="Nadpis1"/>
        <w:numPr>
          <w:ilvl w:val="0"/>
          <w:numId w:val="0"/>
        </w:numPr>
        <w:tabs>
          <w:tab w:val="left" w:pos="708"/>
        </w:tabs>
        <w:jc w:val="left"/>
        <w:rPr>
          <w:sz w:val="22"/>
          <w:szCs w:val="22"/>
          <w:u w:val="none"/>
        </w:rPr>
      </w:pPr>
      <w:bookmarkStart w:id="0" w:name="_Toc217273116"/>
      <w:bookmarkStart w:id="1" w:name="_Toc179343634"/>
      <w:bookmarkStart w:id="2" w:name="_Toc158477850"/>
      <w:bookmarkStart w:id="3" w:name="_Toc32651270"/>
      <w:bookmarkStart w:id="4" w:name="_Toc5978328"/>
      <w:bookmarkStart w:id="5" w:name="_Toc448914981"/>
      <w:bookmarkStart w:id="6" w:name="_Toc425581130"/>
      <w:bookmarkStart w:id="7" w:name="_Toc425561565"/>
      <w:bookmarkStart w:id="8" w:name="_Toc424623396"/>
      <w:bookmarkStart w:id="9" w:name="_Toc424623297"/>
      <w:bookmarkStart w:id="10" w:name="_Toc424623144"/>
      <w:bookmarkStart w:id="11" w:name="_Toc424550097"/>
      <w:bookmarkStart w:id="12" w:name="_Toc424450095"/>
      <w:bookmarkStart w:id="13" w:name="_Toc424436362"/>
      <w:bookmarkStart w:id="14" w:name="_Toc424436269"/>
      <w:bookmarkStart w:id="15" w:name="_Toc406225763"/>
      <w:bookmarkStart w:id="16" w:name="_Toc405017838"/>
      <w:r>
        <w:rPr>
          <w:sz w:val="22"/>
          <w:szCs w:val="22"/>
          <w:u w:val="none"/>
        </w:rPr>
        <w:t>SMLUVNÍ STRANY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72194" w:rsidRDefault="00F72194" w:rsidP="00F72194">
      <w:pPr>
        <w:rPr>
          <w:sz w:val="22"/>
          <w:szCs w:val="22"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962"/>
      </w:tblGrid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 w:hanging="7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Objednatel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rFonts w:eastAsia="TimesNewRomanPSMT"/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 xml:space="preserve">České vysoké učení technické v Praze </w:t>
            </w:r>
          </w:p>
          <w:p w:rsidR="00F72194" w:rsidRDefault="00F72194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Fakulta jaderná a fyzikálně inženýrská (dále jen „ČVUT“)</w:t>
            </w:r>
          </w:p>
        </w:tc>
      </w:tr>
      <w:tr w:rsidR="00F72194" w:rsidTr="00F72194">
        <w:tc>
          <w:tcPr>
            <w:tcW w:w="3828" w:type="dxa"/>
          </w:tcPr>
          <w:p w:rsidR="00F72194" w:rsidRDefault="00F72194">
            <w:pPr>
              <w:ind w:left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Břehová 7</w:t>
            </w:r>
          </w:p>
        </w:tc>
      </w:tr>
      <w:tr w:rsidR="00F72194" w:rsidTr="00F72194">
        <w:tc>
          <w:tcPr>
            <w:tcW w:w="3828" w:type="dxa"/>
          </w:tcPr>
          <w:p w:rsidR="00F72194" w:rsidRDefault="00F72194">
            <w:pPr>
              <w:ind w:left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b/>
                <w:sz w:val="22"/>
                <w:szCs w:val="22"/>
              </w:rPr>
            </w:pPr>
            <w:r>
              <w:rPr>
                <w:rFonts w:eastAsia="TimesNewRomanPSMT"/>
                <w:b/>
                <w:sz w:val="22"/>
                <w:szCs w:val="22"/>
              </w:rPr>
              <w:t>115 19 Praha 1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Organizační jednotka: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</w:rPr>
              <w:t>Katedra jaderných reaktorů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Jednající :</w:t>
            </w:r>
            <w:proofErr w:type="gramEnd"/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Ing. Václav Čuba, Ph.D.</w:t>
            </w:r>
          </w:p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Děkan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Zmocněni jednat ve věcech technických:</w:t>
            </w:r>
          </w:p>
        </w:tc>
        <w:tc>
          <w:tcPr>
            <w:tcW w:w="4961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  <w:p w:rsidR="00233CF8" w:rsidRDefault="00233C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IČ: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68407700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DIČ: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CZ68407700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hideMark/>
          </w:tcPr>
          <w:p w:rsidR="00F72194" w:rsidRDefault="0026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hideMark/>
          </w:tcPr>
          <w:p w:rsidR="00F72194" w:rsidRDefault="0026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F72194" w:rsidRDefault="00F72194" w:rsidP="00F72194">
      <w:pPr>
        <w:rPr>
          <w:sz w:val="22"/>
          <w:szCs w:val="22"/>
        </w:rPr>
      </w:pPr>
    </w:p>
    <w:p w:rsidR="00F72194" w:rsidRDefault="00F72194" w:rsidP="00F72194">
      <w:pPr>
        <w:rPr>
          <w:sz w:val="22"/>
          <w:szCs w:val="22"/>
        </w:rPr>
      </w:pPr>
    </w:p>
    <w:tbl>
      <w:tblPr>
        <w:tblW w:w="879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4962"/>
      </w:tblGrid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 w:hanging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smallCaps/>
                <w:sz w:val="22"/>
                <w:szCs w:val="22"/>
              </w:rPr>
              <w:t>Zhotovitel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ŠKODA JS a.s.</w:t>
            </w:r>
          </w:p>
          <w:p w:rsidR="00F72194" w:rsidRDefault="00F721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Orlík 266/15</w:t>
            </w:r>
          </w:p>
          <w:p w:rsidR="00F72194" w:rsidRDefault="00F7219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Bolevec</w:t>
            </w:r>
          </w:p>
        </w:tc>
      </w:tr>
      <w:tr w:rsidR="00F72194" w:rsidTr="00F72194">
        <w:tc>
          <w:tcPr>
            <w:tcW w:w="3828" w:type="dxa"/>
          </w:tcPr>
          <w:p w:rsidR="00F72194" w:rsidRDefault="00F72194">
            <w:pPr>
              <w:ind w:left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 00 Plzeň</w:t>
            </w:r>
          </w:p>
        </w:tc>
      </w:tr>
      <w:tr w:rsidR="00F72194" w:rsidTr="00F72194">
        <w:tc>
          <w:tcPr>
            <w:tcW w:w="3828" w:type="dxa"/>
          </w:tcPr>
          <w:p w:rsidR="00F72194" w:rsidRDefault="00F72194">
            <w:pPr>
              <w:ind w:left="56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ŠKODA JS a.s., je zapsána v obchodním rejstříku vedeném Krajským soudem v Plzni, oddíl B, vložka 811.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Jednající:</w:t>
            </w:r>
          </w:p>
        </w:tc>
        <w:tc>
          <w:tcPr>
            <w:tcW w:w="4961" w:type="dxa"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Miloš Mostecký</w:t>
            </w:r>
          </w:p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ředitel</w:t>
            </w:r>
          </w:p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Zmocněni jednat ve věcech smluvních:</w:t>
            </w:r>
          </w:p>
        </w:tc>
        <w:tc>
          <w:tcPr>
            <w:tcW w:w="4961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  <w:p w:rsidR="00E96957" w:rsidRDefault="00E969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bookmarkStart w:id="17" w:name="_GoBack"/>
            <w:bookmarkEnd w:id="17"/>
          </w:p>
          <w:p w:rsidR="00265D4D" w:rsidRDefault="00265D4D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Zmocněni jednat ve věcech technických:</w:t>
            </w:r>
          </w:p>
        </w:tc>
        <w:tc>
          <w:tcPr>
            <w:tcW w:w="4961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  <w:p w:rsidR="00F72194" w:rsidRDefault="0026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IČ: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25235753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DIČ:</w:t>
            </w:r>
          </w:p>
        </w:tc>
        <w:tc>
          <w:tcPr>
            <w:tcW w:w="4961" w:type="dxa"/>
            <w:hideMark/>
          </w:tcPr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CZ25235753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Bankovní spojení:</w:t>
            </w:r>
          </w:p>
        </w:tc>
        <w:tc>
          <w:tcPr>
            <w:tcW w:w="4961" w:type="dxa"/>
            <w:hideMark/>
          </w:tcPr>
          <w:p w:rsidR="00F72194" w:rsidRDefault="0026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  <w:tr w:rsidR="00F72194" w:rsidTr="00F72194">
        <w:tc>
          <w:tcPr>
            <w:tcW w:w="3828" w:type="dxa"/>
            <w:hideMark/>
          </w:tcPr>
          <w:p w:rsidR="00F72194" w:rsidRDefault="00F72194">
            <w:pPr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účtu:</w:t>
            </w:r>
          </w:p>
        </w:tc>
        <w:tc>
          <w:tcPr>
            <w:tcW w:w="4961" w:type="dxa"/>
            <w:hideMark/>
          </w:tcPr>
          <w:p w:rsidR="00F72194" w:rsidRDefault="00265D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</w:tc>
      </w:tr>
    </w:tbl>
    <w:p w:rsidR="00F72194" w:rsidRDefault="00F72194" w:rsidP="00F72194"/>
    <w:p w:rsidR="00F72194" w:rsidRDefault="00F72194" w:rsidP="00F72194"/>
    <w:p w:rsidR="00F72194" w:rsidRDefault="00F72194" w:rsidP="00F72194"/>
    <w:p w:rsidR="00F72194" w:rsidRDefault="00F72194" w:rsidP="00F72194">
      <w:bookmarkStart w:id="18" w:name="_Toc158477851"/>
    </w:p>
    <w:p w:rsidR="00F72194" w:rsidRDefault="00F72194" w:rsidP="00F72194">
      <w:pPr>
        <w:pStyle w:val="Nadpis2"/>
        <w:numPr>
          <w:ilvl w:val="0"/>
          <w:numId w:val="0"/>
        </w:numPr>
        <w:tabs>
          <w:tab w:val="left" w:pos="708"/>
        </w:tabs>
        <w:spacing w:after="0"/>
        <w:jc w:val="left"/>
      </w:pPr>
      <w:r>
        <w:t>Výše uvedené smluvní strany se dohodly na následujících úpravách, změnách a doplněních této smlouvy o dílo:</w:t>
      </w: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</w:p>
    <w:p w:rsidR="00F72194" w:rsidRDefault="00F72194" w:rsidP="00F7219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Upravuje se Příloha č. 1 na r. 2022</w:t>
      </w:r>
    </w:p>
    <w:p w:rsidR="00F72194" w:rsidRDefault="00F72194" w:rsidP="00F72194">
      <w:pPr>
        <w:pStyle w:val="Normln00"/>
        <w:spacing w:line="360" w:lineRule="auto"/>
        <w:rPr>
          <w:bCs/>
          <w:sz w:val="22"/>
          <w:szCs w:val="22"/>
        </w:rPr>
      </w:pPr>
    </w:p>
    <w:p w:rsidR="00F72194" w:rsidRDefault="00F72194" w:rsidP="00F72194">
      <w:pPr>
        <w:pStyle w:val="Obsah1"/>
        <w:tabs>
          <w:tab w:val="clear" w:pos="680"/>
          <w:tab w:val="left" w:pos="2340"/>
        </w:tabs>
        <w:spacing w:after="0" w:line="360" w:lineRule="auto"/>
        <w:ind w:right="0"/>
        <w:rPr>
          <w:sz w:val="22"/>
          <w:szCs w:val="22"/>
        </w:rPr>
      </w:pPr>
      <w:r>
        <w:rPr>
          <w:sz w:val="22"/>
          <w:szCs w:val="22"/>
        </w:rPr>
        <w:t xml:space="preserve">PŘÍLOHA Č. 1 - ROČNÍ Plán plánované preventivní údržby a </w:t>
      </w:r>
      <w:proofErr w:type="gramStart"/>
      <w:r>
        <w:rPr>
          <w:sz w:val="22"/>
          <w:szCs w:val="22"/>
        </w:rPr>
        <w:t>smluvní  cena</w:t>
      </w:r>
      <w:proofErr w:type="gramEnd"/>
      <w:r>
        <w:rPr>
          <w:sz w:val="22"/>
          <w:szCs w:val="22"/>
        </w:rPr>
        <w:t>,</w:t>
      </w:r>
    </w:p>
    <w:p w:rsidR="00F72194" w:rsidRDefault="00F72194" w:rsidP="00F72194">
      <w:pPr>
        <w:pStyle w:val="Obsah1"/>
        <w:tabs>
          <w:tab w:val="clear" w:pos="680"/>
          <w:tab w:val="left" w:pos="2340"/>
        </w:tabs>
        <w:spacing w:after="0" w:line="360" w:lineRule="auto"/>
        <w:ind w:right="0"/>
        <w:rPr>
          <w:sz w:val="22"/>
          <w:szCs w:val="22"/>
        </w:rPr>
      </w:pPr>
      <w:r>
        <w:rPr>
          <w:caps w:val="0"/>
          <w:sz w:val="22"/>
          <w:szCs w:val="22"/>
        </w:rPr>
        <w:t>je nedílnou součástí této smlouvy.</w:t>
      </w:r>
    </w:p>
    <w:p w:rsidR="00F72194" w:rsidRDefault="00F72194" w:rsidP="00F72194">
      <w:pPr>
        <w:pStyle w:val="Obsah1"/>
        <w:tabs>
          <w:tab w:val="left" w:pos="720"/>
        </w:tabs>
        <w:spacing w:after="0" w:line="360" w:lineRule="auto"/>
        <w:ind w:left="0" w:right="0" w:firstLine="0"/>
        <w:rPr>
          <w:sz w:val="22"/>
          <w:szCs w:val="22"/>
        </w:rPr>
      </w:pPr>
    </w:p>
    <w:p w:rsidR="00F72194" w:rsidRDefault="00F72194" w:rsidP="00F72194">
      <w:pPr>
        <w:pStyle w:val="Zhlav"/>
        <w:tabs>
          <w:tab w:val="left" w:pos="708"/>
        </w:tabs>
      </w:pPr>
    </w:p>
    <w:bookmarkEnd w:id="18"/>
    <w:p w:rsidR="00F72194" w:rsidRDefault="00F72194" w:rsidP="00F72194">
      <w:pPr>
        <w:widowControl w:val="0"/>
        <w:tabs>
          <w:tab w:val="left" w:pos="851"/>
        </w:tabs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>Smluvní strany se dohodly, že jejich právní vztahy se budou řídit tímto Dodatkem č.13 Smlouvy o dílo s účinností od podpisu dodatku oběma smluvními stranami.</w:t>
      </w:r>
    </w:p>
    <w:p w:rsidR="00F72194" w:rsidRDefault="00F72194" w:rsidP="00F72194">
      <w:pPr>
        <w:widowControl w:val="0"/>
        <w:adjustRightInd w:val="0"/>
        <w:spacing w:before="120"/>
        <w:textAlignment w:val="baseline"/>
        <w:rPr>
          <w:sz w:val="22"/>
          <w:szCs w:val="22"/>
        </w:rPr>
      </w:pPr>
      <w:r>
        <w:rPr>
          <w:sz w:val="22"/>
          <w:szCs w:val="22"/>
        </w:rPr>
        <w:t>Ostatní ujednání uzavřené smlouvy o dílu č.60/2009 / 88-42089 tímto Dodatkem č. 13 nedotčená a zde neuvedená, se nemění ani nedoplňují a zůstávají v platnosti.</w:t>
      </w:r>
    </w:p>
    <w:p w:rsidR="00F72194" w:rsidRDefault="00F72194" w:rsidP="00F72194">
      <w:pPr>
        <w:rPr>
          <w:sz w:val="22"/>
          <w:szCs w:val="22"/>
        </w:rPr>
      </w:pPr>
      <w:r>
        <w:rPr>
          <w:sz w:val="22"/>
          <w:szCs w:val="22"/>
        </w:rPr>
        <w:t>Tento Dodatek č. 13 je vyhotoven v jednom stejnopise v elektronické podobě</w:t>
      </w:r>
    </w:p>
    <w:p w:rsidR="00F72194" w:rsidRDefault="00F72194" w:rsidP="00F72194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F72194" w:rsidRDefault="00F72194" w:rsidP="00F72194">
      <w:pPr>
        <w:rPr>
          <w:sz w:val="22"/>
          <w:szCs w:val="22"/>
        </w:rPr>
      </w:pPr>
    </w:p>
    <w:p w:rsidR="00F72194" w:rsidRDefault="00F72194" w:rsidP="00F72194">
      <w:pPr>
        <w:rPr>
          <w:sz w:val="22"/>
          <w:szCs w:val="22"/>
        </w:rPr>
      </w:pPr>
    </w:p>
    <w:p w:rsidR="00F72194" w:rsidRDefault="00F72194" w:rsidP="00F72194">
      <w:pPr>
        <w:rPr>
          <w:sz w:val="22"/>
          <w:szCs w:val="22"/>
        </w:rPr>
      </w:pPr>
    </w:p>
    <w:tbl>
      <w:tblPr>
        <w:tblW w:w="88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680"/>
      </w:tblGrid>
      <w:tr w:rsidR="00F72194" w:rsidTr="00F72194">
        <w:tc>
          <w:tcPr>
            <w:tcW w:w="414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>
              <w:rPr>
                <w:smallCaps/>
                <w:sz w:val="22"/>
                <w:szCs w:val="22"/>
              </w:rPr>
              <w:t>Objednatele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8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 </w:t>
            </w:r>
            <w:r>
              <w:rPr>
                <w:smallCaps/>
                <w:sz w:val="22"/>
                <w:szCs w:val="22"/>
              </w:rPr>
              <w:t>Zhotovitele</w:t>
            </w:r>
            <w:r>
              <w:rPr>
                <w:sz w:val="22"/>
                <w:szCs w:val="22"/>
              </w:rPr>
              <w:t>:</w:t>
            </w:r>
          </w:p>
        </w:tc>
      </w:tr>
      <w:tr w:rsidR="00F72194" w:rsidTr="00F72194">
        <w:tc>
          <w:tcPr>
            <w:tcW w:w="414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 </w:t>
            </w:r>
            <w:proofErr w:type="gramStart"/>
            <w:r>
              <w:rPr>
                <w:sz w:val="22"/>
                <w:szCs w:val="22"/>
              </w:rPr>
              <w:t>Praze  dne</w:t>
            </w:r>
            <w:proofErr w:type="gramEnd"/>
            <w:r>
              <w:rPr>
                <w:sz w:val="22"/>
                <w:szCs w:val="22"/>
              </w:rPr>
              <w:t>:</w:t>
            </w:r>
            <w:r w:rsidR="00265D4D">
              <w:rPr>
                <w:sz w:val="22"/>
                <w:szCs w:val="22"/>
              </w:rPr>
              <w:t xml:space="preserve"> 7.7.2022</w:t>
            </w:r>
          </w:p>
        </w:tc>
        <w:tc>
          <w:tcPr>
            <w:tcW w:w="468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Plzni dne:</w:t>
            </w:r>
            <w:r w:rsidR="00265D4D">
              <w:rPr>
                <w:sz w:val="22"/>
                <w:szCs w:val="22"/>
              </w:rPr>
              <w:t xml:space="preserve"> 15.7.2022</w:t>
            </w: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rPr>
                <w:sz w:val="22"/>
                <w:szCs w:val="22"/>
              </w:rPr>
            </w:pPr>
          </w:p>
        </w:tc>
      </w:tr>
      <w:tr w:rsidR="00F72194" w:rsidTr="00F72194">
        <w:tc>
          <w:tcPr>
            <w:tcW w:w="414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doc. Ing. Václav Čuba, Ph.D.</w:t>
            </w: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Děkan FJFI</w:t>
            </w: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ČVUT Praha</w:t>
            </w:r>
          </w:p>
        </w:tc>
        <w:tc>
          <w:tcPr>
            <w:tcW w:w="4680" w:type="dxa"/>
            <w:hideMark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Miloš Mostecký</w:t>
            </w:r>
          </w:p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Obchodní ředitel</w:t>
            </w:r>
          </w:p>
          <w:p w:rsidR="00F72194" w:rsidRDefault="00F721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ŠKODA JS a.s.</w:t>
            </w:r>
          </w:p>
        </w:tc>
      </w:tr>
      <w:tr w:rsidR="00F72194" w:rsidTr="00F72194">
        <w:tc>
          <w:tcPr>
            <w:tcW w:w="414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:rsidR="00F72194" w:rsidRDefault="00F72194">
            <w:pPr>
              <w:ind w:left="851" w:hanging="851"/>
              <w:rPr>
                <w:sz w:val="22"/>
                <w:szCs w:val="22"/>
              </w:rPr>
            </w:pPr>
          </w:p>
        </w:tc>
      </w:tr>
    </w:tbl>
    <w:p w:rsidR="00F72194" w:rsidRDefault="00F72194" w:rsidP="00F72194"/>
    <w:p w:rsidR="00F72194" w:rsidRDefault="00F72194" w:rsidP="00F72194">
      <w:pPr>
        <w:pStyle w:val="Normln00"/>
        <w:spacing w:after="120" w:line="240" w:lineRule="auto"/>
        <w:rPr>
          <w:b/>
          <w:bCs/>
          <w:sz w:val="22"/>
          <w:szCs w:val="22"/>
        </w:rPr>
      </w:pPr>
    </w:p>
    <w:p w:rsidR="00F72194" w:rsidRDefault="00F72194" w:rsidP="00F72194">
      <w:pPr>
        <w:pStyle w:val="Obsah1"/>
        <w:tabs>
          <w:tab w:val="left" w:pos="720"/>
        </w:tabs>
        <w:rPr>
          <w:b/>
          <w:sz w:val="22"/>
          <w:szCs w:val="22"/>
        </w:rPr>
      </w:pPr>
    </w:p>
    <w:p w:rsidR="00F72194" w:rsidRDefault="00F72194" w:rsidP="00F72194"/>
    <w:p w:rsidR="00F72194" w:rsidRDefault="00F72194" w:rsidP="00F72194"/>
    <w:p w:rsidR="00F72194" w:rsidRDefault="00F72194" w:rsidP="00F72194"/>
    <w:p w:rsidR="00F72194" w:rsidRDefault="00F72194" w:rsidP="00F72194"/>
    <w:p w:rsidR="00F72194" w:rsidRDefault="00F72194" w:rsidP="00F72194"/>
    <w:p w:rsidR="00F72194" w:rsidRDefault="00F72194" w:rsidP="00F72194">
      <w:pPr>
        <w:rPr>
          <w:b/>
          <w:caps/>
          <w:sz w:val="22"/>
          <w:szCs w:val="22"/>
        </w:rPr>
      </w:pPr>
    </w:p>
    <w:p w:rsidR="004C493E" w:rsidRDefault="004C493E"/>
    <w:sectPr w:rsidR="004C4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512" w:rsidRDefault="00C91512" w:rsidP="00EF0604">
      <w:r>
        <w:separator/>
      </w:r>
    </w:p>
  </w:endnote>
  <w:endnote w:type="continuationSeparator" w:id="0">
    <w:p w:rsidR="00C91512" w:rsidRDefault="00C91512" w:rsidP="00EF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pat"/>
      <w:jc w:val="center"/>
      <w:rPr>
        <w:color w:val="4472C4" w:themeColor="accent1"/>
      </w:rPr>
    </w:pPr>
    <w:r>
      <w:rPr>
        <w:color w:val="4472C4" w:themeColor="accent1"/>
      </w:rPr>
      <w:t xml:space="preserve">Stránka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z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EF0604" w:rsidRDefault="00EF06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512" w:rsidRDefault="00C91512" w:rsidP="00EF0604">
      <w:r>
        <w:separator/>
      </w:r>
    </w:p>
  </w:footnote>
  <w:footnote w:type="continuationSeparator" w:id="0">
    <w:p w:rsidR="00C91512" w:rsidRDefault="00C91512" w:rsidP="00EF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604" w:rsidRDefault="00EF0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241C2"/>
    <w:multiLevelType w:val="multilevel"/>
    <w:tmpl w:val="BCC8B7F6"/>
    <w:lvl w:ilvl="0">
      <w:start w:val="5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3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94"/>
    <w:rsid w:val="00233CF8"/>
    <w:rsid w:val="00265D4D"/>
    <w:rsid w:val="004C493E"/>
    <w:rsid w:val="0077518F"/>
    <w:rsid w:val="00C91512"/>
    <w:rsid w:val="00E96957"/>
    <w:rsid w:val="00EF0604"/>
    <w:rsid w:val="00F7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4DC3C"/>
  <w15:chartTrackingRefBased/>
  <w15:docId w15:val="{CCA8B8A7-7FA1-4815-8E20-47E30928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2194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72194"/>
    <w:pPr>
      <w:keepNext/>
      <w:keepLines/>
      <w:numPr>
        <w:numId w:val="1"/>
      </w:numPr>
      <w:spacing w:before="240" w:after="120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72194"/>
    <w:pPr>
      <w:keepLines/>
      <w:numPr>
        <w:ilvl w:val="1"/>
        <w:numId w:val="1"/>
      </w:numPr>
      <w:spacing w:before="120" w:after="120"/>
      <w:outlineLvl w:val="1"/>
    </w:pPr>
    <w:rPr>
      <w:sz w:val="22"/>
      <w:szCs w:val="22"/>
    </w:rPr>
  </w:style>
  <w:style w:type="paragraph" w:styleId="Nadpis3">
    <w:name w:val="heading 3"/>
    <w:basedOn w:val="Normln"/>
    <w:next w:val="Normlnodsazen"/>
    <w:link w:val="Nadpis3Char"/>
    <w:semiHidden/>
    <w:unhideWhenUsed/>
    <w:qFormat/>
    <w:rsid w:val="00F72194"/>
    <w:pPr>
      <w:numPr>
        <w:ilvl w:val="2"/>
        <w:numId w:val="1"/>
      </w:numPr>
      <w:outlineLvl w:val="2"/>
    </w:pPr>
    <w:rPr>
      <w:b/>
    </w:rPr>
  </w:style>
  <w:style w:type="paragraph" w:styleId="Nadpis4">
    <w:name w:val="heading 4"/>
    <w:basedOn w:val="Normln"/>
    <w:next w:val="Normlnodsazen"/>
    <w:link w:val="Nadpis4Char"/>
    <w:semiHidden/>
    <w:unhideWhenUsed/>
    <w:qFormat/>
    <w:rsid w:val="00F72194"/>
    <w:pPr>
      <w:numPr>
        <w:ilvl w:val="3"/>
        <w:numId w:val="1"/>
      </w:numPr>
      <w:outlineLvl w:val="3"/>
    </w:pPr>
    <w:rPr>
      <w:rFonts w:ascii="Times New Roman" w:hAnsi="Times New Roman" w:cs="Times New Roman"/>
      <w:szCs w:val="24"/>
      <w:u w:val="single"/>
    </w:rPr>
  </w:style>
  <w:style w:type="paragraph" w:styleId="Nadpis5">
    <w:name w:val="heading 5"/>
    <w:basedOn w:val="Normln"/>
    <w:next w:val="Normlnodsazen"/>
    <w:link w:val="Nadpis5Char"/>
    <w:semiHidden/>
    <w:unhideWhenUsed/>
    <w:qFormat/>
    <w:rsid w:val="00F72194"/>
    <w:pPr>
      <w:numPr>
        <w:ilvl w:val="4"/>
        <w:numId w:val="1"/>
      </w:numPr>
      <w:outlineLvl w:val="4"/>
    </w:pPr>
    <w:rPr>
      <w:rFonts w:ascii="Times New Roman" w:hAnsi="Times New Roman" w:cs="Times New Roman"/>
      <w:b/>
      <w:bCs/>
      <w:sz w:val="20"/>
    </w:rPr>
  </w:style>
  <w:style w:type="paragraph" w:styleId="Nadpis6">
    <w:name w:val="heading 6"/>
    <w:basedOn w:val="Normln"/>
    <w:next w:val="Normlnodsazen"/>
    <w:link w:val="Nadpis6Char"/>
    <w:semiHidden/>
    <w:unhideWhenUsed/>
    <w:qFormat/>
    <w:rsid w:val="00F72194"/>
    <w:pPr>
      <w:numPr>
        <w:ilvl w:val="5"/>
        <w:numId w:val="1"/>
      </w:numPr>
      <w:outlineLvl w:val="5"/>
    </w:pPr>
    <w:rPr>
      <w:rFonts w:ascii="Times New Roman" w:hAnsi="Times New Roman" w:cs="Times New Roman"/>
      <w:sz w:val="20"/>
      <w:u w:val="single"/>
    </w:rPr>
  </w:style>
  <w:style w:type="paragraph" w:styleId="Nadpis7">
    <w:name w:val="heading 7"/>
    <w:basedOn w:val="Normln"/>
    <w:next w:val="Normlnodsazen"/>
    <w:link w:val="Nadpis7Char"/>
    <w:semiHidden/>
    <w:unhideWhenUsed/>
    <w:qFormat/>
    <w:rsid w:val="00F72194"/>
    <w:pPr>
      <w:numPr>
        <w:ilvl w:val="6"/>
        <w:numId w:val="1"/>
      </w:numPr>
      <w:outlineLvl w:val="6"/>
    </w:pPr>
    <w:rPr>
      <w:rFonts w:ascii="Times New Roman" w:hAnsi="Times New Roman" w:cs="Times New Roman"/>
      <w:i/>
      <w:iCs/>
      <w:sz w:val="20"/>
    </w:rPr>
  </w:style>
  <w:style w:type="paragraph" w:styleId="Nadpis8">
    <w:name w:val="heading 8"/>
    <w:basedOn w:val="Normln"/>
    <w:next w:val="Normlnodsazen"/>
    <w:link w:val="Nadpis8Char"/>
    <w:semiHidden/>
    <w:unhideWhenUsed/>
    <w:qFormat/>
    <w:rsid w:val="00F72194"/>
    <w:pPr>
      <w:numPr>
        <w:ilvl w:val="7"/>
        <w:numId w:val="1"/>
      </w:numPr>
      <w:outlineLvl w:val="7"/>
    </w:pPr>
    <w:rPr>
      <w:rFonts w:ascii="Times New Roman" w:hAnsi="Times New Roman" w:cs="Times New Roman"/>
      <w:i/>
      <w:iCs/>
      <w:sz w:val="20"/>
    </w:rPr>
  </w:style>
  <w:style w:type="paragraph" w:styleId="Nadpis9">
    <w:name w:val="heading 9"/>
    <w:basedOn w:val="Normln"/>
    <w:next w:val="Normlnodsazen"/>
    <w:link w:val="Nadpis9Char"/>
    <w:semiHidden/>
    <w:unhideWhenUsed/>
    <w:qFormat/>
    <w:rsid w:val="00F72194"/>
    <w:pPr>
      <w:numPr>
        <w:ilvl w:val="8"/>
        <w:numId w:val="1"/>
      </w:numPr>
      <w:outlineLvl w:val="8"/>
    </w:pPr>
    <w:rPr>
      <w:rFonts w:ascii="Times New Roman" w:hAnsi="Times New Roman" w:cs="Times New Roman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2194"/>
    <w:rPr>
      <w:rFonts w:ascii="Arial" w:eastAsia="Times New Roman" w:hAnsi="Arial" w:cs="Arial"/>
      <w:b/>
      <w: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F72194"/>
    <w:rPr>
      <w:rFonts w:ascii="Arial" w:eastAsia="Times New Roman" w:hAnsi="Arial" w:cs="Arial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F72194"/>
    <w:rPr>
      <w:rFonts w:ascii="Arial" w:eastAsia="Times New Roman" w:hAnsi="Arial" w:cs="Arial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F72194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F7219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72194"/>
    <w:rPr>
      <w:rFonts w:ascii="Times New Roman" w:eastAsia="Times New Roman" w:hAnsi="Times New Roman" w:cs="Times New Roman"/>
      <w:sz w:val="20"/>
      <w:szCs w:val="20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F7219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F7219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F72194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semiHidden/>
    <w:unhideWhenUsed/>
    <w:rsid w:val="00F72194"/>
    <w:pPr>
      <w:tabs>
        <w:tab w:val="left" w:leader="dot" w:pos="0"/>
        <w:tab w:val="left" w:pos="680"/>
        <w:tab w:val="right" w:leader="dot" w:pos="8505"/>
      </w:tabs>
      <w:spacing w:after="120" w:line="240" w:lineRule="atLeast"/>
      <w:ind w:left="680" w:right="1701" w:hanging="680"/>
      <w:jc w:val="left"/>
    </w:pPr>
    <w:rPr>
      <w:caps/>
    </w:rPr>
  </w:style>
  <w:style w:type="paragraph" w:styleId="Zhlav">
    <w:name w:val="header"/>
    <w:basedOn w:val="Normln"/>
    <w:link w:val="ZhlavChar"/>
    <w:unhideWhenUsed/>
    <w:rsid w:val="00F721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94"/>
    <w:rPr>
      <w:rFonts w:ascii="Arial" w:eastAsia="Times New Roman" w:hAnsi="Arial" w:cs="Arial"/>
      <w:sz w:val="24"/>
      <w:szCs w:val="20"/>
      <w:lang w:eastAsia="cs-CZ"/>
    </w:rPr>
  </w:style>
  <w:style w:type="paragraph" w:customStyle="1" w:styleId="Normln00">
    <w:name w:val="Normální.0/0"/>
    <w:rsid w:val="00F72194"/>
    <w:pPr>
      <w:widowControl w:val="0"/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sz w:val="24"/>
      <w:szCs w:val="24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F72194"/>
    <w:pPr>
      <w:ind w:left="708"/>
    </w:pPr>
  </w:style>
  <w:style w:type="paragraph" w:styleId="Zpat">
    <w:name w:val="footer"/>
    <w:basedOn w:val="Normln"/>
    <w:link w:val="ZpatChar"/>
    <w:uiPriority w:val="99"/>
    <w:unhideWhenUsed/>
    <w:rsid w:val="00EF06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604"/>
    <w:rPr>
      <w:rFonts w:ascii="Arial" w:eastAsia="Times New Roman" w:hAnsi="Arial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5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4DCF-E8A4-480C-822D-DFAD1D1FF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Čížková</dc:creator>
  <cp:keywords/>
  <dc:description/>
  <cp:lastModifiedBy>Pavla Čížková</cp:lastModifiedBy>
  <cp:revision>5</cp:revision>
  <dcterms:created xsi:type="dcterms:W3CDTF">2022-07-19T06:54:00Z</dcterms:created>
  <dcterms:modified xsi:type="dcterms:W3CDTF">2022-07-19T08:44:00Z</dcterms:modified>
</cp:coreProperties>
</file>