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445D" w14:textId="77777777" w:rsidR="007C12C7" w:rsidRDefault="003316E2">
      <w:pPr>
        <w:pStyle w:val="Styl1"/>
        <w:jc w:val="center"/>
        <w:rPr>
          <w:rFonts w:ascii="Times New Roman" w:hAnsi="Times New Roman" w:cs="Times New Roman"/>
          <w:sz w:val="36"/>
          <w:szCs w:val="36"/>
          <w:lang w:val="cs-CZ"/>
        </w:rPr>
      </w:pPr>
      <w:r>
        <w:rPr>
          <w:rFonts w:ascii="Times New Roman" w:hAnsi="Times New Roman" w:cs="Times New Roman"/>
          <w:sz w:val="36"/>
          <w:szCs w:val="36"/>
          <w:lang w:val="cs-CZ"/>
        </w:rPr>
        <w:t>SERVISNÍ SMLOUVA</w:t>
      </w:r>
    </w:p>
    <w:p w14:paraId="16006F04" w14:textId="77777777" w:rsidR="007C12C7" w:rsidRDefault="003316E2">
      <w:pPr>
        <w:spacing w:before="120"/>
        <w:jc w:val="center"/>
        <w:rPr>
          <w:b/>
          <w:bCs/>
        </w:rPr>
      </w:pPr>
      <w:r>
        <w:rPr>
          <w:b/>
          <w:bCs/>
        </w:rPr>
        <w:t xml:space="preserve">číslo u Poskytovatele </w:t>
      </w:r>
      <w:r>
        <w:t>022011</w:t>
      </w:r>
    </w:p>
    <w:p w14:paraId="29AFAE04" w14:textId="7A018CC9" w:rsidR="007C12C7" w:rsidRDefault="007C12C7">
      <w:pPr>
        <w:jc w:val="center"/>
        <w:rPr>
          <w:b/>
        </w:rPr>
      </w:pPr>
    </w:p>
    <w:p w14:paraId="53B3A6D2" w14:textId="77777777" w:rsidR="007C12C7" w:rsidRDefault="007C12C7">
      <w:pPr>
        <w:jc w:val="center"/>
        <w:rPr>
          <w:b/>
          <w:color w:val="1F497D"/>
        </w:rPr>
      </w:pPr>
    </w:p>
    <w:p w14:paraId="2E139830" w14:textId="77777777" w:rsidR="007C12C7" w:rsidRDefault="003316E2">
      <w:pPr>
        <w:jc w:val="center"/>
        <w:rPr>
          <w:bCs/>
        </w:rPr>
      </w:pPr>
      <w:r>
        <w:t>uzavřená ve smyslu ustanovení § 1746 odst. 2 zákona č. 89/2012 Sb., občanský zákoník</w:t>
      </w:r>
    </w:p>
    <w:p w14:paraId="40C2315E" w14:textId="77777777" w:rsidR="007C12C7" w:rsidRDefault="007C12C7">
      <w:pPr>
        <w:spacing w:before="120"/>
        <w:jc w:val="center"/>
        <w:rPr>
          <w:b/>
          <w:bCs/>
          <w:sz w:val="22"/>
          <w:szCs w:val="22"/>
        </w:rPr>
      </w:pPr>
    </w:p>
    <w:p w14:paraId="74ECCB5F" w14:textId="77777777" w:rsidR="007C12C7" w:rsidRDefault="003316E2">
      <w:pPr>
        <w:pStyle w:val="Smlouva1"/>
        <w:numPr>
          <w:ilvl w:val="0"/>
          <w:numId w:val="4"/>
        </w:numPr>
        <w:rPr>
          <w:rFonts w:ascii="Times New Roman" w:hAnsi="Times New Roman"/>
          <w:caps/>
          <w:lang w:val="cs-CZ"/>
        </w:rPr>
      </w:pPr>
      <w:bookmarkStart w:id="0" w:name="_Toc336961142"/>
      <w:bookmarkStart w:id="1" w:name="_Toc234218421"/>
      <w:bookmarkStart w:id="2" w:name="_Toc230569767"/>
      <w:bookmarkStart w:id="3" w:name="_Toc230514564"/>
      <w:bookmarkStart w:id="4" w:name="_Toc220903474"/>
      <w:bookmarkStart w:id="5" w:name="_Ref220373416"/>
      <w:r>
        <w:rPr>
          <w:rFonts w:ascii="Times New Roman" w:hAnsi="Times New Roman"/>
          <w:caps/>
          <w:lang w:val="cs-CZ"/>
        </w:rPr>
        <w:t>Smluvní strany</w:t>
      </w:r>
      <w:bookmarkEnd w:id="0"/>
      <w:bookmarkEnd w:id="1"/>
      <w:bookmarkEnd w:id="2"/>
      <w:bookmarkEnd w:id="3"/>
      <w:bookmarkEnd w:id="4"/>
      <w:bookmarkEnd w:id="5"/>
    </w:p>
    <w:p w14:paraId="3B42EEC1" w14:textId="77777777" w:rsidR="007C12C7" w:rsidRDefault="003316E2">
      <w:pPr>
        <w:rPr>
          <w:b/>
          <w:bCs/>
        </w:rPr>
      </w:pPr>
      <w:r>
        <w:rPr>
          <w:b/>
          <w:bCs/>
        </w:rPr>
        <w:t>Západočeská univerzita v Plzni</w:t>
      </w:r>
    </w:p>
    <w:p w14:paraId="11CE23AE" w14:textId="77777777" w:rsidR="007C12C7" w:rsidRDefault="003316E2">
      <w:r>
        <w:t>Právní forma:</w:t>
      </w:r>
      <w:r>
        <w:tab/>
      </w:r>
      <w:r>
        <w:tab/>
      </w:r>
      <w:r>
        <w:tab/>
        <w:t xml:space="preserve">veřejná vysoká škola zřízená zákonem </w:t>
      </w:r>
    </w:p>
    <w:p w14:paraId="2C3B7B37" w14:textId="77777777" w:rsidR="007C12C7" w:rsidRDefault="003316E2">
      <w:r>
        <w:t xml:space="preserve">Se sídlem: </w:t>
      </w:r>
      <w:r>
        <w:tab/>
      </w:r>
      <w:r>
        <w:tab/>
      </w:r>
      <w:r>
        <w:tab/>
        <w:t xml:space="preserve">Univerzitní 2732/8, 301 </w:t>
      </w:r>
      <w:proofErr w:type="gramStart"/>
      <w:r>
        <w:t>00  Plzeň</w:t>
      </w:r>
      <w:proofErr w:type="gramEnd"/>
    </w:p>
    <w:p w14:paraId="00F2BEE2" w14:textId="77777777" w:rsidR="007C12C7" w:rsidRDefault="003316E2">
      <w:r>
        <w:t>Zastoupená:</w:t>
      </w:r>
      <w:r>
        <w:tab/>
      </w:r>
      <w:r>
        <w:tab/>
      </w:r>
      <w:r>
        <w:tab/>
        <w:t>Ing. Petrem Hofmanem, kvestorem</w:t>
      </w:r>
    </w:p>
    <w:p w14:paraId="7B9185AB" w14:textId="77777777" w:rsidR="007C12C7" w:rsidRDefault="003316E2">
      <w:r>
        <w:t xml:space="preserve">IČO: </w:t>
      </w:r>
      <w:r>
        <w:tab/>
      </w:r>
      <w:r>
        <w:tab/>
      </w:r>
      <w:r>
        <w:tab/>
      </w:r>
      <w:r>
        <w:tab/>
        <w:t>49777513</w:t>
      </w:r>
    </w:p>
    <w:p w14:paraId="18C1D95A" w14:textId="77777777" w:rsidR="007C12C7" w:rsidRDefault="003316E2">
      <w:r>
        <w:t xml:space="preserve">DIČ: </w:t>
      </w:r>
      <w:r>
        <w:tab/>
      </w:r>
      <w:r>
        <w:tab/>
      </w:r>
      <w:r>
        <w:tab/>
      </w:r>
      <w:r>
        <w:tab/>
        <w:t>CZ49777513</w:t>
      </w:r>
    </w:p>
    <w:p w14:paraId="5FBC03D2" w14:textId="2882E8CB" w:rsidR="007C12C7" w:rsidRDefault="003316E2">
      <w:r>
        <w:t>Bankovní spojení:</w:t>
      </w:r>
      <w:r>
        <w:tab/>
      </w:r>
      <w:r>
        <w:tab/>
      </w:r>
      <w:r w:rsidRPr="006E5910">
        <w:t>Komerční banka, a.s.</w:t>
      </w:r>
    </w:p>
    <w:p w14:paraId="4AEB7CFC" w14:textId="223FBB59" w:rsidR="007C12C7" w:rsidRDefault="003316E2">
      <w:r>
        <w:t xml:space="preserve">Číslo účtu: </w:t>
      </w:r>
      <w:r>
        <w:tab/>
      </w:r>
      <w:r>
        <w:tab/>
      </w:r>
      <w:r>
        <w:tab/>
      </w:r>
      <w:r w:rsidR="00717DFB">
        <w:t>XXX</w:t>
      </w:r>
    </w:p>
    <w:p w14:paraId="4726A663" w14:textId="77777777" w:rsidR="007C12C7" w:rsidRDefault="003316E2">
      <w:r>
        <w:t>ID datové schránky:</w:t>
      </w:r>
      <w:r>
        <w:tab/>
      </w:r>
      <w:r>
        <w:tab/>
        <w:t>zqfj9hj</w:t>
      </w:r>
    </w:p>
    <w:p w14:paraId="30CA11D0" w14:textId="77777777" w:rsidR="007C12C7" w:rsidRDefault="007C12C7"/>
    <w:p w14:paraId="531A16FA" w14:textId="77777777" w:rsidR="007C12C7" w:rsidRDefault="003316E2">
      <w:r>
        <w:t>(dále jen Objednatel)</w:t>
      </w:r>
    </w:p>
    <w:p w14:paraId="2AF05A6D" w14:textId="77777777" w:rsidR="007C12C7" w:rsidRDefault="007C12C7"/>
    <w:p w14:paraId="61C9C6C3" w14:textId="77777777" w:rsidR="007C12C7" w:rsidRDefault="003316E2">
      <w:r>
        <w:t xml:space="preserve">a </w:t>
      </w:r>
    </w:p>
    <w:p w14:paraId="14DB0567" w14:textId="77777777" w:rsidR="007C12C7" w:rsidRDefault="007C12C7"/>
    <w:p w14:paraId="316AFCBD" w14:textId="77777777" w:rsidR="007C12C7" w:rsidRDefault="003316E2">
      <w:pPr>
        <w:rPr>
          <w:b/>
          <w:bCs/>
        </w:rPr>
      </w:pPr>
      <w:proofErr w:type="spellStart"/>
      <w:r>
        <w:rPr>
          <w:b/>
          <w:bCs/>
        </w:rPr>
        <w:t>PragoData</w:t>
      </w:r>
      <w:proofErr w:type="spellEnd"/>
      <w:r>
        <w:rPr>
          <w:b/>
          <w:bCs/>
        </w:rPr>
        <w:t xml:space="preserve"> </w:t>
      </w:r>
      <w:proofErr w:type="spellStart"/>
      <w:r>
        <w:rPr>
          <w:b/>
          <w:bCs/>
        </w:rPr>
        <w:t>Consulting</w:t>
      </w:r>
      <w:proofErr w:type="spellEnd"/>
      <w:r>
        <w:rPr>
          <w:b/>
          <w:bCs/>
        </w:rPr>
        <w:t>, s.r.o.</w:t>
      </w:r>
    </w:p>
    <w:p w14:paraId="706E9A9A" w14:textId="77777777" w:rsidR="007C12C7" w:rsidRDefault="003316E2">
      <w:r>
        <w:t xml:space="preserve">Se sídlem: </w:t>
      </w:r>
      <w:r>
        <w:tab/>
      </w:r>
      <w:r>
        <w:tab/>
      </w:r>
      <w:r>
        <w:tab/>
        <w:t>Vranovská 1570/61, 614 00 Brno</w:t>
      </w:r>
    </w:p>
    <w:p w14:paraId="5E2DEBC5" w14:textId="77777777" w:rsidR="007C12C7" w:rsidRDefault="003316E2">
      <w:r>
        <w:t xml:space="preserve">Zastoupená: </w:t>
      </w:r>
      <w:r>
        <w:tab/>
      </w:r>
      <w:r>
        <w:tab/>
      </w:r>
      <w:r>
        <w:tab/>
        <w:t xml:space="preserve">Ing. Jaroslavem </w:t>
      </w:r>
      <w:proofErr w:type="spellStart"/>
      <w:r>
        <w:t>Hindrou</w:t>
      </w:r>
      <w:proofErr w:type="spellEnd"/>
      <w:r>
        <w:t>, jednatelem</w:t>
      </w:r>
    </w:p>
    <w:p w14:paraId="22BADF14" w14:textId="77777777" w:rsidR="007C12C7" w:rsidRDefault="003316E2">
      <w:r>
        <w:t xml:space="preserve">IČO: </w:t>
      </w:r>
      <w:r>
        <w:tab/>
      </w:r>
      <w:r>
        <w:tab/>
      </w:r>
      <w:r>
        <w:tab/>
      </w:r>
      <w:r>
        <w:tab/>
        <w:t>45280576</w:t>
      </w:r>
    </w:p>
    <w:p w14:paraId="760CB510" w14:textId="77777777" w:rsidR="007C12C7" w:rsidRDefault="003316E2">
      <w:r>
        <w:t xml:space="preserve">DIČ: </w:t>
      </w:r>
      <w:r>
        <w:tab/>
      </w:r>
      <w:r>
        <w:tab/>
      </w:r>
      <w:r>
        <w:tab/>
      </w:r>
      <w:r>
        <w:tab/>
        <w:t>CZ45280576</w:t>
      </w:r>
    </w:p>
    <w:p w14:paraId="608B2CDC" w14:textId="77777777" w:rsidR="007C12C7" w:rsidRDefault="003316E2">
      <w:pPr>
        <w:ind w:left="2832" w:hanging="2832"/>
      </w:pPr>
      <w:r>
        <w:t>Zapsaná:</w:t>
      </w:r>
      <w:r>
        <w:tab/>
        <w:t>v obchodním rejstříku u Krajského soudu v Brně oddíl C, vložka 48877</w:t>
      </w:r>
    </w:p>
    <w:p w14:paraId="5644CC1D" w14:textId="77777777" w:rsidR="007C12C7" w:rsidRDefault="003316E2">
      <w:r>
        <w:t xml:space="preserve">Bankovní spojení: </w:t>
      </w:r>
      <w:r>
        <w:tab/>
      </w:r>
      <w:r>
        <w:tab/>
      </w:r>
      <w:proofErr w:type="spellStart"/>
      <w:r>
        <w:t>UniCredit</w:t>
      </w:r>
      <w:proofErr w:type="spellEnd"/>
      <w:r>
        <w:t xml:space="preserve"> Bank</w:t>
      </w:r>
    </w:p>
    <w:p w14:paraId="2857465C" w14:textId="3C92CD60" w:rsidR="007C12C7" w:rsidRDefault="003316E2">
      <w:r>
        <w:t xml:space="preserve">Číslo účtu: </w:t>
      </w:r>
      <w:r>
        <w:tab/>
      </w:r>
      <w:r>
        <w:tab/>
      </w:r>
      <w:r>
        <w:tab/>
      </w:r>
      <w:r w:rsidR="00717DFB">
        <w:t>XXX</w:t>
      </w:r>
      <w:r>
        <w:t xml:space="preserve">                     </w:t>
      </w:r>
    </w:p>
    <w:p w14:paraId="3732F863" w14:textId="77777777" w:rsidR="007C12C7" w:rsidRDefault="003316E2">
      <w:r>
        <w:t xml:space="preserve">ID datové schránky: </w:t>
      </w:r>
      <w:r>
        <w:tab/>
      </w:r>
      <w:r>
        <w:tab/>
        <w:t>pufudv4</w:t>
      </w:r>
    </w:p>
    <w:p w14:paraId="396FB3F3" w14:textId="77777777" w:rsidR="007C12C7" w:rsidRDefault="003316E2">
      <w:r>
        <w:tab/>
      </w:r>
    </w:p>
    <w:p w14:paraId="0D573DC8" w14:textId="77777777" w:rsidR="007C12C7" w:rsidRDefault="003316E2">
      <w:r>
        <w:t>(dále jen Poskytovatel)</w:t>
      </w:r>
    </w:p>
    <w:p w14:paraId="66E9E697" w14:textId="77777777" w:rsidR="007C12C7" w:rsidRDefault="003316E2">
      <w:pPr>
        <w:pStyle w:val="Smlouva1"/>
        <w:numPr>
          <w:ilvl w:val="0"/>
          <w:numId w:val="4"/>
        </w:numPr>
        <w:rPr>
          <w:rFonts w:ascii="Times New Roman" w:hAnsi="Times New Roman"/>
          <w:caps/>
          <w:lang w:val="cs-CZ"/>
        </w:rPr>
      </w:pPr>
      <w:bookmarkStart w:id="6" w:name="_Toc336961143"/>
      <w:bookmarkStart w:id="7" w:name="_Toc234218422"/>
      <w:bookmarkStart w:id="8" w:name="_Toc230569768"/>
      <w:bookmarkStart w:id="9" w:name="_Toc230514565"/>
      <w:bookmarkStart w:id="10" w:name="_Toc220903475"/>
      <w:r>
        <w:rPr>
          <w:rFonts w:ascii="Times New Roman" w:hAnsi="Times New Roman"/>
          <w:caps/>
          <w:lang w:val="cs-CZ"/>
        </w:rPr>
        <w:t>Úvodní ustanovení</w:t>
      </w:r>
      <w:bookmarkEnd w:id="6"/>
      <w:bookmarkEnd w:id="7"/>
      <w:bookmarkEnd w:id="8"/>
      <w:bookmarkEnd w:id="9"/>
      <w:bookmarkEnd w:id="10"/>
    </w:p>
    <w:p w14:paraId="36400CE4" w14:textId="77777777" w:rsidR="007C12C7" w:rsidRDefault="003316E2">
      <w:pPr>
        <w:pStyle w:val="Smlouva2"/>
        <w:numPr>
          <w:ilvl w:val="1"/>
          <w:numId w:val="4"/>
        </w:numPr>
        <w:rPr>
          <w:lang w:val="cs-CZ"/>
        </w:rPr>
      </w:pPr>
      <w:bookmarkStart w:id="11" w:name="_Toc234218424"/>
      <w:bookmarkStart w:id="12" w:name="_Toc230569770"/>
      <w:bookmarkStart w:id="13" w:name="_Toc230514567"/>
      <w:r>
        <w:rPr>
          <w:lang w:val="cs-CZ"/>
        </w:rPr>
        <w:t xml:space="preserve">Smluvní strany prohlašují, že údaje uvedené v čl. </w:t>
      </w:r>
      <w:r>
        <w:rPr>
          <w:lang w:val="cs-CZ"/>
        </w:rPr>
        <w:fldChar w:fldCharType="begin"/>
      </w:r>
      <w:r>
        <w:rPr>
          <w:lang w:val="cs-CZ"/>
        </w:rPr>
        <w:instrText>REF _Ref220373416 \r \h</w:instrText>
      </w:r>
      <w:r>
        <w:rPr>
          <w:lang w:val="cs-CZ"/>
        </w:rPr>
      </w:r>
      <w:r>
        <w:rPr>
          <w:lang w:val="cs-CZ"/>
        </w:rPr>
        <w:fldChar w:fldCharType="separate"/>
      </w:r>
      <w:r>
        <w:rPr>
          <w:lang w:val="cs-CZ"/>
        </w:rPr>
        <w:t>1</w:t>
      </w:r>
      <w:r>
        <w:rPr>
          <w:lang w:val="cs-CZ"/>
        </w:rPr>
        <w:fldChar w:fldCharType="end"/>
      </w:r>
      <w:r>
        <w:rPr>
          <w:lang w:val="cs-CZ"/>
        </w:rPr>
        <w:t xml:space="preserve"> této smlouvy (dále jen „Smlouva“) jsou v souladu s právní skutečností v době uzavření Smlouvy. Strany prohlašují, že osoby podepisující tuto Smlouvu jsou k tomuto úkonu oprávněny.</w:t>
      </w:r>
      <w:bookmarkEnd w:id="11"/>
      <w:bookmarkEnd w:id="12"/>
      <w:bookmarkEnd w:id="13"/>
    </w:p>
    <w:p w14:paraId="523B5F18" w14:textId="77777777" w:rsidR="007C12C7" w:rsidRDefault="003316E2">
      <w:pPr>
        <w:pStyle w:val="Smlouva2"/>
        <w:numPr>
          <w:ilvl w:val="1"/>
          <w:numId w:val="4"/>
        </w:numPr>
        <w:rPr>
          <w:lang w:val="cs-CZ"/>
        </w:rPr>
      </w:pPr>
      <w:r>
        <w:rPr>
          <w:lang w:val="cs-CZ"/>
        </w:rPr>
        <w:t>Poskytovatel je odborně způsobilý k zajištění předmětu plnění podle Smlouvy.</w:t>
      </w:r>
    </w:p>
    <w:p w14:paraId="4ABBF482" w14:textId="77777777" w:rsidR="007C12C7" w:rsidRDefault="003316E2">
      <w:pPr>
        <w:pStyle w:val="Smlouva1"/>
        <w:numPr>
          <w:ilvl w:val="0"/>
          <w:numId w:val="4"/>
        </w:numPr>
        <w:rPr>
          <w:rFonts w:ascii="Times New Roman" w:hAnsi="Times New Roman"/>
          <w:caps/>
          <w:lang w:val="cs-CZ"/>
        </w:rPr>
      </w:pPr>
      <w:bookmarkStart w:id="14" w:name="_Toc336961144"/>
      <w:bookmarkStart w:id="15" w:name="_Toc234218425"/>
      <w:bookmarkStart w:id="16" w:name="_Toc230569771"/>
      <w:bookmarkStart w:id="17" w:name="_Toc230514568"/>
      <w:bookmarkStart w:id="18" w:name="_Toc220903476"/>
      <w:r>
        <w:rPr>
          <w:rFonts w:ascii="Times New Roman" w:hAnsi="Times New Roman"/>
          <w:caps/>
          <w:lang w:val="cs-CZ"/>
        </w:rPr>
        <w:lastRenderedPageBreak/>
        <w:t>Předmět smlouvy</w:t>
      </w:r>
      <w:bookmarkEnd w:id="14"/>
      <w:bookmarkEnd w:id="15"/>
      <w:bookmarkEnd w:id="16"/>
      <w:bookmarkEnd w:id="17"/>
      <w:bookmarkEnd w:id="18"/>
    </w:p>
    <w:p w14:paraId="27A0026F" w14:textId="77777777" w:rsidR="007C12C7" w:rsidRDefault="003316E2">
      <w:pPr>
        <w:pStyle w:val="Smlouva2"/>
        <w:numPr>
          <w:ilvl w:val="1"/>
          <w:numId w:val="4"/>
        </w:numPr>
        <w:rPr>
          <w:lang w:val="cs-CZ"/>
        </w:rPr>
      </w:pPr>
      <w:r>
        <w:rPr>
          <w:lang w:val="cs-CZ"/>
        </w:rPr>
        <w:t xml:space="preserve">Poskytovatel se zavazuje poskytovat na svůj náklad a nebezpečí řádně a včas dále specifikované služby (dále jen „Služby“) a Objednatel se zavazuje zaplatit za řádně a včasně poskytnuté Služby sjednanou cenu. </w:t>
      </w:r>
    </w:p>
    <w:p w14:paraId="408A22AF" w14:textId="77777777" w:rsidR="007C12C7" w:rsidRDefault="003316E2">
      <w:pPr>
        <w:pStyle w:val="Smlouva2"/>
        <w:numPr>
          <w:ilvl w:val="1"/>
          <w:numId w:val="4"/>
        </w:numPr>
        <w:rPr>
          <w:lang w:val="cs-CZ"/>
        </w:rPr>
      </w:pPr>
      <w:r>
        <w:rPr>
          <w:lang w:val="cs-CZ"/>
        </w:rPr>
        <w:t xml:space="preserve">Předmětem Smlouvy je poskytnutí Služeb podpory produktivního provozu </w:t>
      </w:r>
      <w:r>
        <w:t>k softwarovému produktu LMS ZCU</w:t>
      </w:r>
      <w:r>
        <w:rPr>
          <w:lang w:val="cs-CZ"/>
        </w:rPr>
        <w:t xml:space="preserve"> </w:t>
      </w:r>
      <w:r>
        <w:t>provozovanému Centr</w:t>
      </w:r>
      <w:r>
        <w:rPr>
          <w:lang w:val="cs-CZ"/>
        </w:rPr>
        <w:t>e</w:t>
      </w:r>
      <w:r>
        <w:t xml:space="preserve">m informatizace a výpočetní techniky ZČU </w:t>
      </w:r>
      <w:r>
        <w:rPr>
          <w:lang w:val="cs-CZ"/>
        </w:rPr>
        <w:t xml:space="preserve">(dále také „systém“) v rozsahu: </w:t>
      </w:r>
    </w:p>
    <w:p w14:paraId="0E615C8F" w14:textId="77777777" w:rsidR="007C12C7" w:rsidRDefault="003316E2">
      <w:pPr>
        <w:pStyle w:val="Smlouva2"/>
        <w:numPr>
          <w:ilvl w:val="2"/>
          <w:numId w:val="4"/>
        </w:numPr>
        <w:spacing w:before="60" w:after="60"/>
        <w:rPr>
          <w:lang w:val="cs-CZ"/>
        </w:rPr>
      </w:pPr>
      <w:r>
        <w:rPr>
          <w:lang w:val="cs-CZ"/>
        </w:rPr>
        <w:t xml:space="preserve">Software/aplikační </w:t>
      </w:r>
      <w:proofErr w:type="spellStart"/>
      <w:r>
        <w:rPr>
          <w:lang w:val="cs-CZ"/>
        </w:rPr>
        <w:t>maintenance</w:t>
      </w:r>
      <w:proofErr w:type="spellEnd"/>
      <w:r>
        <w:rPr>
          <w:lang w:val="cs-CZ"/>
        </w:rPr>
        <w:t xml:space="preserve"> a Incident Management</w:t>
      </w:r>
    </w:p>
    <w:p w14:paraId="48288A47" w14:textId="77777777" w:rsidR="007C12C7" w:rsidRDefault="003316E2">
      <w:pPr>
        <w:pStyle w:val="Smlouva2"/>
        <w:numPr>
          <w:ilvl w:val="2"/>
          <w:numId w:val="4"/>
        </w:numPr>
        <w:spacing w:before="60" w:after="60"/>
        <w:rPr>
          <w:lang w:val="cs-CZ"/>
        </w:rPr>
      </w:pPr>
      <w:proofErr w:type="spellStart"/>
      <w:r>
        <w:rPr>
          <w:lang w:val="cs-CZ"/>
        </w:rPr>
        <w:t>Change</w:t>
      </w:r>
      <w:proofErr w:type="spellEnd"/>
      <w:r>
        <w:rPr>
          <w:lang w:val="cs-CZ"/>
        </w:rPr>
        <w:t xml:space="preserve"> management</w:t>
      </w:r>
    </w:p>
    <w:p w14:paraId="564DA5B3" w14:textId="77777777" w:rsidR="007C12C7" w:rsidRDefault="003316E2">
      <w:pPr>
        <w:pStyle w:val="Smlouva2"/>
        <w:numPr>
          <w:ilvl w:val="2"/>
          <w:numId w:val="4"/>
        </w:numPr>
        <w:spacing w:before="60" w:after="60"/>
        <w:rPr>
          <w:lang w:val="cs-CZ"/>
        </w:rPr>
      </w:pPr>
      <w:r>
        <w:rPr>
          <w:lang w:val="cs-CZ"/>
        </w:rPr>
        <w:t>Support klíčových uživatelů - 15 hod/kvartál</w:t>
      </w:r>
      <w:bookmarkStart w:id="19" w:name="_Hlk484071872"/>
      <w:bookmarkEnd w:id="19"/>
    </w:p>
    <w:p w14:paraId="7BDAB10B" w14:textId="77777777" w:rsidR="007C12C7" w:rsidRDefault="003316E2">
      <w:pPr>
        <w:pStyle w:val="Smlouva2"/>
        <w:numPr>
          <w:ilvl w:val="1"/>
          <w:numId w:val="4"/>
        </w:numPr>
        <w:rPr>
          <w:lang w:val="cs-CZ"/>
        </w:rPr>
      </w:pPr>
      <w:r>
        <w:rPr>
          <w:lang w:val="cs-CZ"/>
        </w:rPr>
        <w:t>Detailní popis služeb a výpočet skutečně dosažené dostupnosti je uveden v příloze č. 1 této Smlouvy.</w:t>
      </w:r>
      <w:bookmarkStart w:id="20" w:name="_Toc234218427"/>
      <w:bookmarkStart w:id="21" w:name="_Toc230569775"/>
      <w:bookmarkStart w:id="22" w:name="_Toc230514571"/>
      <w:bookmarkStart w:id="23" w:name="_Toc220903477"/>
      <w:bookmarkStart w:id="24" w:name="_Toc264880045"/>
      <w:bookmarkStart w:id="25" w:name="_Toc261874099"/>
      <w:bookmarkStart w:id="26" w:name="_Toc261871854"/>
      <w:bookmarkStart w:id="27" w:name="_Toc261863987"/>
      <w:bookmarkEnd w:id="20"/>
      <w:bookmarkEnd w:id="21"/>
      <w:bookmarkEnd w:id="22"/>
      <w:bookmarkEnd w:id="23"/>
      <w:bookmarkEnd w:id="24"/>
      <w:bookmarkEnd w:id="25"/>
      <w:bookmarkEnd w:id="26"/>
      <w:bookmarkEnd w:id="27"/>
    </w:p>
    <w:p w14:paraId="0FC6FE37" w14:textId="77777777" w:rsidR="007C12C7" w:rsidRDefault="003316E2">
      <w:pPr>
        <w:pStyle w:val="Smlouva1"/>
        <w:numPr>
          <w:ilvl w:val="0"/>
          <w:numId w:val="4"/>
        </w:numPr>
        <w:rPr>
          <w:rFonts w:ascii="Times New Roman" w:hAnsi="Times New Roman"/>
          <w:caps/>
          <w:lang w:val="cs-CZ"/>
        </w:rPr>
      </w:pPr>
      <w:r>
        <w:rPr>
          <w:rFonts w:ascii="Times New Roman" w:hAnsi="Times New Roman"/>
          <w:caps/>
          <w:lang w:val="cs-CZ"/>
        </w:rPr>
        <w:t>Místo poskytování služeb</w:t>
      </w:r>
    </w:p>
    <w:p w14:paraId="60134A56" w14:textId="77777777" w:rsidR="007C12C7" w:rsidRDefault="003316E2">
      <w:pPr>
        <w:pStyle w:val="Smlouva2"/>
        <w:numPr>
          <w:ilvl w:val="1"/>
          <w:numId w:val="4"/>
        </w:numPr>
        <w:rPr>
          <w:lang w:val="cs-CZ"/>
        </w:rPr>
      </w:pPr>
      <w:r>
        <w:rPr>
          <w:lang w:val="cs-CZ"/>
        </w:rPr>
        <w:t xml:space="preserve">Služby jsou poskytovány v sídle Objednatele, nebo vzdáleně prostřednictvím VPN. Provozovaný systém je dostupný přes síť Internet na adrese </w:t>
      </w:r>
      <w:hyperlink r:id="rId7">
        <w:r>
          <w:rPr>
            <w:rStyle w:val="Hypertextovodkaz"/>
            <w:lang w:val="cs-CZ"/>
          </w:rPr>
          <w:t>https://phix.zcu.cz/moodle/</w:t>
        </w:r>
      </w:hyperlink>
      <w:r>
        <w:rPr>
          <w:lang w:val="cs-CZ"/>
        </w:rPr>
        <w:t xml:space="preserve">. </w:t>
      </w:r>
    </w:p>
    <w:p w14:paraId="5F17B496" w14:textId="77777777" w:rsidR="007C12C7" w:rsidRDefault="003316E2">
      <w:pPr>
        <w:pStyle w:val="Smlouva1"/>
        <w:numPr>
          <w:ilvl w:val="0"/>
          <w:numId w:val="4"/>
        </w:numPr>
        <w:rPr>
          <w:rFonts w:ascii="Times New Roman" w:hAnsi="Times New Roman"/>
          <w:caps/>
          <w:lang w:val="cs-CZ"/>
        </w:rPr>
      </w:pPr>
      <w:bookmarkStart w:id="28" w:name="_Toc234218429"/>
      <w:bookmarkStart w:id="29" w:name="_Toc230569777"/>
      <w:bookmarkStart w:id="30" w:name="_Toc230514573"/>
      <w:bookmarkStart w:id="31" w:name="_Ref223161633"/>
      <w:bookmarkStart w:id="32" w:name="_Toc234218431"/>
      <w:bookmarkStart w:id="33" w:name="_Toc230569779"/>
      <w:bookmarkStart w:id="34" w:name="_Toc230514575"/>
      <w:bookmarkStart w:id="35" w:name="_Toc220903478"/>
      <w:bookmarkStart w:id="36" w:name="_Toc336961146"/>
      <w:bookmarkEnd w:id="28"/>
      <w:bookmarkEnd w:id="29"/>
      <w:bookmarkEnd w:id="30"/>
      <w:bookmarkEnd w:id="31"/>
      <w:r>
        <w:rPr>
          <w:rFonts w:ascii="Times New Roman" w:hAnsi="Times New Roman"/>
          <w:caps/>
          <w:lang w:val="cs-CZ"/>
        </w:rPr>
        <w:t>Cena</w:t>
      </w:r>
      <w:bookmarkEnd w:id="32"/>
      <w:bookmarkEnd w:id="33"/>
      <w:bookmarkEnd w:id="34"/>
      <w:bookmarkEnd w:id="35"/>
      <w:r>
        <w:rPr>
          <w:rFonts w:ascii="Times New Roman" w:hAnsi="Times New Roman"/>
          <w:caps/>
          <w:lang w:val="cs-CZ"/>
        </w:rPr>
        <w:t xml:space="preserve"> </w:t>
      </w:r>
      <w:bookmarkEnd w:id="36"/>
      <w:r>
        <w:rPr>
          <w:rFonts w:ascii="Times New Roman" w:hAnsi="Times New Roman"/>
          <w:caps/>
          <w:lang w:val="cs-CZ"/>
        </w:rPr>
        <w:t>SLUŽEB</w:t>
      </w:r>
    </w:p>
    <w:p w14:paraId="2B77B530" w14:textId="77777777" w:rsidR="007C12C7" w:rsidRDefault="003316E2">
      <w:pPr>
        <w:pStyle w:val="Smlouva2"/>
        <w:numPr>
          <w:ilvl w:val="1"/>
          <w:numId w:val="4"/>
        </w:numPr>
        <w:rPr>
          <w:lang w:val="cs-CZ"/>
        </w:rPr>
      </w:pPr>
      <w:bookmarkStart w:id="37" w:name="_Ref471505866"/>
      <w:r>
        <w:rPr>
          <w:lang w:val="cs-CZ"/>
        </w:rPr>
        <w:t xml:space="preserve">Cena služby Software/aplikační </w:t>
      </w:r>
      <w:proofErr w:type="spellStart"/>
      <w:r>
        <w:rPr>
          <w:lang w:val="cs-CZ"/>
        </w:rPr>
        <w:t>maintenance</w:t>
      </w:r>
      <w:proofErr w:type="spellEnd"/>
      <w:r>
        <w:rPr>
          <w:lang w:val="cs-CZ"/>
        </w:rPr>
        <w:t xml:space="preserve"> a Incident Management dle čl. 3.2.1 této Smlouvy činí 198 000,- Kč bez DPH ročně.</w:t>
      </w:r>
      <w:bookmarkEnd w:id="37"/>
    </w:p>
    <w:p w14:paraId="2A6EABFC" w14:textId="77777777" w:rsidR="007C12C7" w:rsidRDefault="003316E2">
      <w:pPr>
        <w:pStyle w:val="Smlouva2"/>
        <w:numPr>
          <w:ilvl w:val="1"/>
          <w:numId w:val="4"/>
        </w:numPr>
        <w:rPr>
          <w:lang w:val="cs-CZ"/>
        </w:rPr>
      </w:pPr>
      <w:r>
        <w:rPr>
          <w:lang w:val="cs-CZ"/>
        </w:rPr>
        <w:t xml:space="preserve">Cena služby </w:t>
      </w:r>
      <w:proofErr w:type="spellStart"/>
      <w:r>
        <w:rPr>
          <w:lang w:val="cs-CZ"/>
        </w:rPr>
        <w:t>Change</w:t>
      </w:r>
      <w:proofErr w:type="spellEnd"/>
      <w:r>
        <w:rPr>
          <w:lang w:val="cs-CZ"/>
        </w:rPr>
        <w:t xml:space="preserve"> managementu dle čl. 3.2.2 činí 14 000,- Kč za </w:t>
      </w:r>
      <w:proofErr w:type="spellStart"/>
      <w:r>
        <w:rPr>
          <w:lang w:val="cs-CZ"/>
        </w:rPr>
        <w:t>ManDay</w:t>
      </w:r>
      <w:proofErr w:type="spellEnd"/>
      <w:r>
        <w:rPr>
          <w:lang w:val="cs-CZ"/>
        </w:rPr>
        <w:t>. Služba je poskytována na základě samostatných objednávek, nebo písemných požadavků oprávněných osob.</w:t>
      </w:r>
    </w:p>
    <w:p w14:paraId="1905BE3E" w14:textId="4E16C27D" w:rsidR="008522FC" w:rsidRPr="008522FC" w:rsidRDefault="003316E2" w:rsidP="008522FC">
      <w:pPr>
        <w:pStyle w:val="Odstavecseseznamem"/>
        <w:numPr>
          <w:ilvl w:val="1"/>
          <w:numId w:val="4"/>
        </w:numPr>
        <w:rPr>
          <w:kern w:val="2"/>
          <w:lang w:val="cs-CZ" w:eastAsia="x-none"/>
        </w:rPr>
      </w:pPr>
      <w:r>
        <w:t>Cena služby Support klíčových uživatelů dle čl. 3.2.3 činí 22 500,- Kč bez DPH kvartálně.</w:t>
      </w:r>
      <w:r w:rsidR="008522FC">
        <w:t xml:space="preserve"> Služby čerpané </w:t>
      </w:r>
      <w:r w:rsidR="008522FC">
        <w:rPr>
          <w:lang w:val="cs-CZ"/>
        </w:rPr>
        <w:t xml:space="preserve">Objednatelem </w:t>
      </w:r>
      <w:r w:rsidR="008522FC">
        <w:t xml:space="preserve">nad rámec smluveného rozsahu budou </w:t>
      </w:r>
      <w:r w:rsidR="008522FC" w:rsidRPr="008522FC">
        <w:rPr>
          <w:kern w:val="2"/>
          <w:lang w:val="cs-CZ" w:eastAsia="x-none"/>
        </w:rPr>
        <w:t>kalkulován</w:t>
      </w:r>
      <w:r w:rsidR="008522FC">
        <w:rPr>
          <w:kern w:val="2"/>
          <w:lang w:val="cs-CZ" w:eastAsia="x-none"/>
        </w:rPr>
        <w:t>y</w:t>
      </w:r>
      <w:r w:rsidR="008522FC" w:rsidRPr="008522FC">
        <w:rPr>
          <w:kern w:val="2"/>
          <w:lang w:val="cs-CZ" w:eastAsia="x-none"/>
        </w:rPr>
        <w:t xml:space="preserve"> hodinovou sazbou 1.</w:t>
      </w:r>
      <w:r w:rsidR="008522FC">
        <w:rPr>
          <w:kern w:val="2"/>
          <w:lang w:val="cs-CZ" w:eastAsia="x-none"/>
        </w:rPr>
        <w:t>75</w:t>
      </w:r>
      <w:r w:rsidR="008522FC" w:rsidRPr="008522FC">
        <w:rPr>
          <w:kern w:val="2"/>
          <w:lang w:val="cs-CZ" w:eastAsia="x-none"/>
        </w:rPr>
        <w:t>0,- Kč/hod bez DPH.</w:t>
      </w:r>
    </w:p>
    <w:p w14:paraId="171014BF" w14:textId="77777777" w:rsidR="007C12C7" w:rsidRDefault="003316E2">
      <w:pPr>
        <w:pStyle w:val="Smlouva2"/>
        <w:numPr>
          <w:ilvl w:val="1"/>
          <w:numId w:val="4"/>
        </w:numPr>
        <w:rPr>
          <w:lang w:val="cs-CZ"/>
        </w:rPr>
      </w:pPr>
      <w:r>
        <w:rPr>
          <w:lang w:val="cs-CZ"/>
        </w:rPr>
        <w:t xml:space="preserve">Požadavky Objednatele na služby </w:t>
      </w:r>
      <w:proofErr w:type="spellStart"/>
      <w:r>
        <w:rPr>
          <w:lang w:val="cs-CZ"/>
        </w:rPr>
        <w:t>Change</w:t>
      </w:r>
      <w:proofErr w:type="spellEnd"/>
      <w:r>
        <w:rPr>
          <w:lang w:val="cs-CZ"/>
        </w:rPr>
        <w:t xml:space="preserve"> management (čl. 3.2.2), Poskytovatel ohodnotí pracností nejpozději do pěti (5) pracovních dnů od doručení požadavku Objednatele a navrhne rovněž termín či harmonogram plnění. Objednatel návrh akceptuje nebo zamítne do tří (3) pracovních dnů od doručení návrhu Poskytovatele. Poskytovatel zahájí plnění bez zbytečného prodlení a v souladu s odsouhlaseným harmonogramem po schválení Objednatelem. </w:t>
      </w:r>
    </w:p>
    <w:p w14:paraId="0494CD5F" w14:textId="69574710" w:rsidR="007C12C7" w:rsidRPr="006E5910" w:rsidRDefault="003316E2" w:rsidP="006E5910">
      <w:pPr>
        <w:pStyle w:val="Smlouva2"/>
        <w:numPr>
          <w:ilvl w:val="1"/>
          <w:numId w:val="4"/>
        </w:numPr>
        <w:rPr>
          <w:lang w:val="cs-CZ"/>
        </w:rPr>
      </w:pPr>
      <w:r>
        <w:rPr>
          <w:lang w:val="cs-CZ"/>
        </w:rPr>
        <w:t xml:space="preserve">Cena služeb nezahrnuje náklady na cestovné a stravné v přiměřené výši, pokud si řešení požadavku vyžádá výjezd technika do Objednatelem určeného místa mimo sídlo Poskytovatele za předpokladu, že takovéto náklady Objednatel předem písemně odsouhlasil. </w:t>
      </w:r>
    </w:p>
    <w:p w14:paraId="5B9765D7" w14:textId="77777777" w:rsidR="007C12C7" w:rsidRDefault="003316E2">
      <w:pPr>
        <w:pStyle w:val="Smlouva2"/>
        <w:numPr>
          <w:ilvl w:val="1"/>
          <w:numId w:val="4"/>
        </w:numPr>
        <w:rPr>
          <w:lang w:val="cs-CZ"/>
        </w:rPr>
      </w:pPr>
      <w:r>
        <w:rPr>
          <w:lang w:val="cs-CZ"/>
        </w:rPr>
        <w:t xml:space="preserve">Souhrnná částka všech Poskytovatelem fakturovaných plnění dle čl. 5 této Smlouvy nesmí přesáhnout roční finanční limit 500 000 Kč bez DPH. Poskytovatel je povinen Objednatele včas upozornit na blížící se vyčerpání tohoto finančního limitu a nepřijímat jakékoli další objednávky Objednatele, jejichž splněním by došlo k překročení uvedeného finančního limitu. </w:t>
      </w:r>
      <w:r>
        <w:rPr>
          <w:color w:val="000000"/>
        </w:rPr>
        <w:t>Objednatel zároveň není povinen hradit jakékoli další služby, jejichž zaplacením by došlo k překročení uvedeného finančního limitu.</w:t>
      </w:r>
    </w:p>
    <w:p w14:paraId="5A2AC903" w14:textId="77777777" w:rsidR="007C12C7" w:rsidRDefault="003316E2">
      <w:pPr>
        <w:pStyle w:val="Smlouva1"/>
        <w:numPr>
          <w:ilvl w:val="0"/>
          <w:numId w:val="4"/>
        </w:numPr>
        <w:rPr>
          <w:rFonts w:ascii="Times New Roman" w:hAnsi="Times New Roman"/>
          <w:caps/>
          <w:lang w:val="cs-CZ"/>
        </w:rPr>
      </w:pPr>
      <w:bookmarkStart w:id="38" w:name="_Toc260931849"/>
      <w:bookmarkStart w:id="39" w:name="_Toc260920990"/>
      <w:bookmarkStart w:id="40" w:name="_Toc336961147"/>
      <w:bookmarkStart w:id="41" w:name="_Toc234218434"/>
      <w:bookmarkStart w:id="42" w:name="_Toc230569783"/>
      <w:bookmarkStart w:id="43" w:name="_Toc230514579"/>
      <w:bookmarkStart w:id="44" w:name="_Toc220903479"/>
      <w:bookmarkEnd w:id="38"/>
      <w:bookmarkEnd w:id="39"/>
      <w:r>
        <w:rPr>
          <w:rFonts w:ascii="Times New Roman" w:hAnsi="Times New Roman"/>
          <w:caps/>
          <w:lang w:val="cs-CZ"/>
        </w:rPr>
        <w:lastRenderedPageBreak/>
        <w:t>Platební podmínky</w:t>
      </w:r>
      <w:bookmarkEnd w:id="40"/>
      <w:bookmarkEnd w:id="41"/>
      <w:bookmarkEnd w:id="42"/>
      <w:bookmarkEnd w:id="43"/>
      <w:bookmarkEnd w:id="44"/>
    </w:p>
    <w:p w14:paraId="366E651D" w14:textId="544E1AC3" w:rsidR="007C12C7" w:rsidRDefault="003316E2">
      <w:pPr>
        <w:pStyle w:val="Smlouva2"/>
        <w:numPr>
          <w:ilvl w:val="1"/>
          <w:numId w:val="4"/>
        </w:numPr>
        <w:rPr>
          <w:lang w:val="cs-CZ"/>
        </w:rPr>
      </w:pPr>
      <w:r>
        <w:rPr>
          <w:lang w:val="cs-CZ"/>
        </w:rPr>
        <w:t xml:space="preserve">Celkovou cenu Služeb dle čl. </w:t>
      </w:r>
      <w:r>
        <w:rPr>
          <w:lang w:val="cs-CZ"/>
        </w:rPr>
        <w:fldChar w:fldCharType="begin"/>
      </w:r>
      <w:r>
        <w:rPr>
          <w:lang w:val="cs-CZ"/>
        </w:rPr>
        <w:instrText>REF _Ref471505866 \r \h</w:instrText>
      </w:r>
      <w:r>
        <w:rPr>
          <w:lang w:val="cs-CZ"/>
        </w:rPr>
      </w:r>
      <w:r>
        <w:rPr>
          <w:lang w:val="cs-CZ"/>
        </w:rPr>
        <w:fldChar w:fldCharType="separate"/>
      </w:r>
      <w:r>
        <w:rPr>
          <w:lang w:val="cs-CZ"/>
        </w:rPr>
        <w:t>5.1</w:t>
      </w:r>
      <w:r>
        <w:rPr>
          <w:lang w:val="cs-CZ"/>
        </w:rPr>
        <w:fldChar w:fldCharType="end"/>
      </w:r>
      <w:r>
        <w:rPr>
          <w:lang w:val="cs-CZ"/>
        </w:rPr>
        <w:t xml:space="preserve"> této Smlouvy se Objednatel zavazuje zaplatit v ročních platbách, vždy na začátku běžného roku na základě faktury vystavené a doručené Objednateli. </w:t>
      </w:r>
    </w:p>
    <w:p w14:paraId="4429C807" w14:textId="77777777" w:rsidR="007C12C7" w:rsidRDefault="003316E2">
      <w:pPr>
        <w:pStyle w:val="Smlouva2"/>
        <w:numPr>
          <w:ilvl w:val="1"/>
          <w:numId w:val="4"/>
        </w:numPr>
        <w:rPr>
          <w:lang w:val="cs-CZ"/>
        </w:rPr>
      </w:pPr>
      <w:r>
        <w:rPr>
          <w:lang w:val="cs-CZ"/>
        </w:rPr>
        <w:t>Celkovou cenu Služeb dle čl. 5.2 této Smlouvy se Objednatel zavazuje zaplatit vždy po akceptaci předaného plnění, a to na základě faktury vystavené a doručené Objednateli.</w:t>
      </w:r>
    </w:p>
    <w:p w14:paraId="11EB7AC1" w14:textId="4E0700F7" w:rsidR="007C12C7" w:rsidRDefault="003316E2">
      <w:pPr>
        <w:pStyle w:val="Smlouva2"/>
        <w:numPr>
          <w:ilvl w:val="1"/>
          <w:numId w:val="4"/>
        </w:numPr>
        <w:rPr>
          <w:lang w:val="cs-CZ"/>
        </w:rPr>
      </w:pPr>
      <w:r>
        <w:rPr>
          <w:lang w:val="cs-CZ"/>
        </w:rPr>
        <w:t xml:space="preserve">Celkovou cenu Služeb dle čl. </w:t>
      </w:r>
      <w:r w:rsidR="00A3654C">
        <w:rPr>
          <w:lang w:val="cs-CZ"/>
        </w:rPr>
        <w:fldChar w:fldCharType="begin"/>
      </w:r>
      <w:r w:rsidR="00A3654C">
        <w:rPr>
          <w:lang w:val="cs-CZ"/>
        </w:rPr>
        <w:instrText>REF _Ref471505866 \r \h</w:instrText>
      </w:r>
      <w:r w:rsidR="00A3654C">
        <w:rPr>
          <w:lang w:val="cs-CZ"/>
        </w:rPr>
      </w:r>
      <w:r w:rsidR="00A3654C">
        <w:rPr>
          <w:lang w:val="cs-CZ"/>
        </w:rPr>
        <w:fldChar w:fldCharType="separate"/>
      </w:r>
      <w:r w:rsidR="00A3654C">
        <w:rPr>
          <w:lang w:val="cs-CZ"/>
        </w:rPr>
        <w:t>5.3</w:t>
      </w:r>
      <w:r w:rsidR="00A3654C">
        <w:rPr>
          <w:lang w:val="cs-CZ"/>
        </w:rPr>
        <w:fldChar w:fldCharType="end"/>
      </w:r>
      <w:r w:rsidR="00A3654C">
        <w:rPr>
          <w:lang w:val="cs-CZ"/>
        </w:rPr>
        <w:t xml:space="preserve"> </w:t>
      </w:r>
      <w:r>
        <w:rPr>
          <w:lang w:val="cs-CZ"/>
        </w:rPr>
        <w:t xml:space="preserve">této Smlouvy se Objednatel zavazuje zaplatit ve čtvrtletních platbách, vždy na začátku běžného čtvrtletí na základě faktury vystavené a doručené Objednateli. </w:t>
      </w:r>
    </w:p>
    <w:p w14:paraId="11D0F929" w14:textId="77B4237C" w:rsidR="007C12C7" w:rsidRDefault="003316E2">
      <w:pPr>
        <w:pStyle w:val="Smlouva2"/>
        <w:numPr>
          <w:ilvl w:val="1"/>
          <w:numId w:val="4"/>
        </w:numPr>
        <w:rPr>
          <w:lang w:val="cs-CZ"/>
        </w:rPr>
      </w:pPr>
      <w:r>
        <w:rPr>
          <w:lang w:val="cs-CZ"/>
        </w:rPr>
        <w:t>Faktura bude mít náležitosti daňového dokladu dle zákona č. 235/2004 Sb., o dani z přidané hodnoty, ve znění pozdějších předpisů.</w:t>
      </w:r>
    </w:p>
    <w:p w14:paraId="18F35278" w14:textId="688DA7D7" w:rsidR="007C12C7" w:rsidRDefault="003316E2">
      <w:pPr>
        <w:pStyle w:val="Smlouva2"/>
        <w:numPr>
          <w:ilvl w:val="1"/>
          <w:numId w:val="4"/>
        </w:numPr>
        <w:rPr>
          <w:lang w:val="cs-CZ"/>
        </w:rPr>
      </w:pPr>
      <w:r>
        <w:rPr>
          <w:lang w:val="cs-CZ"/>
        </w:rPr>
        <w:t xml:space="preserve">Cena za poskytování Služeb je splatná do třiceti (30) kalendářních dnů od doručení faktury Objednateli. Faktura bude doručena v elektronické formě, ve formátu </w:t>
      </w:r>
      <w:proofErr w:type="spellStart"/>
      <w:r>
        <w:rPr>
          <w:lang w:val="cs-CZ"/>
        </w:rPr>
        <w:t>pdf</w:t>
      </w:r>
      <w:proofErr w:type="spellEnd"/>
      <w:r>
        <w:rPr>
          <w:lang w:val="cs-CZ"/>
        </w:rPr>
        <w:t>, na e-mailovou adresu</w:t>
      </w:r>
      <w:r w:rsidR="006E5910">
        <w:rPr>
          <w:lang w:val="cs-CZ"/>
        </w:rPr>
        <w:t>:</w:t>
      </w:r>
      <w:r>
        <w:rPr>
          <w:lang w:val="cs-CZ"/>
        </w:rPr>
        <w:t xml:space="preserve"> </w:t>
      </w:r>
      <w:r w:rsidR="00717DFB">
        <w:rPr>
          <w:lang w:val="cs-CZ"/>
        </w:rPr>
        <w:t>XXX</w:t>
      </w:r>
      <w:r w:rsidRPr="006E5910">
        <w:rPr>
          <w:lang w:val="cs-CZ"/>
        </w:rPr>
        <w:t>.</w:t>
      </w:r>
    </w:p>
    <w:p w14:paraId="49AF7E64" w14:textId="77777777" w:rsidR="007C12C7" w:rsidRDefault="003316E2">
      <w:pPr>
        <w:pStyle w:val="Smlouva2"/>
        <w:numPr>
          <w:ilvl w:val="1"/>
          <w:numId w:val="4"/>
        </w:numPr>
        <w:rPr>
          <w:lang w:val="cs-CZ"/>
        </w:rPr>
      </w:pPr>
      <w:r>
        <w:rPr>
          <w:lang w:val="cs-CZ"/>
        </w:rPr>
        <w:t>Daňový doklad (faktura) bude uhrazen bankovním převodem na účet Poskytovatele uvedený v čl. 1 této Smlouvy.</w:t>
      </w:r>
    </w:p>
    <w:p w14:paraId="6C909007" w14:textId="77777777" w:rsidR="007C12C7" w:rsidRDefault="003316E2">
      <w:pPr>
        <w:pStyle w:val="Smlouva1"/>
        <w:numPr>
          <w:ilvl w:val="0"/>
          <w:numId w:val="4"/>
        </w:numPr>
        <w:rPr>
          <w:rFonts w:ascii="Times New Roman" w:hAnsi="Times New Roman"/>
          <w:lang w:val="cs-CZ"/>
        </w:rPr>
      </w:pPr>
      <w:bookmarkStart w:id="45" w:name="_Toc234218435"/>
      <w:bookmarkStart w:id="46" w:name="_Toc230569784"/>
      <w:bookmarkStart w:id="47" w:name="_Toc230514580"/>
      <w:bookmarkStart w:id="48" w:name="_Toc291630585"/>
      <w:bookmarkStart w:id="49" w:name="_Toc373445358"/>
      <w:bookmarkStart w:id="50" w:name="_Toc372197358"/>
      <w:bookmarkStart w:id="51" w:name="_Toc361840306"/>
      <w:bookmarkEnd w:id="45"/>
      <w:bookmarkEnd w:id="46"/>
      <w:bookmarkEnd w:id="47"/>
      <w:bookmarkEnd w:id="48"/>
      <w:r>
        <w:rPr>
          <w:rFonts w:ascii="Times New Roman" w:hAnsi="Times New Roman"/>
          <w:lang w:val="cs-CZ"/>
        </w:rPr>
        <w:t>OSTATNÍ PODMÍNKY PLNĚNÍ PŘEDMĚTU SMLOUVY</w:t>
      </w:r>
      <w:bookmarkEnd w:id="49"/>
      <w:bookmarkEnd w:id="50"/>
      <w:bookmarkEnd w:id="51"/>
    </w:p>
    <w:p w14:paraId="00F2443F" w14:textId="77777777" w:rsidR="007C12C7" w:rsidRDefault="003316E2">
      <w:pPr>
        <w:pStyle w:val="Smlouva2"/>
        <w:numPr>
          <w:ilvl w:val="1"/>
          <w:numId w:val="4"/>
        </w:numPr>
        <w:rPr>
          <w:lang w:val="cs-CZ"/>
        </w:rPr>
      </w:pPr>
      <w:r>
        <w:rPr>
          <w:lang w:val="cs-CZ"/>
        </w:rPr>
        <w:t>Poskytovatel je povinen při poskytování Služeb postupovat dle této Smlouvy a v souladu s platnými právními předpisy ČR a EU.</w:t>
      </w:r>
    </w:p>
    <w:p w14:paraId="6930E759" w14:textId="39908DA7" w:rsidR="007C12C7" w:rsidRDefault="003316E2">
      <w:pPr>
        <w:pStyle w:val="Smlouva2"/>
        <w:numPr>
          <w:ilvl w:val="1"/>
          <w:numId w:val="4"/>
        </w:numPr>
        <w:rPr>
          <w:lang w:val="cs-CZ"/>
        </w:rPr>
      </w:pPr>
      <w:r>
        <w:rPr>
          <w:lang w:val="cs-CZ"/>
        </w:rPr>
        <w:t xml:space="preserve">Poskytovatel je povinen při poskytování služeb respektovat a dodržovat pokyny Objednatele. V případě nevhodných pokynů Objednatele je Poskytovatel povinen na nevhodnost těchto pokynů Objednatele upozornit. </w:t>
      </w:r>
    </w:p>
    <w:p w14:paraId="14281F99" w14:textId="77777777" w:rsidR="007C12C7" w:rsidRDefault="003316E2">
      <w:pPr>
        <w:pStyle w:val="Smlouva2"/>
        <w:numPr>
          <w:ilvl w:val="1"/>
          <w:numId w:val="4"/>
        </w:numPr>
        <w:rPr>
          <w:lang w:val="cs-CZ"/>
        </w:rPr>
      </w:pPr>
      <w:r>
        <w:rPr>
          <w:lang w:val="cs-CZ"/>
        </w:rPr>
        <w:t>Objednatel je povinen spolupracovat s Poskytovatelem a poskytovat mu veškerou nutnou součinnost potřebnou pro řádné poskytování služeb podle této Smlouvy. Objednatel je povinen informovat Poskytovatele o veškerých skutečnostech, které jsou nebo mohou být důležité pro poskytování služeb dle této Smlouvy.</w:t>
      </w:r>
    </w:p>
    <w:p w14:paraId="6250DC7D" w14:textId="77777777" w:rsidR="007C12C7" w:rsidRDefault="003316E2">
      <w:pPr>
        <w:pStyle w:val="Smlouva2"/>
        <w:numPr>
          <w:ilvl w:val="1"/>
          <w:numId w:val="4"/>
        </w:numPr>
        <w:rPr>
          <w:lang w:val="cs-CZ"/>
        </w:rPr>
      </w:pPr>
      <w:r>
        <w:rPr>
          <w:lang w:val="cs-CZ"/>
        </w:rPr>
        <w:t>Pokud Objednatel neposkytne součinnost dle tohoto článku, má Poskytovatel právo požadovat od Objednatele posunutí stanovených termínů o dobu, po kterou nemohl Poskytovatel poskytovat služby dle této Smlouvy z důvodu neposkytnutí součinnosti. Objednatel je povinen oprávněnému požadavku vyhovět.</w:t>
      </w:r>
    </w:p>
    <w:p w14:paraId="5327922F" w14:textId="77777777" w:rsidR="007C12C7" w:rsidRDefault="003316E2">
      <w:pPr>
        <w:pStyle w:val="Smlouva2"/>
        <w:numPr>
          <w:ilvl w:val="1"/>
          <w:numId w:val="4"/>
        </w:numPr>
        <w:rPr>
          <w:lang w:val="cs-CZ"/>
        </w:rPr>
      </w:pPr>
      <w:r>
        <w:rPr>
          <w:lang w:val="cs-CZ"/>
        </w:rPr>
        <w:t xml:space="preserve">Poskytovatel odpovídá za kvalitu, všeobecnou a odbornou správnost poskytovaných služeb. Poskytovatel je povinen při poskytování Služeb dle této Smlouvy postupovat s odbornou péčí podle svých nejlepších znalostí a schopností. </w:t>
      </w:r>
    </w:p>
    <w:p w14:paraId="301FE8B2" w14:textId="77777777" w:rsidR="007C12C7" w:rsidRDefault="003316E2">
      <w:pPr>
        <w:pStyle w:val="Smlouva1"/>
        <w:numPr>
          <w:ilvl w:val="0"/>
          <w:numId w:val="4"/>
        </w:numPr>
        <w:rPr>
          <w:rFonts w:ascii="Times New Roman" w:hAnsi="Times New Roman"/>
          <w:lang w:val="cs-CZ"/>
        </w:rPr>
      </w:pPr>
      <w:bookmarkStart w:id="52" w:name="_Toc373445359"/>
      <w:bookmarkStart w:id="53" w:name="_Toc372197359"/>
      <w:bookmarkStart w:id="54" w:name="_Toc361840307"/>
      <w:r>
        <w:rPr>
          <w:rFonts w:ascii="Times New Roman" w:hAnsi="Times New Roman"/>
          <w:lang w:val="cs-CZ"/>
        </w:rPr>
        <w:t>TRVÁNÍ A UKONČENÍ SMLOUVY</w:t>
      </w:r>
      <w:bookmarkEnd w:id="52"/>
      <w:bookmarkEnd w:id="53"/>
      <w:bookmarkEnd w:id="54"/>
    </w:p>
    <w:p w14:paraId="532EC36A" w14:textId="35D1355B" w:rsidR="007C12C7" w:rsidRDefault="003316E2">
      <w:pPr>
        <w:pStyle w:val="Smlouva2"/>
        <w:numPr>
          <w:ilvl w:val="1"/>
          <w:numId w:val="4"/>
        </w:numPr>
        <w:rPr>
          <w:lang w:val="cs-CZ"/>
        </w:rPr>
      </w:pPr>
      <w:r>
        <w:rPr>
          <w:lang w:val="cs-CZ"/>
        </w:rPr>
        <w:t xml:space="preserve">Tato Smlouva nabývá platnosti a účinnosti dnem podpisu oběma smluvními stranami, jde-li však o smlouvu podléhající uveřejnění v registru smluv dle zákona č. 340/2015 Sb., pak nabyde účinnosti teprve dnem uveřejnění v registru smluv. Smlouva se uzavírá </w:t>
      </w:r>
      <w:r>
        <w:rPr>
          <w:lang w:val="cs-CZ"/>
        </w:rPr>
        <w:lastRenderedPageBreak/>
        <w:t>na dobu určitou, a to do vyčerpání finančního limitu uvedeného v odst. 5.7 této Smlouvy.</w:t>
      </w:r>
    </w:p>
    <w:p w14:paraId="440B8FAD" w14:textId="77777777" w:rsidR="007C12C7" w:rsidRDefault="003316E2">
      <w:pPr>
        <w:pStyle w:val="Smlouva2"/>
        <w:numPr>
          <w:ilvl w:val="1"/>
          <w:numId w:val="4"/>
        </w:numPr>
        <w:rPr>
          <w:lang w:val="cs-CZ"/>
        </w:rPr>
      </w:pPr>
      <w:r>
        <w:rPr>
          <w:lang w:val="cs-CZ"/>
        </w:rPr>
        <w:t>Tato Smlouva může být písemně ukončena následujícími způsoby:</w:t>
      </w:r>
    </w:p>
    <w:p w14:paraId="0A93B558" w14:textId="77777777" w:rsidR="007C12C7" w:rsidRDefault="003316E2">
      <w:pPr>
        <w:pStyle w:val="Smlouva2"/>
        <w:numPr>
          <w:ilvl w:val="1"/>
          <w:numId w:val="5"/>
        </w:numPr>
        <w:tabs>
          <w:tab w:val="left" w:pos="1276"/>
        </w:tabs>
        <w:ind w:left="1276" w:hanging="425"/>
        <w:rPr>
          <w:lang w:val="cs-CZ"/>
        </w:rPr>
      </w:pPr>
      <w:r>
        <w:rPr>
          <w:lang w:val="cs-CZ"/>
        </w:rPr>
        <w:t>Dohodou smluvních stran,</w:t>
      </w:r>
    </w:p>
    <w:p w14:paraId="5FA0AE1C" w14:textId="77777777" w:rsidR="007C12C7" w:rsidRDefault="003316E2">
      <w:pPr>
        <w:pStyle w:val="Smlouva2"/>
        <w:numPr>
          <w:ilvl w:val="1"/>
          <w:numId w:val="5"/>
        </w:numPr>
        <w:tabs>
          <w:tab w:val="left" w:pos="1276"/>
        </w:tabs>
        <w:ind w:left="1276" w:hanging="425"/>
        <w:rPr>
          <w:lang w:val="cs-CZ"/>
        </w:rPr>
      </w:pPr>
      <w:r>
        <w:rPr>
          <w:lang w:val="cs-CZ"/>
        </w:rPr>
        <w:t>odstoupením Objednatele od Smlouvy v případě, že byl pravomocně zjištěn úpadek Poskytovatele a rozhodnuto o způsobu řešení úpadku konkursem, nebo byl-li insolvenční návrh pravomocně zamítnut pro nedostatek majetku Poskytovatele;</w:t>
      </w:r>
    </w:p>
    <w:p w14:paraId="32444A67" w14:textId="77777777" w:rsidR="007C12C7" w:rsidRDefault="003316E2">
      <w:pPr>
        <w:pStyle w:val="Smlouva2"/>
        <w:numPr>
          <w:ilvl w:val="1"/>
          <w:numId w:val="5"/>
        </w:numPr>
        <w:tabs>
          <w:tab w:val="left" w:pos="1276"/>
        </w:tabs>
        <w:ind w:left="1276" w:hanging="425"/>
        <w:rPr>
          <w:lang w:val="cs-CZ"/>
        </w:rPr>
      </w:pPr>
      <w:r>
        <w:rPr>
          <w:lang w:val="cs-CZ"/>
        </w:rPr>
        <w:t xml:space="preserve">písemným odstoupením od Smlouvy za podmínek stanovených v článku 8.4 v případě podstatného porušení Smlouvy jednou ze smluvních stran, které je účinné dnem doručení písemného oznámení o odstoupení druhé smluvní straně; </w:t>
      </w:r>
    </w:p>
    <w:p w14:paraId="00E73048" w14:textId="77777777" w:rsidR="007C12C7" w:rsidRDefault="003316E2">
      <w:pPr>
        <w:pStyle w:val="Smlouva2"/>
        <w:numPr>
          <w:ilvl w:val="1"/>
          <w:numId w:val="4"/>
        </w:numPr>
        <w:rPr>
          <w:lang w:val="cs-CZ"/>
        </w:rPr>
      </w:pPr>
      <w:r>
        <w:rPr>
          <w:lang w:val="cs-CZ"/>
        </w:rPr>
        <w:t>Podstatným porušením Smlouvy se rozumí zejména prodlení smluvní strany s plněním povinnosti dle této Smlouvy po dobu delší než čtyřicet pět (45) dní.</w:t>
      </w:r>
    </w:p>
    <w:p w14:paraId="4033EBFC" w14:textId="77777777" w:rsidR="007C12C7" w:rsidRDefault="003316E2">
      <w:pPr>
        <w:pStyle w:val="Smlouva2"/>
        <w:numPr>
          <w:ilvl w:val="1"/>
          <w:numId w:val="4"/>
        </w:numPr>
        <w:rPr>
          <w:lang w:val="cs-CZ"/>
        </w:rPr>
      </w:pPr>
      <w:r>
        <w:rPr>
          <w:lang w:val="cs-CZ"/>
        </w:rPr>
        <w:t>Smluvní strana je oprávněna odstoupit od Smlouvy pouze v případě, že druhá smluvní strana přes písemné upozornění na porušení Smlouvy toto porušení v poskytnuté lhůtě, která nesmí být kratší než deset (10) pracovních dnů, neodstranila.</w:t>
      </w:r>
    </w:p>
    <w:p w14:paraId="22F0F45F" w14:textId="77777777" w:rsidR="007C12C7" w:rsidRDefault="003316E2">
      <w:pPr>
        <w:pStyle w:val="Smlouva2"/>
        <w:numPr>
          <w:ilvl w:val="1"/>
          <w:numId w:val="4"/>
        </w:numPr>
        <w:rPr>
          <w:lang w:val="cs-CZ"/>
        </w:rPr>
      </w:pPr>
      <w:r>
        <w:rPr>
          <w:lang w:val="cs-CZ"/>
        </w:rPr>
        <w:t>Tuto Smlouvu lze rovněž vypovědět kteroukoli stranou (bez udání důvodu) s výpovědní dobou tří (3) měsíců, která počíná běžet prvním dnem kalendářního měsíce následujícího po měsíci, ve kterém byla výpověď doručena druhé smluvní straně.</w:t>
      </w:r>
    </w:p>
    <w:p w14:paraId="10DBACF1" w14:textId="77777777" w:rsidR="007C12C7" w:rsidRDefault="003316E2">
      <w:pPr>
        <w:pStyle w:val="Smlouva2"/>
        <w:numPr>
          <w:ilvl w:val="1"/>
          <w:numId w:val="4"/>
        </w:numPr>
        <w:rPr>
          <w:lang w:val="cs-CZ"/>
        </w:rPr>
      </w:pPr>
      <w:r>
        <w:rPr>
          <w:lang w:val="cs-CZ"/>
        </w:rPr>
        <w:t>Ukončením Smlouvy nejsou dotčena ustanovení týkající se smluvních pokut, sankcí a ochrany informací.</w:t>
      </w:r>
    </w:p>
    <w:p w14:paraId="56865784" w14:textId="77777777" w:rsidR="007C12C7" w:rsidRDefault="003316E2">
      <w:pPr>
        <w:pStyle w:val="Smlouva1"/>
        <w:numPr>
          <w:ilvl w:val="0"/>
          <w:numId w:val="4"/>
        </w:numPr>
        <w:rPr>
          <w:rFonts w:ascii="Times New Roman" w:hAnsi="Times New Roman"/>
          <w:lang w:val="cs-CZ"/>
        </w:rPr>
      </w:pPr>
      <w:bookmarkStart w:id="55" w:name="_Toc373445360"/>
      <w:bookmarkStart w:id="56" w:name="_Toc372197360"/>
      <w:bookmarkStart w:id="57" w:name="_Toc361840308"/>
      <w:r>
        <w:rPr>
          <w:rFonts w:ascii="Times New Roman" w:hAnsi="Times New Roman"/>
          <w:lang w:val="cs-CZ"/>
        </w:rPr>
        <w:t>ODPOVĚDNOST POSKYTOVATELE A SANKCE</w:t>
      </w:r>
      <w:bookmarkEnd w:id="55"/>
      <w:bookmarkEnd w:id="56"/>
      <w:bookmarkEnd w:id="57"/>
    </w:p>
    <w:p w14:paraId="7AD8451B" w14:textId="77777777" w:rsidR="007C12C7" w:rsidRDefault="003316E2">
      <w:pPr>
        <w:pStyle w:val="Smlouva2"/>
        <w:numPr>
          <w:ilvl w:val="1"/>
          <w:numId w:val="4"/>
        </w:numPr>
        <w:rPr>
          <w:lang w:val="cs-CZ"/>
        </w:rPr>
      </w:pPr>
      <w:r>
        <w:rPr>
          <w:lang w:val="cs-CZ"/>
        </w:rPr>
        <w:t>Dostane-li se Objednatel do prodlení s placením úhrady za služby poskytované dle této Smlouvy, je povinen zaplatit Poskytovateli úrok z prodlení ve výši 0,05 % z dlužné částky za každý den prodlení.</w:t>
      </w:r>
    </w:p>
    <w:p w14:paraId="55E01B10" w14:textId="77777777" w:rsidR="007C12C7" w:rsidRDefault="003316E2">
      <w:pPr>
        <w:pStyle w:val="Smlouva2"/>
        <w:numPr>
          <w:ilvl w:val="1"/>
          <w:numId w:val="4"/>
        </w:numPr>
        <w:rPr>
          <w:lang w:val="cs-CZ"/>
        </w:rPr>
      </w:pPr>
      <w:r>
        <w:rPr>
          <w:lang w:val="cs-CZ"/>
        </w:rPr>
        <w:t>V případě nedodržení úrovně nebo termínů servisních služeb sjednané v odst. 1.1.2. kategorie A Přílohy č. 1 této Smlouvy je Objednatel oprávněn požadovat po Poskytovateli zaplatit smluvní pokutu ve výši 2.000,- Kč za každý započatý den prodlení.</w:t>
      </w:r>
    </w:p>
    <w:p w14:paraId="117B1134" w14:textId="77777777" w:rsidR="007C12C7" w:rsidRDefault="003316E2">
      <w:pPr>
        <w:pStyle w:val="Smlouva2"/>
        <w:numPr>
          <w:ilvl w:val="1"/>
          <w:numId w:val="4"/>
        </w:numPr>
        <w:rPr>
          <w:lang w:val="cs-CZ"/>
        </w:rPr>
      </w:pPr>
      <w:r>
        <w:rPr>
          <w:lang w:val="cs-CZ"/>
        </w:rPr>
        <w:t>V případě nedodržení úrovně nebo termínů servisních služeb sjednané v odst. 1.1.2. kategorie B Přílohy č. 1 této Smlouvy je Objednatel oprávněn požadovat po Poskytovateli zaplatit smluvní pokutu ve výši 1.500,- Kč za každý započatý den prodlení.</w:t>
      </w:r>
    </w:p>
    <w:p w14:paraId="394FA9F2" w14:textId="77777777" w:rsidR="007C12C7" w:rsidRDefault="003316E2">
      <w:pPr>
        <w:pStyle w:val="Smlouva2"/>
        <w:numPr>
          <w:ilvl w:val="1"/>
          <w:numId w:val="4"/>
        </w:numPr>
        <w:rPr>
          <w:lang w:val="cs-CZ"/>
        </w:rPr>
      </w:pPr>
      <w:r>
        <w:rPr>
          <w:lang w:val="cs-CZ"/>
        </w:rPr>
        <w:t>V případě nedodržení úrovně nebo termínů servisních služeb sjednané v odst. 1.1.2. kategorie C Přílohy č. 1 této Smlouvy je Objednatel oprávněn požadovat po Poskytovateli zaplatit smluvní pokutu ve výši 1.000,- Kč za každý započatý den prodlení.</w:t>
      </w:r>
    </w:p>
    <w:p w14:paraId="40376947" w14:textId="77777777" w:rsidR="007C12C7" w:rsidRDefault="003316E2">
      <w:pPr>
        <w:pStyle w:val="Smlouva2"/>
        <w:numPr>
          <w:ilvl w:val="1"/>
          <w:numId w:val="4"/>
        </w:numPr>
        <w:rPr>
          <w:lang w:val="cs-CZ"/>
        </w:rPr>
      </w:pPr>
      <w:r>
        <w:rPr>
          <w:lang w:val="cs-CZ"/>
        </w:rPr>
        <w:t xml:space="preserve">V případě nedodržení úrovně nebo termínů služeb </w:t>
      </w:r>
      <w:proofErr w:type="spellStart"/>
      <w:r>
        <w:rPr>
          <w:lang w:val="cs-CZ"/>
        </w:rPr>
        <w:t>change</w:t>
      </w:r>
      <w:proofErr w:type="spellEnd"/>
      <w:r>
        <w:rPr>
          <w:lang w:val="cs-CZ"/>
        </w:rPr>
        <w:t xml:space="preserve"> managementu dle odst. 5.4 a přílohy č. 1 této Smlouvy, popř. dle schváleného harmonogramu plnění, je Objednatel oprávněn požadovat po Poskytovateli zaplatit smluvní pokutu ve výši 1.000,- Kč za každý započatý den prodlení.</w:t>
      </w:r>
    </w:p>
    <w:p w14:paraId="28CEA3C2" w14:textId="77777777" w:rsidR="007C12C7" w:rsidRDefault="003316E2">
      <w:pPr>
        <w:pStyle w:val="Smlouva2"/>
        <w:numPr>
          <w:ilvl w:val="1"/>
          <w:numId w:val="4"/>
        </w:numPr>
        <w:rPr>
          <w:lang w:val="cs-CZ"/>
        </w:rPr>
      </w:pPr>
      <w:r>
        <w:rPr>
          <w:lang w:val="cs-CZ"/>
        </w:rPr>
        <w:lastRenderedPageBreak/>
        <w:t>Smluvní pokuta je splatná do třiceti (30) dnů od doručení výzvy k její úhradě Poskytovateli.</w:t>
      </w:r>
    </w:p>
    <w:p w14:paraId="1A6D1096" w14:textId="77777777" w:rsidR="007C12C7" w:rsidRDefault="003316E2">
      <w:pPr>
        <w:pStyle w:val="Smlouva2"/>
        <w:numPr>
          <w:ilvl w:val="1"/>
          <w:numId w:val="4"/>
        </w:numPr>
        <w:rPr>
          <w:lang w:val="cs-CZ"/>
        </w:rPr>
      </w:pPr>
      <w:r>
        <w:rPr>
          <w:lang w:val="cs-CZ"/>
        </w:rPr>
        <w:t>K úhradě smluvní(ch) pokut(y) uložených Poskytovateli je Objednatel oprávněn použít započtení pokuty na úhradu Ceny službu nebo její část.</w:t>
      </w:r>
    </w:p>
    <w:p w14:paraId="65220C6D" w14:textId="77777777" w:rsidR="007C12C7" w:rsidRDefault="003316E2">
      <w:pPr>
        <w:pStyle w:val="Smlouva2"/>
        <w:numPr>
          <w:ilvl w:val="1"/>
          <w:numId w:val="4"/>
        </w:numPr>
        <w:rPr>
          <w:lang w:val="cs-CZ"/>
        </w:rPr>
      </w:pPr>
      <w:r>
        <w:rPr>
          <w:lang w:val="cs-CZ"/>
        </w:rPr>
        <w:t>V případě, že Objednatel prokazatelně neposkytne Poskytovateli součinnost vyžádanou Poskytovatelem, nebo objektivně nutnou pro plnění Smlouvy, prodlužují se lhůty pro poskytnutí služeb sjednané do doby odstranění těchto nedostatků na straně Objednatele.</w:t>
      </w:r>
    </w:p>
    <w:p w14:paraId="6643ABCE" w14:textId="77777777" w:rsidR="007C12C7" w:rsidRDefault="003316E2">
      <w:pPr>
        <w:pStyle w:val="Smlouva2"/>
        <w:numPr>
          <w:ilvl w:val="1"/>
          <w:numId w:val="4"/>
        </w:numPr>
        <w:rPr>
          <w:lang w:val="cs-CZ"/>
        </w:rPr>
      </w:pPr>
      <w:r>
        <w:rPr>
          <w:lang w:val="cs-CZ"/>
        </w:rPr>
        <w:t>Ustanovením o sankcích není dotčeno právo smluvních stran na náhradu škody.</w:t>
      </w:r>
    </w:p>
    <w:p w14:paraId="4D22E17D" w14:textId="77777777" w:rsidR="007C12C7" w:rsidRDefault="003316E2">
      <w:pPr>
        <w:pStyle w:val="Smlouva1"/>
        <w:numPr>
          <w:ilvl w:val="0"/>
          <w:numId w:val="4"/>
        </w:numPr>
        <w:rPr>
          <w:rFonts w:ascii="Times New Roman" w:hAnsi="Times New Roman"/>
          <w:caps/>
          <w:lang w:val="cs-CZ"/>
        </w:rPr>
      </w:pPr>
      <w:r>
        <w:rPr>
          <w:rFonts w:ascii="Times New Roman" w:hAnsi="Times New Roman"/>
          <w:caps/>
          <w:szCs w:val="20"/>
          <w:lang w:val="cs-CZ"/>
        </w:rPr>
        <w:t>Odpovědnost za škody</w:t>
      </w:r>
    </w:p>
    <w:p w14:paraId="4E316894" w14:textId="77777777" w:rsidR="007C12C7" w:rsidRDefault="003316E2">
      <w:pPr>
        <w:pStyle w:val="Smlouva2"/>
        <w:numPr>
          <w:ilvl w:val="1"/>
          <w:numId w:val="4"/>
        </w:numPr>
        <w:rPr>
          <w:lang w:val="cs-CZ"/>
        </w:rPr>
      </w:pPr>
      <w:r>
        <w:rPr>
          <w:lang w:val="cs-CZ"/>
        </w:rPr>
        <w:t xml:space="preserve">Každá ze stran nese odpovědnost za způsobenou škodu v rámci platných právních předpisů a této Smlouvy. </w:t>
      </w:r>
    </w:p>
    <w:p w14:paraId="5885CC62" w14:textId="77777777" w:rsidR="007C12C7" w:rsidRDefault="003316E2">
      <w:pPr>
        <w:pStyle w:val="Smlouva2"/>
        <w:numPr>
          <w:ilvl w:val="1"/>
          <w:numId w:val="4"/>
        </w:numPr>
        <w:rPr>
          <w:lang w:val="cs-CZ"/>
        </w:rPr>
      </w:pPr>
      <w:r>
        <w:rPr>
          <w:lang w:val="cs-CZ"/>
        </w:rPr>
        <w:t>Obě strany se zavazují k vyvinutí maximálního úsilí k předcházení škodám a k minimalizaci vzniklých škod.</w:t>
      </w:r>
    </w:p>
    <w:p w14:paraId="1FFEA48B" w14:textId="77777777" w:rsidR="007C12C7" w:rsidRDefault="003316E2">
      <w:pPr>
        <w:pStyle w:val="Smlouva2"/>
        <w:numPr>
          <w:ilvl w:val="1"/>
          <w:numId w:val="4"/>
        </w:numPr>
        <w:rPr>
          <w:lang w:val="cs-CZ"/>
        </w:rPr>
      </w:pPr>
      <w:r>
        <w:rPr>
          <w:lang w:val="cs-CZ"/>
        </w:rPr>
        <w:t>Poskytovatel neodpovídá za škodu způsobenou vlivem:</w:t>
      </w:r>
    </w:p>
    <w:p w14:paraId="06FB3347" w14:textId="77777777" w:rsidR="007C12C7" w:rsidRDefault="003316E2">
      <w:pPr>
        <w:pStyle w:val="PDCodrazky"/>
        <w:tabs>
          <w:tab w:val="left" w:pos="1438"/>
        </w:tabs>
        <w:ind w:left="1438"/>
        <w:jc w:val="both"/>
        <w:rPr>
          <w:lang w:val="cs-CZ"/>
        </w:rPr>
      </w:pPr>
      <w:r>
        <w:rPr>
          <w:lang w:val="cs-CZ"/>
        </w:rPr>
        <w:t>neodborného zásahu či nesprávným užitím systému Objednatelem nebo třetí osobou z pověření Objednatele bez souhlasu Poskytovatele,</w:t>
      </w:r>
    </w:p>
    <w:p w14:paraId="6DEAE8E8" w14:textId="77777777" w:rsidR="007C12C7" w:rsidRDefault="003316E2">
      <w:pPr>
        <w:pStyle w:val="PDCodrazky"/>
        <w:tabs>
          <w:tab w:val="left" w:pos="1438"/>
        </w:tabs>
        <w:ind w:left="1438"/>
        <w:rPr>
          <w:lang w:val="cs-CZ"/>
        </w:rPr>
      </w:pPr>
      <w:r>
        <w:rPr>
          <w:lang w:val="cs-CZ"/>
        </w:rPr>
        <w:t>úpravy nebo jakýmkoliv jiným zásahem Objednatele nebo třetí osoby z pověření Objednatele do systému bez souhlasu Poskytovatele,</w:t>
      </w:r>
    </w:p>
    <w:p w14:paraId="67F5FC5F" w14:textId="77777777" w:rsidR="007C12C7" w:rsidRDefault="003316E2">
      <w:pPr>
        <w:pStyle w:val="PDCodrazky"/>
        <w:tabs>
          <w:tab w:val="left" w:pos="1438"/>
        </w:tabs>
        <w:ind w:left="1438"/>
        <w:rPr>
          <w:lang w:val="cs-CZ"/>
        </w:rPr>
      </w:pPr>
      <w:r>
        <w:rPr>
          <w:lang w:val="cs-CZ"/>
        </w:rPr>
        <w:t>zásahu do systémových dat nebo datových struktur Objednatelem mimo příslušný předmět Smlouvy,</w:t>
      </w:r>
    </w:p>
    <w:p w14:paraId="62DFBE86" w14:textId="77777777" w:rsidR="007C12C7" w:rsidRDefault="003316E2">
      <w:pPr>
        <w:pStyle w:val="PDCodrazky"/>
        <w:tabs>
          <w:tab w:val="left" w:pos="1438"/>
        </w:tabs>
        <w:ind w:left="1438"/>
        <w:jc w:val="both"/>
        <w:rPr>
          <w:lang w:val="cs-CZ"/>
        </w:rPr>
      </w:pPr>
      <w:r>
        <w:rPr>
          <w:lang w:val="cs-CZ"/>
        </w:rPr>
        <w:t xml:space="preserve">chyb v LMS </w:t>
      </w:r>
      <w:proofErr w:type="spellStart"/>
      <w:r>
        <w:rPr>
          <w:lang w:val="cs-CZ"/>
        </w:rPr>
        <w:t>Moodle</w:t>
      </w:r>
      <w:proofErr w:type="spellEnd"/>
      <w:r>
        <w:rPr>
          <w:lang w:val="cs-CZ"/>
        </w:rPr>
        <w:t xml:space="preserve"> a rozšířeních třetích stran, jejichž autorem není Poskytovatel, </w:t>
      </w:r>
    </w:p>
    <w:p w14:paraId="3C9CF7BE" w14:textId="77777777" w:rsidR="007C12C7" w:rsidRDefault="003316E2">
      <w:pPr>
        <w:pStyle w:val="PDCodrazky"/>
        <w:tabs>
          <w:tab w:val="left" w:pos="1438"/>
        </w:tabs>
        <w:ind w:left="1438"/>
        <w:rPr>
          <w:lang w:val="cs-CZ"/>
        </w:rPr>
      </w:pPr>
      <w:r>
        <w:rPr>
          <w:lang w:val="cs-CZ"/>
        </w:rPr>
        <w:t>počítačových virů v souborech obsahu kurzů,</w:t>
      </w:r>
    </w:p>
    <w:p w14:paraId="6CD8FE6D" w14:textId="77777777" w:rsidR="007C12C7" w:rsidRDefault="003316E2">
      <w:pPr>
        <w:pStyle w:val="PDCodrazky"/>
        <w:tabs>
          <w:tab w:val="left" w:pos="1438"/>
        </w:tabs>
        <w:ind w:left="1438"/>
        <w:rPr>
          <w:dstrike/>
          <w:lang w:val="cs-CZ"/>
        </w:rPr>
      </w:pPr>
      <w:r>
        <w:rPr>
          <w:lang w:val="cs-CZ"/>
        </w:rPr>
        <w:t>nedostatečnou konektivitou Objednatele k síti</w:t>
      </w:r>
    </w:p>
    <w:p w14:paraId="5BA58399" w14:textId="77777777" w:rsidR="007C12C7" w:rsidRDefault="003316E2">
      <w:pPr>
        <w:pStyle w:val="Smlouva2"/>
        <w:numPr>
          <w:ilvl w:val="1"/>
          <w:numId w:val="4"/>
        </w:numPr>
        <w:rPr>
          <w:lang w:val="cs-CZ"/>
        </w:rPr>
      </w:pPr>
      <w:r>
        <w:rPr>
          <w:lang w:val="cs-CZ"/>
        </w:rPr>
        <w:t>Žádná ze stran neodpovídá za škodu, která vznikla v důsledku věcně nesprávného nebo jinak chybného zadání, které obdržela od druhé strany. Žádná ze smluvních stran není odpovědná za nesplnění svého závazku v důsledku prodlení druhé smluvní strany nebo v důsledku nastalých okolností vylučujících odpovědnost dle článku 10 této Smlouvy.</w:t>
      </w:r>
    </w:p>
    <w:p w14:paraId="77B662EA" w14:textId="77777777" w:rsidR="007C12C7" w:rsidRDefault="003316E2">
      <w:pPr>
        <w:pStyle w:val="Smlouva1"/>
        <w:numPr>
          <w:ilvl w:val="0"/>
          <w:numId w:val="4"/>
        </w:numPr>
        <w:rPr>
          <w:rFonts w:ascii="Times New Roman" w:hAnsi="Times New Roman"/>
          <w:caps/>
          <w:szCs w:val="20"/>
          <w:lang w:val="cs-CZ"/>
        </w:rPr>
      </w:pPr>
      <w:r>
        <w:rPr>
          <w:rFonts w:ascii="Times New Roman" w:hAnsi="Times New Roman"/>
          <w:caps/>
          <w:szCs w:val="20"/>
          <w:lang w:val="cs-CZ"/>
        </w:rPr>
        <w:t>Povinnost mlčenlivosti</w:t>
      </w:r>
    </w:p>
    <w:p w14:paraId="2AFD9F26" w14:textId="77777777" w:rsidR="007C12C7" w:rsidRDefault="003316E2">
      <w:pPr>
        <w:pStyle w:val="Smlouva2"/>
        <w:numPr>
          <w:ilvl w:val="1"/>
          <w:numId w:val="4"/>
        </w:numPr>
      </w:pPr>
      <w:r>
        <w:t>Poskytovatel se zavazuje zachovávat ve vztahu ke třetím osobám mlčenlivost o informacích, které při plnění této Smlouvy získá od Objednatele nebo o Objednateli či jeho zaměstnancích, zákaznících a jejich zaměstnancích, a nesmí je zpřístupnit bez písemného souhlasu Objednatele žádné třetí osobě ani je použít v rozporu s účelem této Smlouvy, ledaže se jedná:</w:t>
      </w:r>
    </w:p>
    <w:p w14:paraId="5ECF3D42" w14:textId="77777777" w:rsidR="007C12C7" w:rsidRDefault="003316E2">
      <w:pPr>
        <w:pStyle w:val="Smlouva2"/>
        <w:numPr>
          <w:ilvl w:val="2"/>
          <w:numId w:val="4"/>
        </w:numPr>
      </w:pPr>
      <w:r>
        <w:t>o informace, které jsou veřejně přístupné, nebo</w:t>
      </w:r>
    </w:p>
    <w:p w14:paraId="4F6DFF9E" w14:textId="77777777" w:rsidR="007C12C7" w:rsidRDefault="003316E2">
      <w:pPr>
        <w:pStyle w:val="Smlouva2"/>
        <w:numPr>
          <w:ilvl w:val="2"/>
          <w:numId w:val="4"/>
        </w:numPr>
      </w:pPr>
      <w:r>
        <w:lastRenderedPageBreak/>
        <w:t>o případ, kdy je zpřístupnění informace vyžadováno zákonem nebo závazným rozhodnutím oprávněného orgánu.</w:t>
      </w:r>
    </w:p>
    <w:p w14:paraId="49F426CA" w14:textId="77777777" w:rsidR="007C12C7" w:rsidRDefault="003316E2">
      <w:pPr>
        <w:pStyle w:val="Smlouva2"/>
        <w:numPr>
          <w:ilvl w:val="1"/>
          <w:numId w:val="4"/>
        </w:numPr>
      </w:pPr>
      <w:r>
        <w:t xml:space="preserve">Poskytovatel je povinen zavázat povinností mlčenlivosti podle předchozího odstavce všechny osoby, které se budou podílet na dodání předmětu plnění. </w:t>
      </w:r>
    </w:p>
    <w:p w14:paraId="3680FDC8" w14:textId="77777777" w:rsidR="007C12C7" w:rsidRDefault="003316E2">
      <w:pPr>
        <w:pStyle w:val="Smlouva2"/>
        <w:numPr>
          <w:ilvl w:val="1"/>
          <w:numId w:val="4"/>
        </w:numPr>
      </w:pPr>
      <w:r>
        <w:t>Za porušení povinnosti mlčenlivosti osobami, které se budou podílet na dodání předmětu plnění dle této Smlouvy, odpovídá poskytovatel, jako by povinnost porušil sám.</w:t>
      </w:r>
    </w:p>
    <w:p w14:paraId="0D94B8CD" w14:textId="77777777" w:rsidR="007C12C7" w:rsidRDefault="003316E2">
      <w:pPr>
        <w:pStyle w:val="Smlouva2"/>
        <w:numPr>
          <w:ilvl w:val="1"/>
          <w:numId w:val="4"/>
        </w:numPr>
      </w:pPr>
      <w:r>
        <w:t>Veškerá komunikace mezi smluvními stranami bude probíhat prostřednictvím osob oprávněných jednat jménem smluvních stran, kontaktních osob, popř. jimi pověřených osob</w:t>
      </w:r>
      <w:r>
        <w:rPr>
          <w:lang w:val="cs-CZ"/>
        </w:rPr>
        <w:t>, uvedených v Příloze č. 1 část 4. této Smlouvy</w:t>
      </w:r>
      <w:r>
        <w:t>.</w:t>
      </w:r>
    </w:p>
    <w:p w14:paraId="1D824D77" w14:textId="77777777" w:rsidR="007C12C7" w:rsidRDefault="003316E2">
      <w:pPr>
        <w:pStyle w:val="Smlouva1"/>
        <w:numPr>
          <w:ilvl w:val="0"/>
          <w:numId w:val="4"/>
        </w:numPr>
        <w:rPr>
          <w:rFonts w:ascii="Times New Roman" w:hAnsi="Times New Roman"/>
          <w:lang w:val="cs-CZ"/>
        </w:rPr>
      </w:pPr>
      <w:bookmarkStart w:id="58" w:name="_Toc373445361"/>
      <w:bookmarkStart w:id="59" w:name="_Toc372197361"/>
      <w:bookmarkStart w:id="60" w:name="_Toc361840309"/>
      <w:r>
        <w:rPr>
          <w:rFonts w:ascii="Times New Roman" w:hAnsi="Times New Roman"/>
          <w:lang w:val="cs-CZ"/>
        </w:rPr>
        <w:t>ZÁVĚREČNÁ USTANOVENÍ</w:t>
      </w:r>
      <w:bookmarkEnd w:id="58"/>
      <w:bookmarkEnd w:id="59"/>
      <w:bookmarkEnd w:id="60"/>
    </w:p>
    <w:p w14:paraId="2AE2A287" w14:textId="77777777" w:rsidR="007C12C7" w:rsidRDefault="003316E2">
      <w:pPr>
        <w:pStyle w:val="Smlouva2"/>
        <w:numPr>
          <w:ilvl w:val="1"/>
          <w:numId w:val="4"/>
        </w:numPr>
        <w:rPr>
          <w:lang w:val="cs-CZ"/>
        </w:rPr>
      </w:pPr>
      <w:r>
        <w:rPr>
          <w:lang w:val="cs-CZ"/>
        </w:rPr>
        <w:t>Tato Smlouva může být měněna pouze písemnými dodatky k této Smlouvě podepsanými Objednatelem a Poskytovatelem.</w:t>
      </w:r>
    </w:p>
    <w:p w14:paraId="5381D5C8" w14:textId="77777777" w:rsidR="007C12C7" w:rsidRDefault="003316E2">
      <w:pPr>
        <w:pStyle w:val="Smlouva2"/>
        <w:numPr>
          <w:ilvl w:val="1"/>
          <w:numId w:val="4"/>
        </w:numPr>
        <w:rPr>
          <w:lang w:val="cs-CZ"/>
        </w:rPr>
      </w:pPr>
      <w:bookmarkStart w:id="61" w:name="_Toc234218466"/>
      <w:bookmarkStart w:id="62" w:name="_Toc230569825"/>
      <w:bookmarkStart w:id="63" w:name="_Toc230514618"/>
      <w:r>
        <w:rPr>
          <w:lang w:val="cs-CZ"/>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bookmarkEnd w:id="61"/>
      <w:bookmarkEnd w:id="62"/>
      <w:bookmarkEnd w:id="63"/>
    </w:p>
    <w:p w14:paraId="36F33119" w14:textId="77777777" w:rsidR="007C12C7" w:rsidRDefault="003316E2">
      <w:pPr>
        <w:pStyle w:val="Smlouva2"/>
        <w:numPr>
          <w:ilvl w:val="1"/>
          <w:numId w:val="4"/>
        </w:numPr>
        <w:rPr>
          <w:lang w:val="cs-CZ"/>
        </w:rPr>
      </w:pPr>
      <w:r>
        <w:rPr>
          <w:lang w:val="cs-CZ"/>
        </w:rPr>
        <w:t xml:space="preserve">Smluvní </w:t>
      </w:r>
      <w:r w:rsidRPr="006E5910">
        <w:rPr>
          <w:lang w:val="cs-CZ"/>
        </w:rPr>
        <w:t>strany se výslovně dohodly, že Smlouva, jakož i práva a povinnosti smluvních stan, z ní vzniklé či s ní přímo související, se řídí výhradně českým právem. Smluvní strany se dohodly, že případné spory vzniklé ze Smlouvy budou řešeny výhradně před věcně příslušným soudem České republiky, přičemž místní příslušnost soudu se určí dle sídla Objednatele (Plzeň).</w:t>
      </w:r>
    </w:p>
    <w:p w14:paraId="2AAF64F3" w14:textId="77777777" w:rsidR="007C12C7" w:rsidRDefault="003316E2">
      <w:pPr>
        <w:pStyle w:val="Smlouva2"/>
        <w:numPr>
          <w:ilvl w:val="1"/>
          <w:numId w:val="4"/>
        </w:numPr>
        <w:rPr>
          <w:lang w:val="cs-CZ"/>
        </w:rPr>
      </w:pPr>
      <w:bookmarkStart w:id="64" w:name="_Toc234218467"/>
      <w:bookmarkStart w:id="65" w:name="_Toc230569826"/>
      <w:bookmarkStart w:id="66" w:name="_Toc230514619"/>
      <w:r>
        <w:rPr>
          <w:lang w:val="cs-CZ"/>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bookmarkEnd w:id="64"/>
      <w:bookmarkEnd w:id="65"/>
      <w:bookmarkEnd w:id="66"/>
    </w:p>
    <w:p w14:paraId="25C08217" w14:textId="77777777" w:rsidR="007C12C7" w:rsidRDefault="003316E2">
      <w:pPr>
        <w:pStyle w:val="Smlouva2"/>
        <w:numPr>
          <w:ilvl w:val="1"/>
          <w:numId w:val="4"/>
        </w:numPr>
        <w:rPr>
          <w:lang w:val="cs-CZ"/>
        </w:rPr>
      </w:pPr>
      <w:r>
        <w:rPr>
          <w:lang w:val="cs-CZ"/>
        </w:rPr>
        <w:t>Tato Smlouva je vyhotovena ve dvou stejnopisech s platností originálu, každá ze smluvních stran obdrží jedno vyhotovení.</w:t>
      </w:r>
    </w:p>
    <w:p w14:paraId="654B6E97" w14:textId="77777777" w:rsidR="007C12C7" w:rsidRDefault="003316E2">
      <w:pPr>
        <w:pStyle w:val="Smlouva2"/>
        <w:numPr>
          <w:ilvl w:val="1"/>
          <w:numId w:val="4"/>
        </w:numPr>
      </w:pPr>
      <w:r>
        <w:t>Nedílnou součástí této Smlouvy je příloha:</w:t>
      </w:r>
    </w:p>
    <w:p w14:paraId="19DE8694" w14:textId="77777777" w:rsidR="007C12C7" w:rsidRDefault="003316E2">
      <w:pPr>
        <w:pStyle w:val="Zkladntext"/>
        <w:numPr>
          <w:ilvl w:val="0"/>
          <w:numId w:val="6"/>
        </w:numPr>
        <w:spacing w:after="0"/>
        <w:rPr>
          <w:sz w:val="24"/>
        </w:rPr>
      </w:pPr>
      <w:r>
        <w:rPr>
          <w:sz w:val="24"/>
        </w:rPr>
        <w:t>Specifikace Služeb</w:t>
      </w:r>
    </w:p>
    <w:p w14:paraId="6CFB95C3" w14:textId="77777777" w:rsidR="007C12C7" w:rsidRDefault="007C12C7">
      <w:pPr>
        <w:tabs>
          <w:tab w:val="left" w:pos="709"/>
        </w:tabs>
        <w:ind w:left="576"/>
        <w:rPr>
          <w:highlight w:val="yellow"/>
        </w:rPr>
      </w:pPr>
    </w:p>
    <w:p w14:paraId="6BE1E7F2" w14:textId="77777777" w:rsidR="00A3654C" w:rsidRDefault="00A3654C"/>
    <w:p w14:paraId="1EB97D83" w14:textId="77777777" w:rsidR="00A3654C" w:rsidRDefault="00A3654C"/>
    <w:p w14:paraId="0AAD527A" w14:textId="548C2021" w:rsidR="007C12C7" w:rsidRDefault="003316E2">
      <w:r>
        <w:t>V Plzni dne …………………</w:t>
      </w:r>
      <w:r>
        <w:tab/>
      </w:r>
      <w:r>
        <w:tab/>
      </w:r>
      <w:r>
        <w:tab/>
        <w:t>V Brně dne ………………………</w:t>
      </w:r>
      <w:proofErr w:type="gramStart"/>
      <w:r>
        <w:t>…….</w:t>
      </w:r>
      <w:proofErr w:type="gramEnd"/>
      <w:r>
        <w:t>.</w:t>
      </w:r>
    </w:p>
    <w:p w14:paraId="3641D6E1" w14:textId="77777777" w:rsidR="007C12C7" w:rsidRDefault="007C12C7"/>
    <w:p w14:paraId="16DD574C" w14:textId="77777777" w:rsidR="007C12C7" w:rsidRDefault="007C12C7"/>
    <w:p w14:paraId="095BAE61" w14:textId="77777777" w:rsidR="007C12C7" w:rsidRDefault="007C12C7"/>
    <w:p w14:paraId="1D3D7989" w14:textId="77777777" w:rsidR="007C12C7" w:rsidRDefault="003316E2">
      <w:r>
        <w:t>……………………………</w:t>
      </w:r>
      <w:r>
        <w:tab/>
      </w:r>
      <w:r>
        <w:tab/>
      </w:r>
      <w:r>
        <w:tab/>
      </w:r>
      <w:r>
        <w:tab/>
        <w:t>…………………………………..</w:t>
      </w:r>
    </w:p>
    <w:p w14:paraId="5A6C3C62" w14:textId="7DBCD3AD" w:rsidR="007C12C7" w:rsidRDefault="003316E2">
      <w:r>
        <w:t>Ing. Petr Hofman, kvestor</w:t>
      </w:r>
      <w:r>
        <w:tab/>
      </w:r>
      <w:r>
        <w:tab/>
      </w:r>
      <w:r>
        <w:tab/>
      </w:r>
      <w:r w:rsidR="00B51B02">
        <w:tab/>
      </w:r>
      <w:r>
        <w:t>Ing. Jaroslav Hindra, jednatel</w:t>
      </w:r>
    </w:p>
    <w:p w14:paraId="05555D9D" w14:textId="77777777" w:rsidR="007C12C7" w:rsidRDefault="003316E2">
      <w:r>
        <w:t>Západočeská univerzita v Plzni</w:t>
      </w:r>
      <w:r>
        <w:tab/>
      </w:r>
      <w:r>
        <w:tab/>
      </w:r>
      <w:r>
        <w:tab/>
      </w:r>
      <w:proofErr w:type="spellStart"/>
      <w:r>
        <w:t>PragoData</w:t>
      </w:r>
      <w:proofErr w:type="spellEnd"/>
      <w:r>
        <w:t xml:space="preserve"> </w:t>
      </w:r>
      <w:proofErr w:type="spellStart"/>
      <w:r>
        <w:t>Consulting</w:t>
      </w:r>
      <w:proofErr w:type="spellEnd"/>
      <w:r>
        <w:t>, s.r.o.</w:t>
      </w:r>
    </w:p>
    <w:p w14:paraId="36F4F3A1" w14:textId="77777777" w:rsidR="007C12C7" w:rsidRDefault="003316E2">
      <w:r>
        <w:tab/>
      </w:r>
      <w:r>
        <w:tab/>
      </w:r>
      <w:r>
        <w:tab/>
      </w:r>
      <w:r>
        <w:tab/>
      </w:r>
      <w:r>
        <w:tab/>
      </w:r>
      <w:r>
        <w:tab/>
      </w:r>
    </w:p>
    <w:p w14:paraId="3B3954E9" w14:textId="4D10D72B" w:rsidR="007C12C7" w:rsidRDefault="007C12C7">
      <w:pPr>
        <w:ind w:left="5664" w:firstLine="708"/>
      </w:pPr>
    </w:p>
    <w:p w14:paraId="217B3A40" w14:textId="77777777" w:rsidR="007C12C7" w:rsidRDefault="003316E2">
      <w:pPr>
        <w:suppressAutoHyphens w:val="0"/>
        <w:spacing w:after="160" w:line="259" w:lineRule="auto"/>
        <w:jc w:val="left"/>
        <w:textAlignment w:val="auto"/>
        <w:rPr>
          <w:sz w:val="36"/>
          <w:szCs w:val="36"/>
        </w:rPr>
      </w:pPr>
      <w:r>
        <w:rPr>
          <w:b/>
          <w:sz w:val="40"/>
          <w:szCs w:val="28"/>
        </w:rPr>
        <w:t>Příloha č. 1 – Specifikace Služeb</w:t>
      </w:r>
    </w:p>
    <w:p w14:paraId="0F76674B" w14:textId="77777777" w:rsidR="007C12C7" w:rsidRDefault="007C12C7">
      <w:pPr>
        <w:pStyle w:val="Zkladntext2"/>
        <w:tabs>
          <w:tab w:val="left" w:pos="4678"/>
        </w:tabs>
        <w:spacing w:after="0" w:line="240" w:lineRule="auto"/>
        <w:rPr>
          <w:b/>
          <w:sz w:val="20"/>
          <w:szCs w:val="20"/>
          <w:lang w:val="cs-CZ"/>
        </w:rPr>
      </w:pPr>
    </w:p>
    <w:p w14:paraId="4C656B02" w14:textId="77777777" w:rsidR="007C12C7" w:rsidRDefault="003316E2">
      <w:pPr>
        <w:pStyle w:val="Nadpis1"/>
      </w:pPr>
      <w:bookmarkStart w:id="67" w:name="_Toc94020423"/>
      <w:bookmarkStart w:id="68" w:name="_Toc91588707"/>
      <w:bookmarkStart w:id="69" w:name="_Toc87566035"/>
      <w:r>
        <w:t xml:space="preserve">Software/aplikační </w:t>
      </w:r>
      <w:proofErr w:type="spellStart"/>
      <w:r>
        <w:t>maintenance</w:t>
      </w:r>
      <w:bookmarkEnd w:id="67"/>
      <w:bookmarkEnd w:id="68"/>
      <w:bookmarkEnd w:id="69"/>
      <w:proofErr w:type="spellEnd"/>
    </w:p>
    <w:p w14:paraId="69C6FF7F" w14:textId="77777777" w:rsidR="007C12C7" w:rsidRDefault="003316E2">
      <w:pPr>
        <w:spacing w:line="276" w:lineRule="auto"/>
        <w:rPr>
          <w:color w:val="000000"/>
        </w:rPr>
      </w:pPr>
      <w:r>
        <w:t xml:space="preserve">Nabízíme službu </w:t>
      </w:r>
      <w:proofErr w:type="spellStart"/>
      <w:r>
        <w:t>Maintenance</w:t>
      </w:r>
      <w:proofErr w:type="spellEnd"/>
      <w:r>
        <w:t xml:space="preserve"> LMS systému, která zajišťuje schopnost systému správně fungovat a schopnosti dodavatele držet znalosti a dovednosti (</w:t>
      </w:r>
      <w:proofErr w:type="spellStart"/>
      <w:proofErr w:type="gramStart"/>
      <w:r>
        <w:t>Know</w:t>
      </w:r>
      <w:proofErr w:type="spellEnd"/>
      <w:r>
        <w:t xml:space="preserve"> - </w:t>
      </w:r>
      <w:proofErr w:type="spellStart"/>
      <w:r>
        <w:t>How</w:t>
      </w:r>
      <w:proofErr w:type="spellEnd"/>
      <w:proofErr w:type="gramEnd"/>
      <w:r>
        <w:t>) nezbytné k tomu, aby se tento systém rozvíjel, podporoval a udržoval.</w:t>
      </w:r>
    </w:p>
    <w:p w14:paraId="124487D3" w14:textId="77777777" w:rsidR="007C12C7" w:rsidRDefault="003316E2">
      <w:pPr>
        <w:spacing w:line="276" w:lineRule="auto"/>
      </w:pPr>
      <w:r>
        <w:rPr>
          <w:color w:val="000000"/>
        </w:rPr>
        <w:t xml:space="preserve">Služba </w:t>
      </w:r>
      <w:proofErr w:type="spellStart"/>
      <w:r>
        <w:rPr>
          <w:color w:val="000000"/>
        </w:rPr>
        <w:t>Application</w:t>
      </w:r>
      <w:proofErr w:type="spellEnd"/>
      <w:r>
        <w:rPr>
          <w:color w:val="000000"/>
        </w:rPr>
        <w:t xml:space="preserve"> </w:t>
      </w:r>
      <w:proofErr w:type="spellStart"/>
      <w:r>
        <w:rPr>
          <w:color w:val="000000"/>
        </w:rPr>
        <w:t>maintenance</w:t>
      </w:r>
      <w:proofErr w:type="spellEnd"/>
      <w:r>
        <w:rPr>
          <w:color w:val="000000"/>
        </w:rPr>
        <w:t xml:space="preserve"> (údržba Systému) je realizována Dodavatelem tak, aby co možná nejvíce zamezil vzniku jakýchkoliv incidentů, které by znemožňovaly řádné užívání LMS. Její součástí je p</w:t>
      </w:r>
      <w:r>
        <w:t>ravidelná a systematická údržba verzí specifických zákaznických úprav dodaných nad LMS a řešení incidentů.</w:t>
      </w:r>
    </w:p>
    <w:p w14:paraId="6A1B7793" w14:textId="77777777" w:rsidR="007C12C7" w:rsidRDefault="007C12C7">
      <w:pPr>
        <w:spacing w:line="276" w:lineRule="auto"/>
        <w:rPr>
          <w:color w:val="000000"/>
        </w:rPr>
      </w:pPr>
    </w:p>
    <w:p w14:paraId="3AC73F02" w14:textId="77777777" w:rsidR="007C12C7" w:rsidRDefault="003316E2">
      <w:pPr>
        <w:rPr>
          <w:b/>
          <w:sz w:val="22"/>
          <w:szCs w:val="22"/>
        </w:rPr>
      </w:pPr>
      <w:r>
        <w:rPr>
          <w:b/>
          <w:sz w:val="22"/>
          <w:szCs w:val="22"/>
        </w:rPr>
        <w:t>Poskytované služby:</w:t>
      </w:r>
    </w:p>
    <w:p w14:paraId="08C90C31" w14:textId="77777777" w:rsidR="007C12C7" w:rsidRDefault="003316E2">
      <w:pPr>
        <w:pStyle w:val="Odstavecseseznamem"/>
        <w:numPr>
          <w:ilvl w:val="0"/>
          <w:numId w:val="9"/>
        </w:numPr>
        <w:suppressAutoHyphens w:val="0"/>
        <w:textAlignment w:val="auto"/>
      </w:pPr>
      <w:proofErr w:type="spellStart"/>
      <w:r>
        <w:t>maintenance</w:t>
      </w:r>
      <w:proofErr w:type="spellEnd"/>
      <w:r>
        <w:t xml:space="preserve"> LMS</w:t>
      </w:r>
    </w:p>
    <w:p w14:paraId="23E56CD3" w14:textId="77777777" w:rsidR="007C12C7" w:rsidRDefault="003316E2">
      <w:pPr>
        <w:pStyle w:val="Odstavecseseznamem"/>
        <w:numPr>
          <w:ilvl w:val="0"/>
          <w:numId w:val="9"/>
        </w:numPr>
        <w:suppressAutoHyphens w:val="0"/>
        <w:textAlignment w:val="auto"/>
      </w:pPr>
      <w:r>
        <w:t>kontrola logů LMS, prevence nestandardních stavů;</w:t>
      </w:r>
    </w:p>
    <w:p w14:paraId="338C96E5" w14:textId="77777777" w:rsidR="007C12C7" w:rsidRDefault="003316E2">
      <w:pPr>
        <w:pStyle w:val="Odstavecseseznamem"/>
        <w:numPr>
          <w:ilvl w:val="0"/>
          <w:numId w:val="9"/>
        </w:numPr>
        <w:suppressAutoHyphens w:val="0"/>
        <w:textAlignment w:val="auto"/>
      </w:pPr>
      <w:r>
        <w:t>incident management</w:t>
      </w:r>
    </w:p>
    <w:p w14:paraId="3385AA88" w14:textId="77777777" w:rsidR="007C12C7" w:rsidRDefault="003316E2">
      <w:pPr>
        <w:pStyle w:val="Odstavecseseznamem"/>
        <w:numPr>
          <w:ilvl w:val="0"/>
          <w:numId w:val="9"/>
        </w:numPr>
        <w:suppressAutoHyphens w:val="0"/>
        <w:textAlignment w:val="auto"/>
      </w:pPr>
      <w:r>
        <w:t>Na vyžádání instalace bezpečnostních záplat pro LMS maximálně jednou za čtvrt roku</w:t>
      </w:r>
    </w:p>
    <w:p w14:paraId="29EBE6FE" w14:textId="77777777" w:rsidR="007C12C7" w:rsidRDefault="007C12C7">
      <w:pPr>
        <w:suppressAutoHyphens w:val="0"/>
        <w:ind w:left="720"/>
        <w:textAlignment w:val="auto"/>
      </w:pPr>
    </w:p>
    <w:p w14:paraId="5A0971F8" w14:textId="77777777" w:rsidR="007C12C7" w:rsidRDefault="003316E2">
      <w:pPr>
        <w:pStyle w:val="Nadpis2"/>
      </w:pPr>
      <w:bookmarkStart w:id="70" w:name="_Toc91588709"/>
      <w:bookmarkStart w:id="71" w:name="_Toc87566037"/>
      <w:r>
        <w:t>Incident management</w:t>
      </w:r>
      <w:bookmarkEnd w:id="70"/>
      <w:bookmarkEnd w:id="71"/>
    </w:p>
    <w:p w14:paraId="37660CD0" w14:textId="77777777" w:rsidR="007C12C7" w:rsidRDefault="003316E2">
      <w:r>
        <w:t>Cílem incident managementu je reakce a zajištění oprav reportovaných problémů v LMS.</w:t>
      </w:r>
    </w:p>
    <w:p w14:paraId="6106599B" w14:textId="77777777" w:rsidR="007C12C7" w:rsidRDefault="003316E2">
      <w:pPr>
        <w:pStyle w:val="Odstavecseseznamem"/>
        <w:numPr>
          <w:ilvl w:val="0"/>
          <w:numId w:val="8"/>
        </w:numPr>
        <w:suppressAutoHyphens w:val="0"/>
        <w:spacing w:before="120"/>
        <w:textAlignment w:val="auto"/>
        <w:rPr>
          <w:sz w:val="26"/>
          <w:szCs w:val="26"/>
        </w:rPr>
      </w:pPr>
      <w:r>
        <w:t>Příjem a správa incidentů.</w:t>
      </w:r>
    </w:p>
    <w:p w14:paraId="4BA88B8A" w14:textId="77777777" w:rsidR="007C12C7" w:rsidRDefault="003316E2">
      <w:pPr>
        <w:pStyle w:val="Odstavecseseznamem"/>
        <w:numPr>
          <w:ilvl w:val="0"/>
          <w:numId w:val="8"/>
        </w:numPr>
        <w:suppressAutoHyphens w:val="0"/>
        <w:textAlignment w:val="auto"/>
        <w:rPr>
          <w:sz w:val="26"/>
          <w:szCs w:val="26"/>
        </w:rPr>
      </w:pPr>
      <w:r>
        <w:t>Analýza incidentů.</w:t>
      </w:r>
    </w:p>
    <w:p w14:paraId="1BFE0D1E" w14:textId="77777777" w:rsidR="007C12C7" w:rsidRDefault="003316E2">
      <w:pPr>
        <w:pStyle w:val="Odstavecseseznamem"/>
        <w:numPr>
          <w:ilvl w:val="0"/>
          <w:numId w:val="8"/>
        </w:numPr>
        <w:suppressAutoHyphens w:val="0"/>
        <w:textAlignment w:val="auto"/>
        <w:rPr>
          <w:sz w:val="26"/>
          <w:szCs w:val="26"/>
        </w:rPr>
      </w:pPr>
      <w:r>
        <w:t>Poskytování krátkodobých alternativních řešení (</w:t>
      </w:r>
      <w:proofErr w:type="spellStart"/>
      <w:r>
        <w:t>Workarounds</w:t>
      </w:r>
      <w:proofErr w:type="spellEnd"/>
      <w:r>
        <w:t>) na eliminaci incidentů.</w:t>
      </w:r>
    </w:p>
    <w:p w14:paraId="7C4A0585" w14:textId="77777777" w:rsidR="007C12C7" w:rsidRDefault="003316E2">
      <w:pPr>
        <w:pStyle w:val="Odstavecseseznamem"/>
        <w:numPr>
          <w:ilvl w:val="0"/>
          <w:numId w:val="8"/>
        </w:numPr>
        <w:suppressAutoHyphens w:val="0"/>
        <w:spacing w:after="360"/>
        <w:textAlignment w:val="auto"/>
        <w:rPr>
          <w:sz w:val="26"/>
          <w:szCs w:val="26"/>
        </w:rPr>
      </w:pPr>
      <w:r>
        <w:t>Podávání zpráv o pokroku a řešení provozních problémů.</w:t>
      </w:r>
    </w:p>
    <w:p w14:paraId="3EC2C66A" w14:textId="77777777" w:rsidR="007C12C7" w:rsidRDefault="003316E2">
      <w:r>
        <w:t>Na základě nahlášení incidentu nebo požadavku máme právo si vyžádat bližší specifikaci. Tato činnost je již považována za zahájení činnosti (reakci).</w:t>
      </w:r>
    </w:p>
    <w:p w14:paraId="5142972A" w14:textId="77777777" w:rsidR="007C12C7" w:rsidRDefault="003316E2">
      <w:pPr>
        <w:rPr>
          <w:highlight w:val="white"/>
        </w:rPr>
      </w:pPr>
      <w:r>
        <w:t xml:space="preserve">Po ukončení činnosti na vyřešení incidentu nebo realizaci předmětného požadavku bude stav předmětného incidentu nebo požadavku změněn do stavu „Eliminováno“ (či do stavu obdobného významu) a uvědomí o tom e-mailem autora požadavku. Za eliminaci incidentu se považuje i jeho přeřazení do nižší kategorie; přeřazením incidentu do nižší kategorie však začínají běžet lhůty k vyřešení předmětného incidentu nižší kategorie. </w:t>
      </w:r>
      <w:r>
        <w:rPr>
          <w:highlight w:val="white"/>
        </w:rPr>
        <w:t>Za vyřešení incidentu se považuje i identifikování problému ve službách neposkytovaných Dodavatelem.</w:t>
      </w:r>
    </w:p>
    <w:p w14:paraId="02AE0B1E" w14:textId="77777777" w:rsidR="007C12C7" w:rsidRDefault="007C12C7"/>
    <w:p w14:paraId="69ED1DBE" w14:textId="77777777" w:rsidR="007C12C7" w:rsidRDefault="003316E2">
      <w:r>
        <w:t xml:space="preserve">Pokud se zadavatel požadavku ve lhůtě 2 pracovních dnů, od doručení e-mailu oznamujícího vyřešení incidentu či požadavku nevyjádří, nebo pokud v této lhůtě vyjádří e-mailem souhlas s vyřešením incidentu či požadavku, má se za to, že vyřešení incidentu nebo realizaci požadavku je odsouhlaseno a vzniká nárok na uvedení incidentu či požadavku v </w:t>
      </w:r>
      <w:proofErr w:type="spellStart"/>
      <w:r>
        <w:t>Service</w:t>
      </w:r>
      <w:proofErr w:type="spellEnd"/>
      <w:r>
        <w:t xml:space="preserve"> </w:t>
      </w:r>
      <w:proofErr w:type="spellStart"/>
      <w:r>
        <w:t>desk</w:t>
      </w:r>
      <w:proofErr w:type="spellEnd"/>
      <w:r>
        <w:t xml:space="preserve"> do stavu „Uzavřeno“ (či do stavu obdobného významu). V případě, že oprávněný uživatel informuje e-mailem ve výše uvedené lhůtě 2 pracovních dnů, že s vyřešením incidentu nebo požadavku nesouhlasí, pokračuje se v řešení požadavku nebo incidentu v jeho původní kategorii a je jeho dobách na vyřešení. Do doby vyřešení není počítána doba od okamžiku </w:t>
      </w:r>
      <w:r>
        <w:lastRenderedPageBreak/>
        <w:t>doručení e-mailu autorovi požadavku o vyřešení incidentu či požadavku do okamžiku doručení e-mailu obsahujícího informaci o souhlasu či nesouhlasu s vyřešením incidentu nebo požadavku.</w:t>
      </w:r>
    </w:p>
    <w:p w14:paraId="489AE36F" w14:textId="77777777" w:rsidR="007C12C7" w:rsidRDefault="003316E2">
      <w:r>
        <w:t xml:space="preserve"> </w:t>
      </w:r>
    </w:p>
    <w:p w14:paraId="7913E8E5" w14:textId="77777777" w:rsidR="007C12C7" w:rsidRDefault="003316E2">
      <w:pPr>
        <w:pStyle w:val="Nadpis3"/>
      </w:pPr>
      <w:r>
        <w:t>Kategorie incidentů:</w:t>
      </w:r>
    </w:p>
    <w:p w14:paraId="0BDA95A7" w14:textId="77777777" w:rsidR="007C12C7" w:rsidRDefault="007C12C7">
      <w:pPr>
        <w:rPr>
          <w:sz w:val="22"/>
          <w:szCs w:val="22"/>
        </w:rPr>
      </w:pPr>
    </w:p>
    <w:p w14:paraId="5BABCFE7" w14:textId="77777777" w:rsidR="007C12C7" w:rsidRDefault="003316E2">
      <w:pPr>
        <w:rPr>
          <w:sz w:val="26"/>
          <w:szCs w:val="26"/>
        </w:rPr>
      </w:pPr>
      <w:r>
        <w:t>V následující tabulce jsou definovány kategorie incidentů.</w:t>
      </w:r>
    </w:p>
    <w:p w14:paraId="6953BF83" w14:textId="77777777" w:rsidR="007C12C7" w:rsidRDefault="007C12C7">
      <w:pPr>
        <w:rPr>
          <w:b/>
          <w:sz w:val="22"/>
          <w:szCs w:val="22"/>
        </w:rPr>
      </w:pPr>
    </w:p>
    <w:tbl>
      <w:tblPr>
        <w:tblW w:w="9405" w:type="dxa"/>
        <w:tblInd w:w="108" w:type="dxa"/>
        <w:tblLayout w:type="fixed"/>
        <w:tblLook w:val="0000" w:firstRow="0" w:lastRow="0" w:firstColumn="0" w:lastColumn="0" w:noHBand="0" w:noVBand="0"/>
      </w:tblPr>
      <w:tblGrid>
        <w:gridCol w:w="1186"/>
        <w:gridCol w:w="8219"/>
      </w:tblGrid>
      <w:tr w:rsidR="007C12C7" w14:paraId="29AFE98F" w14:textId="77777777">
        <w:tc>
          <w:tcPr>
            <w:tcW w:w="1186" w:type="dxa"/>
            <w:tcBorders>
              <w:top w:val="single" w:sz="4" w:space="0" w:color="000000"/>
              <w:left w:val="single" w:sz="4" w:space="0" w:color="000000"/>
              <w:bottom w:val="single" w:sz="4" w:space="0" w:color="000000"/>
              <w:right w:val="single" w:sz="4" w:space="0" w:color="000000"/>
            </w:tcBorders>
            <w:shd w:val="clear" w:color="auto" w:fill="3366FF"/>
          </w:tcPr>
          <w:p w14:paraId="4CE6E253" w14:textId="77777777" w:rsidR="007C12C7" w:rsidRDefault="003316E2">
            <w:pPr>
              <w:widowControl w:val="0"/>
              <w:rPr>
                <w:b/>
                <w:color w:val="FFFFFF"/>
                <w:sz w:val="22"/>
                <w:szCs w:val="22"/>
              </w:rPr>
            </w:pPr>
            <w:r>
              <w:rPr>
                <w:b/>
                <w:color w:val="FFFFFF"/>
                <w:sz w:val="22"/>
                <w:szCs w:val="22"/>
              </w:rPr>
              <w:t>Kategorie</w:t>
            </w:r>
          </w:p>
        </w:tc>
        <w:tc>
          <w:tcPr>
            <w:tcW w:w="8218" w:type="dxa"/>
            <w:tcBorders>
              <w:top w:val="single" w:sz="4" w:space="0" w:color="000000"/>
              <w:left w:val="single" w:sz="4" w:space="0" w:color="000000"/>
              <w:bottom w:val="single" w:sz="4" w:space="0" w:color="000000"/>
              <w:right w:val="single" w:sz="4" w:space="0" w:color="000000"/>
            </w:tcBorders>
            <w:shd w:val="clear" w:color="auto" w:fill="3366FF"/>
          </w:tcPr>
          <w:p w14:paraId="50856CE8" w14:textId="77777777" w:rsidR="007C12C7" w:rsidRDefault="003316E2">
            <w:pPr>
              <w:widowControl w:val="0"/>
              <w:rPr>
                <w:b/>
                <w:color w:val="FFFFFF"/>
                <w:sz w:val="22"/>
                <w:szCs w:val="22"/>
              </w:rPr>
            </w:pPr>
            <w:r>
              <w:rPr>
                <w:b/>
                <w:color w:val="FFFFFF"/>
                <w:sz w:val="22"/>
                <w:szCs w:val="22"/>
              </w:rPr>
              <w:t>Popis</w:t>
            </w:r>
          </w:p>
        </w:tc>
      </w:tr>
      <w:tr w:rsidR="007C12C7" w14:paraId="6BFA3FF9" w14:textId="77777777">
        <w:tc>
          <w:tcPr>
            <w:tcW w:w="1186" w:type="dxa"/>
            <w:tcBorders>
              <w:top w:val="single" w:sz="4" w:space="0" w:color="000000"/>
              <w:left w:val="single" w:sz="4" w:space="0" w:color="000000"/>
              <w:bottom w:val="single" w:sz="4" w:space="0" w:color="000000"/>
              <w:right w:val="single" w:sz="4" w:space="0" w:color="000000"/>
            </w:tcBorders>
          </w:tcPr>
          <w:p w14:paraId="5C9FCE4A" w14:textId="77777777" w:rsidR="007C12C7" w:rsidRDefault="003316E2">
            <w:pPr>
              <w:widowControl w:val="0"/>
              <w:rPr>
                <w:b/>
                <w:sz w:val="22"/>
                <w:szCs w:val="22"/>
              </w:rPr>
            </w:pPr>
            <w:r>
              <w:rPr>
                <w:b/>
                <w:sz w:val="22"/>
                <w:szCs w:val="22"/>
              </w:rPr>
              <w:t>A</w:t>
            </w:r>
          </w:p>
        </w:tc>
        <w:tc>
          <w:tcPr>
            <w:tcW w:w="8218" w:type="dxa"/>
            <w:tcBorders>
              <w:top w:val="single" w:sz="4" w:space="0" w:color="000000"/>
              <w:left w:val="single" w:sz="4" w:space="0" w:color="000000"/>
              <w:bottom w:val="single" w:sz="4" w:space="0" w:color="000000"/>
              <w:right w:val="single" w:sz="4" w:space="0" w:color="000000"/>
            </w:tcBorders>
          </w:tcPr>
          <w:p w14:paraId="79B9E7B0" w14:textId="77777777" w:rsidR="007C12C7" w:rsidRDefault="003316E2">
            <w:pPr>
              <w:keepNext/>
              <w:widowControl w:val="0"/>
              <w:rPr>
                <w:sz w:val="22"/>
                <w:szCs w:val="22"/>
              </w:rPr>
            </w:pPr>
            <w:r>
              <w:rPr>
                <w:sz w:val="22"/>
                <w:szCs w:val="22"/>
              </w:rPr>
              <w:t xml:space="preserve">Situace, kdy systém nebo část systému je zcela nefunkční, neumožňuje práci uživatelů s dílem. </w:t>
            </w:r>
          </w:p>
        </w:tc>
      </w:tr>
      <w:tr w:rsidR="007C12C7" w14:paraId="0C95D8D2" w14:textId="77777777">
        <w:tc>
          <w:tcPr>
            <w:tcW w:w="1186" w:type="dxa"/>
            <w:tcBorders>
              <w:top w:val="single" w:sz="4" w:space="0" w:color="000000"/>
              <w:left w:val="single" w:sz="4" w:space="0" w:color="000000"/>
              <w:bottom w:val="single" w:sz="4" w:space="0" w:color="000000"/>
              <w:right w:val="single" w:sz="4" w:space="0" w:color="000000"/>
            </w:tcBorders>
          </w:tcPr>
          <w:p w14:paraId="7A75292B" w14:textId="77777777" w:rsidR="007C12C7" w:rsidRDefault="003316E2">
            <w:pPr>
              <w:widowControl w:val="0"/>
              <w:rPr>
                <w:b/>
                <w:sz w:val="22"/>
                <w:szCs w:val="22"/>
              </w:rPr>
            </w:pPr>
            <w:r>
              <w:rPr>
                <w:b/>
                <w:sz w:val="22"/>
                <w:szCs w:val="22"/>
              </w:rPr>
              <w:t>B</w:t>
            </w:r>
          </w:p>
        </w:tc>
        <w:tc>
          <w:tcPr>
            <w:tcW w:w="8218" w:type="dxa"/>
            <w:tcBorders>
              <w:top w:val="single" w:sz="4" w:space="0" w:color="000000"/>
              <w:left w:val="single" w:sz="4" w:space="0" w:color="000000"/>
              <w:bottom w:val="single" w:sz="4" w:space="0" w:color="000000"/>
              <w:right w:val="single" w:sz="4" w:space="0" w:color="000000"/>
            </w:tcBorders>
          </w:tcPr>
          <w:p w14:paraId="7BB93E3E" w14:textId="77777777" w:rsidR="007C12C7" w:rsidRDefault="003316E2">
            <w:pPr>
              <w:keepNext/>
              <w:widowControl w:val="0"/>
              <w:rPr>
                <w:sz w:val="22"/>
                <w:szCs w:val="22"/>
              </w:rPr>
            </w:pPr>
            <w:r>
              <w:rPr>
                <w:sz w:val="22"/>
                <w:szCs w:val="22"/>
              </w:rPr>
              <w:t>Situace, kdy systém nebo část systému je částečně funkční, umožňuje částečné poskytování služeb, po přechodnou dobu se sníženým komfortem uživatelů, případně provizorním způsobem z důvodů na straně díla nebo jeho části, na niž je Dodavatel povinen poskytovat servisní služby.</w:t>
            </w:r>
          </w:p>
        </w:tc>
      </w:tr>
      <w:tr w:rsidR="007C12C7" w14:paraId="33F1DF2C" w14:textId="77777777">
        <w:tc>
          <w:tcPr>
            <w:tcW w:w="1186" w:type="dxa"/>
            <w:tcBorders>
              <w:top w:val="single" w:sz="4" w:space="0" w:color="000000"/>
              <w:left w:val="single" w:sz="4" w:space="0" w:color="000000"/>
              <w:bottom w:val="single" w:sz="4" w:space="0" w:color="000000"/>
              <w:right w:val="single" w:sz="4" w:space="0" w:color="000000"/>
            </w:tcBorders>
          </w:tcPr>
          <w:p w14:paraId="6BABB359" w14:textId="77777777" w:rsidR="007C12C7" w:rsidRDefault="003316E2">
            <w:pPr>
              <w:widowControl w:val="0"/>
              <w:rPr>
                <w:b/>
                <w:sz w:val="22"/>
                <w:szCs w:val="22"/>
              </w:rPr>
            </w:pPr>
            <w:r>
              <w:rPr>
                <w:b/>
                <w:sz w:val="22"/>
                <w:szCs w:val="22"/>
              </w:rPr>
              <w:t>C</w:t>
            </w:r>
          </w:p>
        </w:tc>
        <w:tc>
          <w:tcPr>
            <w:tcW w:w="8218" w:type="dxa"/>
            <w:tcBorders>
              <w:top w:val="single" w:sz="4" w:space="0" w:color="000000"/>
              <w:left w:val="single" w:sz="4" w:space="0" w:color="000000"/>
              <w:bottom w:val="single" w:sz="4" w:space="0" w:color="000000"/>
              <w:right w:val="single" w:sz="4" w:space="0" w:color="000000"/>
            </w:tcBorders>
          </w:tcPr>
          <w:p w14:paraId="350C4CFA" w14:textId="77777777" w:rsidR="007C12C7" w:rsidRDefault="003316E2">
            <w:pPr>
              <w:keepNext/>
              <w:widowControl w:val="0"/>
              <w:rPr>
                <w:sz w:val="22"/>
                <w:szCs w:val="22"/>
              </w:rPr>
            </w:pPr>
            <w:r>
              <w:rPr>
                <w:sz w:val="22"/>
                <w:szCs w:val="22"/>
              </w:rPr>
              <w:t>Nedostatky a vady drobného rozsahu, které nebrání užívání Systému nebo jeho části, nicméně nejsou v souladu s technickým stavem Systému dle smlouvy o dílo.</w:t>
            </w:r>
          </w:p>
        </w:tc>
      </w:tr>
    </w:tbl>
    <w:p w14:paraId="610B7858" w14:textId="77777777" w:rsidR="007C12C7" w:rsidRDefault="007C12C7">
      <w:pPr>
        <w:rPr>
          <w:sz w:val="22"/>
          <w:szCs w:val="22"/>
        </w:rPr>
      </w:pPr>
    </w:p>
    <w:p w14:paraId="1014AE40" w14:textId="77777777" w:rsidR="007C12C7" w:rsidRDefault="003316E2">
      <w:r>
        <w:t>V následující tabulce jsou definovány Reakční doby a Doby vyřešení dle jednotlivých kategorií incidentů.</w:t>
      </w:r>
    </w:p>
    <w:p w14:paraId="046D7E68" w14:textId="77777777" w:rsidR="007C12C7" w:rsidRDefault="003316E2">
      <w:pPr>
        <w:keepNext/>
        <w:keepLines/>
      </w:pPr>
      <w:r>
        <w:t xml:space="preserve"> </w:t>
      </w:r>
    </w:p>
    <w:p w14:paraId="77971540" w14:textId="77777777" w:rsidR="007C12C7" w:rsidRDefault="003316E2">
      <w:pPr>
        <w:pStyle w:val="Nadpis3"/>
      </w:pPr>
      <w:r>
        <w:t>Úroveň servisních služeb Technické podpory v řešení Incidentů:</w:t>
      </w:r>
    </w:p>
    <w:p w14:paraId="7A171E4D" w14:textId="77777777" w:rsidR="007C12C7" w:rsidRDefault="007C12C7">
      <w:pPr>
        <w:keepNext/>
        <w:keepLines/>
        <w:rPr>
          <w:b/>
          <w:sz w:val="22"/>
          <w:szCs w:val="22"/>
        </w:rPr>
      </w:pPr>
    </w:p>
    <w:tbl>
      <w:tblPr>
        <w:tblW w:w="9807" w:type="dxa"/>
        <w:tblInd w:w="108" w:type="dxa"/>
        <w:tblLayout w:type="fixed"/>
        <w:tblLook w:val="0000" w:firstRow="0" w:lastRow="0" w:firstColumn="0" w:lastColumn="0" w:noHBand="0" w:noVBand="0"/>
      </w:tblPr>
      <w:tblGrid>
        <w:gridCol w:w="1478"/>
        <w:gridCol w:w="1201"/>
        <w:gridCol w:w="1703"/>
        <w:gridCol w:w="1082"/>
        <w:gridCol w:w="1508"/>
        <w:gridCol w:w="1138"/>
        <w:gridCol w:w="1697"/>
      </w:tblGrid>
      <w:tr w:rsidR="007C12C7" w14:paraId="224D30FE" w14:textId="77777777">
        <w:trPr>
          <w:trHeight w:val="331"/>
        </w:trPr>
        <w:tc>
          <w:tcPr>
            <w:tcW w:w="1477" w:type="dxa"/>
            <w:vMerge w:val="restart"/>
            <w:tcBorders>
              <w:top w:val="single" w:sz="4" w:space="0" w:color="000000"/>
              <w:left w:val="single" w:sz="4" w:space="0" w:color="000000"/>
              <w:bottom w:val="single" w:sz="4" w:space="0" w:color="000000"/>
              <w:right w:val="single" w:sz="4" w:space="0" w:color="000000"/>
            </w:tcBorders>
            <w:shd w:val="clear" w:color="auto" w:fill="3366FF"/>
          </w:tcPr>
          <w:p w14:paraId="63F25918" w14:textId="77777777" w:rsidR="007C12C7" w:rsidRDefault="003316E2">
            <w:pPr>
              <w:keepNext/>
              <w:keepLines/>
              <w:widowControl w:val="0"/>
              <w:rPr>
                <w:b/>
                <w:color w:val="FFFFFF"/>
              </w:rPr>
            </w:pPr>
            <w:r>
              <w:rPr>
                <w:b/>
                <w:color w:val="FFFFFF"/>
                <w:sz w:val="22"/>
                <w:szCs w:val="22"/>
              </w:rPr>
              <w:t>Úroveň</w:t>
            </w:r>
          </w:p>
        </w:tc>
        <w:tc>
          <w:tcPr>
            <w:tcW w:w="2904" w:type="dxa"/>
            <w:gridSpan w:val="2"/>
            <w:tcBorders>
              <w:top w:val="single" w:sz="4" w:space="0" w:color="000000"/>
              <w:left w:val="single" w:sz="4" w:space="0" w:color="000000"/>
              <w:bottom w:val="single" w:sz="4" w:space="0" w:color="000000"/>
              <w:right w:val="single" w:sz="4" w:space="0" w:color="000000"/>
            </w:tcBorders>
            <w:shd w:val="clear" w:color="auto" w:fill="3366FF"/>
          </w:tcPr>
          <w:p w14:paraId="6350E7ED" w14:textId="77777777" w:rsidR="007C12C7" w:rsidRDefault="003316E2">
            <w:pPr>
              <w:keepNext/>
              <w:keepLines/>
              <w:widowControl w:val="0"/>
              <w:jc w:val="center"/>
              <w:rPr>
                <w:b/>
                <w:color w:val="FFFFFF"/>
              </w:rPr>
            </w:pPr>
            <w:r>
              <w:rPr>
                <w:b/>
                <w:color w:val="FFFFFF"/>
                <w:sz w:val="22"/>
                <w:szCs w:val="22"/>
              </w:rPr>
              <w:t>A</w:t>
            </w:r>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3366FF"/>
          </w:tcPr>
          <w:p w14:paraId="31DE52C1" w14:textId="77777777" w:rsidR="007C12C7" w:rsidRDefault="003316E2">
            <w:pPr>
              <w:keepNext/>
              <w:keepLines/>
              <w:widowControl w:val="0"/>
              <w:jc w:val="center"/>
              <w:rPr>
                <w:b/>
                <w:color w:val="FFFFFF"/>
              </w:rPr>
            </w:pPr>
            <w:r>
              <w:rPr>
                <w:b/>
                <w:color w:val="FFFFFF"/>
                <w:sz w:val="22"/>
                <w:szCs w:val="22"/>
              </w:rPr>
              <w:t>B</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3366FF"/>
          </w:tcPr>
          <w:p w14:paraId="39197FEB" w14:textId="77777777" w:rsidR="007C12C7" w:rsidRDefault="003316E2">
            <w:pPr>
              <w:keepNext/>
              <w:keepLines/>
              <w:widowControl w:val="0"/>
              <w:jc w:val="center"/>
              <w:rPr>
                <w:b/>
                <w:color w:val="FFFFFF"/>
              </w:rPr>
            </w:pPr>
            <w:r>
              <w:rPr>
                <w:b/>
                <w:color w:val="FFFFFF"/>
                <w:sz w:val="22"/>
                <w:szCs w:val="22"/>
              </w:rPr>
              <w:t>C</w:t>
            </w:r>
          </w:p>
        </w:tc>
      </w:tr>
      <w:tr w:rsidR="007C12C7" w14:paraId="3DD19114" w14:textId="77777777">
        <w:trPr>
          <w:trHeight w:val="342"/>
        </w:trPr>
        <w:tc>
          <w:tcPr>
            <w:tcW w:w="1477" w:type="dxa"/>
            <w:vMerge/>
            <w:tcBorders>
              <w:top w:val="single" w:sz="4" w:space="0" w:color="000000"/>
              <w:left w:val="single" w:sz="4" w:space="0" w:color="000000"/>
              <w:bottom w:val="single" w:sz="4" w:space="0" w:color="000000"/>
              <w:right w:val="single" w:sz="4" w:space="0" w:color="000000"/>
            </w:tcBorders>
            <w:shd w:val="clear" w:color="auto" w:fill="3366FF"/>
          </w:tcPr>
          <w:p w14:paraId="065D32DB" w14:textId="77777777" w:rsidR="007C12C7" w:rsidRDefault="007C12C7">
            <w:pPr>
              <w:widowControl w:val="0"/>
              <w:rPr>
                <w:b/>
                <w:color w:val="FFFFFF"/>
              </w:rPr>
            </w:pPr>
          </w:p>
        </w:tc>
        <w:tc>
          <w:tcPr>
            <w:tcW w:w="1201" w:type="dxa"/>
            <w:tcBorders>
              <w:top w:val="single" w:sz="4" w:space="0" w:color="000000"/>
              <w:left w:val="single" w:sz="4" w:space="0" w:color="000000"/>
              <w:bottom w:val="single" w:sz="4" w:space="0" w:color="000000"/>
              <w:right w:val="single" w:sz="4" w:space="0" w:color="000000"/>
            </w:tcBorders>
            <w:shd w:val="clear" w:color="auto" w:fill="3366FF"/>
          </w:tcPr>
          <w:p w14:paraId="40749FF9" w14:textId="77777777" w:rsidR="007C12C7" w:rsidRDefault="003316E2">
            <w:pPr>
              <w:keepNext/>
              <w:keepLines/>
              <w:widowControl w:val="0"/>
              <w:rPr>
                <w:b/>
                <w:color w:val="FFFFFF"/>
              </w:rPr>
            </w:pPr>
            <w:r>
              <w:rPr>
                <w:b/>
                <w:color w:val="FFFFFF"/>
                <w:sz w:val="22"/>
                <w:szCs w:val="22"/>
              </w:rPr>
              <w:t>Reakce</w:t>
            </w:r>
          </w:p>
        </w:tc>
        <w:tc>
          <w:tcPr>
            <w:tcW w:w="1703" w:type="dxa"/>
            <w:tcBorders>
              <w:top w:val="single" w:sz="4" w:space="0" w:color="000000"/>
              <w:left w:val="single" w:sz="4" w:space="0" w:color="000000"/>
              <w:bottom w:val="single" w:sz="4" w:space="0" w:color="000000"/>
              <w:right w:val="single" w:sz="4" w:space="0" w:color="000000"/>
            </w:tcBorders>
            <w:shd w:val="clear" w:color="auto" w:fill="3366FF"/>
          </w:tcPr>
          <w:p w14:paraId="5529F7EF" w14:textId="77777777" w:rsidR="007C12C7" w:rsidRDefault="003316E2">
            <w:pPr>
              <w:keepNext/>
              <w:keepLines/>
              <w:widowControl w:val="0"/>
              <w:rPr>
                <w:b/>
                <w:color w:val="FFFFFF"/>
              </w:rPr>
            </w:pPr>
            <w:r>
              <w:rPr>
                <w:b/>
                <w:color w:val="FFFFFF"/>
                <w:sz w:val="22"/>
                <w:szCs w:val="22"/>
              </w:rPr>
              <w:t>Vyřešení</w:t>
            </w:r>
          </w:p>
        </w:tc>
        <w:tc>
          <w:tcPr>
            <w:tcW w:w="1082" w:type="dxa"/>
            <w:tcBorders>
              <w:top w:val="single" w:sz="4" w:space="0" w:color="000000"/>
              <w:left w:val="single" w:sz="4" w:space="0" w:color="000000"/>
              <w:bottom w:val="single" w:sz="4" w:space="0" w:color="000000"/>
              <w:right w:val="single" w:sz="4" w:space="0" w:color="000000"/>
            </w:tcBorders>
            <w:shd w:val="clear" w:color="auto" w:fill="3366FF"/>
          </w:tcPr>
          <w:p w14:paraId="46197BEB" w14:textId="77777777" w:rsidR="007C12C7" w:rsidRDefault="003316E2">
            <w:pPr>
              <w:keepNext/>
              <w:keepLines/>
              <w:widowControl w:val="0"/>
              <w:rPr>
                <w:b/>
                <w:color w:val="FFFFFF"/>
              </w:rPr>
            </w:pPr>
            <w:r>
              <w:rPr>
                <w:b/>
                <w:color w:val="FFFFFF"/>
                <w:sz w:val="22"/>
                <w:szCs w:val="22"/>
              </w:rPr>
              <w:t>Reakce</w:t>
            </w:r>
          </w:p>
        </w:tc>
        <w:tc>
          <w:tcPr>
            <w:tcW w:w="1508" w:type="dxa"/>
            <w:tcBorders>
              <w:top w:val="single" w:sz="4" w:space="0" w:color="000000"/>
              <w:left w:val="single" w:sz="4" w:space="0" w:color="000000"/>
              <w:bottom w:val="single" w:sz="4" w:space="0" w:color="000000"/>
              <w:right w:val="single" w:sz="4" w:space="0" w:color="000000"/>
            </w:tcBorders>
            <w:shd w:val="clear" w:color="auto" w:fill="3366FF"/>
          </w:tcPr>
          <w:p w14:paraId="5AB3B605" w14:textId="77777777" w:rsidR="007C12C7" w:rsidRDefault="003316E2">
            <w:pPr>
              <w:keepNext/>
              <w:keepLines/>
              <w:widowControl w:val="0"/>
              <w:rPr>
                <w:b/>
                <w:color w:val="FFFFFF"/>
              </w:rPr>
            </w:pPr>
            <w:r>
              <w:rPr>
                <w:b/>
                <w:color w:val="FFFFFF"/>
                <w:sz w:val="22"/>
                <w:szCs w:val="22"/>
              </w:rPr>
              <w:t>Vyřešení</w:t>
            </w:r>
          </w:p>
        </w:tc>
        <w:tc>
          <w:tcPr>
            <w:tcW w:w="1138" w:type="dxa"/>
            <w:tcBorders>
              <w:top w:val="single" w:sz="4" w:space="0" w:color="000000"/>
              <w:left w:val="single" w:sz="4" w:space="0" w:color="000000"/>
              <w:bottom w:val="single" w:sz="4" w:space="0" w:color="000000"/>
              <w:right w:val="single" w:sz="4" w:space="0" w:color="000000"/>
            </w:tcBorders>
            <w:shd w:val="clear" w:color="auto" w:fill="3366FF"/>
          </w:tcPr>
          <w:p w14:paraId="3B5ABAE1" w14:textId="77777777" w:rsidR="007C12C7" w:rsidRDefault="003316E2">
            <w:pPr>
              <w:keepNext/>
              <w:keepLines/>
              <w:widowControl w:val="0"/>
              <w:rPr>
                <w:b/>
                <w:color w:val="FFFFFF"/>
              </w:rPr>
            </w:pPr>
            <w:r>
              <w:rPr>
                <w:b/>
                <w:color w:val="FFFFFF"/>
                <w:sz w:val="22"/>
                <w:szCs w:val="22"/>
              </w:rPr>
              <w:t>Reakce</w:t>
            </w:r>
          </w:p>
        </w:tc>
        <w:tc>
          <w:tcPr>
            <w:tcW w:w="1697" w:type="dxa"/>
            <w:tcBorders>
              <w:top w:val="single" w:sz="4" w:space="0" w:color="000000"/>
              <w:left w:val="single" w:sz="4" w:space="0" w:color="000000"/>
              <w:bottom w:val="single" w:sz="4" w:space="0" w:color="000000"/>
              <w:right w:val="single" w:sz="4" w:space="0" w:color="000000"/>
            </w:tcBorders>
            <w:shd w:val="clear" w:color="auto" w:fill="3366FF"/>
          </w:tcPr>
          <w:p w14:paraId="22C01425" w14:textId="77777777" w:rsidR="007C12C7" w:rsidRDefault="003316E2">
            <w:pPr>
              <w:keepNext/>
              <w:keepLines/>
              <w:widowControl w:val="0"/>
              <w:ind w:right="30"/>
              <w:rPr>
                <w:b/>
                <w:color w:val="FFFFFF"/>
              </w:rPr>
            </w:pPr>
            <w:r>
              <w:rPr>
                <w:b/>
                <w:color w:val="FFFFFF"/>
              </w:rPr>
              <w:t>Vyřešení</w:t>
            </w:r>
          </w:p>
        </w:tc>
      </w:tr>
      <w:tr w:rsidR="007C12C7" w14:paraId="0A8D0A03" w14:textId="77777777">
        <w:trPr>
          <w:trHeight w:val="1015"/>
        </w:trPr>
        <w:tc>
          <w:tcPr>
            <w:tcW w:w="1477" w:type="dxa"/>
            <w:tcBorders>
              <w:top w:val="single" w:sz="4" w:space="0" w:color="000000"/>
              <w:left w:val="single" w:sz="4" w:space="0" w:color="000000"/>
              <w:bottom w:val="single" w:sz="4" w:space="0" w:color="000000"/>
              <w:right w:val="single" w:sz="4" w:space="0" w:color="000000"/>
            </w:tcBorders>
          </w:tcPr>
          <w:p w14:paraId="2BB78A9A" w14:textId="77777777" w:rsidR="007C12C7" w:rsidRDefault="003316E2">
            <w:pPr>
              <w:keepNext/>
              <w:keepLines/>
              <w:widowControl w:val="0"/>
              <w:rPr>
                <w:b/>
              </w:rPr>
            </w:pPr>
            <w:r>
              <w:rPr>
                <w:b/>
                <w:sz w:val="22"/>
                <w:szCs w:val="22"/>
              </w:rPr>
              <w:t>Incident management</w:t>
            </w:r>
          </w:p>
        </w:tc>
        <w:tc>
          <w:tcPr>
            <w:tcW w:w="1201" w:type="dxa"/>
            <w:tcBorders>
              <w:top w:val="single" w:sz="4" w:space="0" w:color="000000"/>
              <w:left w:val="single" w:sz="4" w:space="0" w:color="000000"/>
              <w:bottom w:val="single" w:sz="4" w:space="0" w:color="000000"/>
              <w:right w:val="single" w:sz="4" w:space="0" w:color="000000"/>
            </w:tcBorders>
          </w:tcPr>
          <w:p w14:paraId="3B4D03B9" w14:textId="77777777" w:rsidR="007C12C7" w:rsidRDefault="003316E2">
            <w:pPr>
              <w:keepNext/>
              <w:keepLines/>
              <w:widowControl w:val="0"/>
            </w:pPr>
            <w:r>
              <w:rPr>
                <w:sz w:val="22"/>
                <w:szCs w:val="22"/>
              </w:rPr>
              <w:t xml:space="preserve">1 </w:t>
            </w:r>
            <w:proofErr w:type="spellStart"/>
            <w:r>
              <w:rPr>
                <w:sz w:val="22"/>
                <w:szCs w:val="22"/>
              </w:rPr>
              <w:t>prac</w:t>
            </w:r>
            <w:proofErr w:type="spellEnd"/>
            <w:r>
              <w:rPr>
                <w:sz w:val="22"/>
                <w:szCs w:val="22"/>
              </w:rPr>
              <w:t>. den</w:t>
            </w:r>
          </w:p>
        </w:tc>
        <w:tc>
          <w:tcPr>
            <w:tcW w:w="1703" w:type="dxa"/>
            <w:tcBorders>
              <w:top w:val="single" w:sz="4" w:space="0" w:color="000000"/>
              <w:left w:val="single" w:sz="4" w:space="0" w:color="000000"/>
              <w:bottom w:val="single" w:sz="4" w:space="0" w:color="000000"/>
              <w:right w:val="single" w:sz="4" w:space="0" w:color="000000"/>
            </w:tcBorders>
          </w:tcPr>
          <w:p w14:paraId="14949884" w14:textId="77777777" w:rsidR="007C12C7" w:rsidRDefault="003316E2">
            <w:pPr>
              <w:keepNext/>
              <w:keepLines/>
              <w:widowControl w:val="0"/>
            </w:pPr>
            <w:r>
              <w:rPr>
                <w:sz w:val="22"/>
                <w:szCs w:val="22"/>
              </w:rPr>
              <w:t xml:space="preserve">3 </w:t>
            </w:r>
            <w:proofErr w:type="spellStart"/>
            <w:r>
              <w:rPr>
                <w:sz w:val="22"/>
                <w:szCs w:val="22"/>
              </w:rPr>
              <w:t>prac</w:t>
            </w:r>
            <w:proofErr w:type="spellEnd"/>
            <w:r>
              <w:rPr>
                <w:sz w:val="22"/>
                <w:szCs w:val="22"/>
              </w:rPr>
              <w:t>. dny</w:t>
            </w:r>
          </w:p>
        </w:tc>
        <w:tc>
          <w:tcPr>
            <w:tcW w:w="1082" w:type="dxa"/>
            <w:tcBorders>
              <w:top w:val="single" w:sz="4" w:space="0" w:color="000000"/>
              <w:left w:val="single" w:sz="4" w:space="0" w:color="000000"/>
              <w:bottom w:val="single" w:sz="4" w:space="0" w:color="000000"/>
              <w:right w:val="single" w:sz="4" w:space="0" w:color="000000"/>
            </w:tcBorders>
          </w:tcPr>
          <w:p w14:paraId="23ABBE4C" w14:textId="77777777" w:rsidR="007C12C7" w:rsidRDefault="003316E2">
            <w:pPr>
              <w:keepNext/>
              <w:keepLines/>
              <w:widowControl w:val="0"/>
            </w:pPr>
            <w:r>
              <w:rPr>
                <w:sz w:val="22"/>
                <w:szCs w:val="22"/>
              </w:rPr>
              <w:t xml:space="preserve">3 </w:t>
            </w:r>
            <w:proofErr w:type="spellStart"/>
            <w:r>
              <w:rPr>
                <w:sz w:val="22"/>
                <w:szCs w:val="22"/>
              </w:rPr>
              <w:t>prac</w:t>
            </w:r>
            <w:proofErr w:type="spellEnd"/>
            <w:r>
              <w:rPr>
                <w:sz w:val="22"/>
                <w:szCs w:val="22"/>
              </w:rPr>
              <w:t>. dny</w:t>
            </w:r>
            <w: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0EB021E2" w14:textId="77777777" w:rsidR="007C12C7" w:rsidRDefault="003316E2">
            <w:pPr>
              <w:keepNext/>
              <w:keepLines/>
              <w:widowControl w:val="0"/>
            </w:pPr>
            <w:r>
              <w:rPr>
                <w:sz w:val="22"/>
                <w:szCs w:val="22"/>
              </w:rPr>
              <w:t xml:space="preserve">10 </w:t>
            </w:r>
            <w:proofErr w:type="spellStart"/>
            <w:r>
              <w:rPr>
                <w:sz w:val="22"/>
                <w:szCs w:val="22"/>
              </w:rPr>
              <w:t>prac</w:t>
            </w:r>
            <w:proofErr w:type="spellEnd"/>
            <w:r>
              <w:rPr>
                <w:sz w:val="22"/>
                <w:szCs w:val="22"/>
              </w:rPr>
              <w:t>. dnů</w:t>
            </w:r>
          </w:p>
        </w:tc>
        <w:tc>
          <w:tcPr>
            <w:tcW w:w="1138" w:type="dxa"/>
            <w:tcBorders>
              <w:top w:val="single" w:sz="4" w:space="0" w:color="000000"/>
              <w:left w:val="single" w:sz="4" w:space="0" w:color="000000"/>
              <w:bottom w:val="single" w:sz="4" w:space="0" w:color="000000"/>
              <w:right w:val="single" w:sz="4" w:space="0" w:color="000000"/>
            </w:tcBorders>
          </w:tcPr>
          <w:p w14:paraId="16109E64" w14:textId="77777777" w:rsidR="007C12C7" w:rsidRDefault="003316E2">
            <w:pPr>
              <w:keepNext/>
              <w:keepLines/>
              <w:widowControl w:val="0"/>
            </w:pPr>
            <w:r>
              <w:rPr>
                <w:sz w:val="22"/>
                <w:szCs w:val="22"/>
              </w:rPr>
              <w:t xml:space="preserve">5 </w:t>
            </w:r>
            <w:proofErr w:type="spellStart"/>
            <w:r>
              <w:rPr>
                <w:sz w:val="22"/>
                <w:szCs w:val="22"/>
              </w:rPr>
              <w:t>prac</w:t>
            </w:r>
            <w:proofErr w:type="spellEnd"/>
            <w:r>
              <w:rPr>
                <w:sz w:val="22"/>
                <w:szCs w:val="22"/>
              </w:rPr>
              <w:t>. dnů</w:t>
            </w:r>
          </w:p>
        </w:tc>
        <w:tc>
          <w:tcPr>
            <w:tcW w:w="1697" w:type="dxa"/>
            <w:tcBorders>
              <w:top w:val="single" w:sz="4" w:space="0" w:color="000000"/>
              <w:left w:val="single" w:sz="4" w:space="0" w:color="000000"/>
              <w:bottom w:val="single" w:sz="4" w:space="0" w:color="000000"/>
              <w:right w:val="single" w:sz="4" w:space="0" w:color="000000"/>
            </w:tcBorders>
          </w:tcPr>
          <w:p w14:paraId="16991A27" w14:textId="77777777" w:rsidR="007C12C7" w:rsidRDefault="003316E2">
            <w:pPr>
              <w:keepNext/>
              <w:keepLines/>
              <w:widowControl w:val="0"/>
            </w:pPr>
            <w:r>
              <w:rPr>
                <w:sz w:val="22"/>
                <w:szCs w:val="22"/>
              </w:rPr>
              <w:t xml:space="preserve">15 </w:t>
            </w:r>
            <w:proofErr w:type="spellStart"/>
            <w:r>
              <w:rPr>
                <w:sz w:val="22"/>
                <w:szCs w:val="22"/>
              </w:rPr>
              <w:t>prac</w:t>
            </w:r>
            <w:proofErr w:type="spellEnd"/>
            <w:r>
              <w:rPr>
                <w:sz w:val="22"/>
                <w:szCs w:val="22"/>
              </w:rPr>
              <w:t>. dnů</w:t>
            </w:r>
          </w:p>
        </w:tc>
      </w:tr>
      <w:tr w:rsidR="007C12C7" w14:paraId="1C45C948" w14:textId="77777777">
        <w:trPr>
          <w:trHeight w:val="661"/>
        </w:trPr>
        <w:tc>
          <w:tcPr>
            <w:tcW w:w="1477" w:type="dxa"/>
            <w:tcBorders>
              <w:top w:val="single" w:sz="4" w:space="0" w:color="000000"/>
              <w:left w:val="single" w:sz="4" w:space="0" w:color="000000"/>
              <w:bottom w:val="single" w:sz="4" w:space="0" w:color="000000"/>
              <w:right w:val="single" w:sz="4" w:space="0" w:color="000000"/>
            </w:tcBorders>
          </w:tcPr>
          <w:p w14:paraId="5FC5BF46" w14:textId="77777777" w:rsidR="007C12C7" w:rsidRDefault="003316E2">
            <w:pPr>
              <w:keepNext/>
              <w:keepLines/>
              <w:widowControl w:val="0"/>
              <w:rPr>
                <w:b/>
              </w:rPr>
            </w:pPr>
            <w:proofErr w:type="spellStart"/>
            <w:r>
              <w:rPr>
                <w:b/>
                <w:sz w:val="22"/>
                <w:szCs w:val="22"/>
              </w:rPr>
              <w:t>Change</w:t>
            </w:r>
            <w:proofErr w:type="spellEnd"/>
            <w:r>
              <w:rPr>
                <w:b/>
                <w:sz w:val="22"/>
                <w:szCs w:val="22"/>
              </w:rPr>
              <w:t xml:space="preserve"> management</w:t>
            </w:r>
          </w:p>
        </w:tc>
        <w:tc>
          <w:tcPr>
            <w:tcW w:w="8329" w:type="dxa"/>
            <w:gridSpan w:val="6"/>
            <w:tcBorders>
              <w:top w:val="single" w:sz="4" w:space="0" w:color="000000"/>
              <w:left w:val="single" w:sz="4" w:space="0" w:color="000000"/>
              <w:bottom w:val="single" w:sz="4" w:space="0" w:color="000000"/>
              <w:right w:val="single" w:sz="4" w:space="0" w:color="000000"/>
            </w:tcBorders>
          </w:tcPr>
          <w:p w14:paraId="4047C462" w14:textId="77777777" w:rsidR="007C12C7" w:rsidRDefault="003316E2">
            <w:pPr>
              <w:keepNext/>
              <w:keepLines/>
              <w:widowControl w:val="0"/>
            </w:pPr>
            <w:r>
              <w:rPr>
                <w:sz w:val="22"/>
                <w:szCs w:val="22"/>
              </w:rPr>
              <w:t>Dodavatel do 10 pracovních dnů od reakce ohodnotí pracnost požadavku a navrhne termín dodání.</w:t>
            </w:r>
          </w:p>
        </w:tc>
      </w:tr>
    </w:tbl>
    <w:p w14:paraId="3C47954A" w14:textId="77777777" w:rsidR="007C12C7" w:rsidRDefault="007C12C7"/>
    <w:p w14:paraId="21371253" w14:textId="77777777" w:rsidR="007C12C7" w:rsidRDefault="003316E2">
      <w:pPr>
        <w:rPr>
          <w:highlight w:val="white"/>
        </w:rPr>
      </w:pPr>
      <w:r>
        <w:t>Délka doby pro vyřešení Incidentu může být prodloužena na základě dohody obou stran učiněné</w:t>
      </w:r>
      <w:r>
        <w:rPr>
          <w:highlight w:val="white"/>
        </w:rPr>
        <w:t xml:space="preserve"> prostřednictvím e-mailu.</w:t>
      </w:r>
    </w:p>
    <w:p w14:paraId="58C6B6D8" w14:textId="77777777" w:rsidR="007C12C7" w:rsidRDefault="003316E2">
      <w:pPr>
        <w:pStyle w:val="Nadpis1"/>
        <w:ind w:left="431" w:hanging="431"/>
      </w:pPr>
      <w:bookmarkStart w:id="72" w:name="_Toc94020424"/>
      <w:bookmarkStart w:id="73" w:name="_Toc91588710"/>
      <w:bookmarkStart w:id="74" w:name="_Toc87566038"/>
      <w:proofErr w:type="spellStart"/>
      <w:r>
        <w:t>Change</w:t>
      </w:r>
      <w:proofErr w:type="spellEnd"/>
      <w:r>
        <w:t xml:space="preserve"> management</w:t>
      </w:r>
      <w:bookmarkEnd w:id="72"/>
      <w:bookmarkEnd w:id="73"/>
      <w:bookmarkEnd w:id="74"/>
    </w:p>
    <w:p w14:paraId="5A615B40" w14:textId="77777777" w:rsidR="007C12C7" w:rsidRDefault="003316E2">
      <w:r>
        <w:t xml:space="preserve">Cílem </w:t>
      </w:r>
      <w:proofErr w:type="spellStart"/>
      <w:r>
        <w:t>Change</w:t>
      </w:r>
      <w:proofErr w:type="spellEnd"/>
      <w:r>
        <w:t xml:space="preserve"> Management je vypracování a realizace Software </w:t>
      </w:r>
      <w:proofErr w:type="spellStart"/>
      <w:r>
        <w:t>Change</w:t>
      </w:r>
      <w:proofErr w:type="spellEnd"/>
      <w:r>
        <w:t xml:space="preserve"> </w:t>
      </w:r>
      <w:proofErr w:type="spellStart"/>
      <w:r>
        <w:t>Requests</w:t>
      </w:r>
      <w:proofErr w:type="spellEnd"/>
      <w:r>
        <w:t xml:space="preserve"> (SCR), např. funkčních změn nebo nových požadavků.</w:t>
      </w:r>
    </w:p>
    <w:p w14:paraId="63F69DD5" w14:textId="77777777" w:rsidR="007C12C7" w:rsidRDefault="003316E2">
      <w:r>
        <w:t xml:space="preserve">Pakliže bude na </w:t>
      </w:r>
      <w:proofErr w:type="spellStart"/>
      <w:r>
        <w:t>Service</w:t>
      </w:r>
      <w:proofErr w:type="spellEnd"/>
      <w:r>
        <w:t xml:space="preserve"> </w:t>
      </w:r>
      <w:proofErr w:type="spellStart"/>
      <w:r>
        <w:t>desk</w:t>
      </w:r>
      <w:proofErr w:type="spellEnd"/>
      <w:r>
        <w:t xml:space="preserve"> nahlášen Požadavek na funkční změnu LMS nebo Aplikace neboli </w:t>
      </w:r>
      <w:proofErr w:type="spellStart"/>
      <w:r>
        <w:t>Change</w:t>
      </w:r>
      <w:proofErr w:type="spellEnd"/>
      <w:r>
        <w:t xml:space="preserve"> management, nebo se ukáže, že součástí incidentu je Požadavek na funkční změnu LMS, dojde k následujícím krokům uvedeným v odrážkách níže. Ty umožní správně definovat řešení a jeho cenu, a pokud dojde ke shodě o provedení změny, tak i její realizaci a uvedení v provoz. Výsledkem bude rozšíření řešení, které bude vyúčtováno dle dohodnuté ceny.</w:t>
      </w:r>
    </w:p>
    <w:p w14:paraId="0711F0B0" w14:textId="77777777" w:rsidR="007C12C7" w:rsidRDefault="003316E2">
      <w:pPr>
        <w:numPr>
          <w:ilvl w:val="0"/>
          <w:numId w:val="7"/>
        </w:numPr>
        <w:suppressAutoHyphens w:val="0"/>
        <w:spacing w:before="120"/>
        <w:textAlignment w:val="auto"/>
        <w:rPr>
          <w:sz w:val="26"/>
          <w:szCs w:val="26"/>
        </w:rPr>
      </w:pPr>
      <w:r>
        <w:t>Analýza SCR: analýza požadavku, analýza programového kódu, identifikace a návrh řešení.</w:t>
      </w:r>
    </w:p>
    <w:p w14:paraId="564B5086" w14:textId="77777777" w:rsidR="007C12C7" w:rsidRDefault="003316E2">
      <w:pPr>
        <w:numPr>
          <w:ilvl w:val="0"/>
          <w:numId w:val="7"/>
        </w:numPr>
        <w:suppressAutoHyphens w:val="0"/>
        <w:textAlignment w:val="auto"/>
        <w:rPr>
          <w:sz w:val="26"/>
          <w:szCs w:val="26"/>
        </w:rPr>
      </w:pPr>
      <w:r>
        <w:t>Odhad nákladů na realizaci SCR a podání nabídky.</w:t>
      </w:r>
    </w:p>
    <w:p w14:paraId="225D148D" w14:textId="77777777" w:rsidR="007C12C7" w:rsidRDefault="003316E2">
      <w:pPr>
        <w:numPr>
          <w:ilvl w:val="0"/>
          <w:numId w:val="7"/>
        </w:numPr>
        <w:suppressAutoHyphens w:val="0"/>
        <w:textAlignment w:val="auto"/>
        <w:rPr>
          <w:sz w:val="26"/>
          <w:szCs w:val="26"/>
        </w:rPr>
      </w:pPr>
      <w:r>
        <w:t>Realizace, implementace programových úprav a změn.</w:t>
      </w:r>
    </w:p>
    <w:p w14:paraId="67EA1FF7" w14:textId="77777777" w:rsidR="007C12C7" w:rsidRDefault="003316E2">
      <w:pPr>
        <w:numPr>
          <w:ilvl w:val="0"/>
          <w:numId w:val="7"/>
        </w:numPr>
        <w:suppressAutoHyphens w:val="0"/>
        <w:textAlignment w:val="auto"/>
        <w:rPr>
          <w:sz w:val="26"/>
          <w:szCs w:val="26"/>
        </w:rPr>
      </w:pPr>
      <w:r>
        <w:lastRenderedPageBreak/>
        <w:t>Testování.</w:t>
      </w:r>
    </w:p>
    <w:p w14:paraId="1BD93028" w14:textId="77777777" w:rsidR="007C12C7" w:rsidRDefault="003316E2">
      <w:pPr>
        <w:numPr>
          <w:ilvl w:val="0"/>
          <w:numId w:val="7"/>
        </w:numPr>
        <w:suppressAutoHyphens w:val="0"/>
        <w:textAlignment w:val="auto"/>
        <w:rPr>
          <w:sz w:val="26"/>
          <w:szCs w:val="26"/>
        </w:rPr>
      </w:pPr>
      <w:r>
        <w:t>Úprava dokumentace.</w:t>
      </w:r>
    </w:p>
    <w:p w14:paraId="761937CF" w14:textId="77777777" w:rsidR="007C12C7" w:rsidRDefault="003316E2">
      <w:pPr>
        <w:numPr>
          <w:ilvl w:val="0"/>
          <w:numId w:val="7"/>
        </w:numPr>
        <w:suppressAutoHyphens w:val="0"/>
        <w:textAlignment w:val="auto"/>
        <w:rPr>
          <w:sz w:val="26"/>
          <w:szCs w:val="26"/>
        </w:rPr>
      </w:pPr>
      <w:r>
        <w:t>Příprava a dodání nové verze LMS řešení.</w:t>
      </w:r>
    </w:p>
    <w:p w14:paraId="407EF2C4" w14:textId="77777777" w:rsidR="007C12C7" w:rsidRDefault="003316E2">
      <w:pPr>
        <w:numPr>
          <w:ilvl w:val="0"/>
          <w:numId w:val="7"/>
        </w:numPr>
        <w:suppressAutoHyphens w:val="0"/>
        <w:spacing w:after="120"/>
        <w:textAlignment w:val="auto"/>
        <w:rPr>
          <w:sz w:val="26"/>
          <w:szCs w:val="26"/>
        </w:rPr>
      </w:pPr>
      <w:r>
        <w:t>Informování odpovědných uživatelů o dokončení SCR.</w:t>
      </w:r>
    </w:p>
    <w:p w14:paraId="613418B3" w14:textId="77777777" w:rsidR="007C12C7" w:rsidRDefault="003316E2">
      <w:pPr>
        <w:pStyle w:val="Nadpis1"/>
        <w:ind w:left="431" w:hanging="431"/>
      </w:pPr>
      <w:bookmarkStart w:id="75" w:name="_Toc94020425"/>
      <w:bookmarkStart w:id="76" w:name="_Toc91588711"/>
      <w:bookmarkStart w:id="77" w:name="_Toc75956053"/>
      <w:r>
        <w:t>Support klíčových uživatelů</w:t>
      </w:r>
      <w:bookmarkEnd w:id="75"/>
      <w:bookmarkEnd w:id="76"/>
      <w:bookmarkEnd w:id="77"/>
    </w:p>
    <w:p w14:paraId="26A48084" w14:textId="5255CC4B" w:rsidR="007C12C7" w:rsidRDefault="003316E2">
      <w:r>
        <w:t>Nabízíme Vám služby technické podpory (2nd line support) pro tvůrce kurzů a správce LMS, v balíčku 15 hodin čtvrtletně, které můžete čerpat na vyžádání prostřednictvím HelpDesk RT, a zahrnuje:</w:t>
      </w:r>
    </w:p>
    <w:p w14:paraId="0FE31A9A" w14:textId="77777777" w:rsidR="007C12C7" w:rsidRDefault="003316E2">
      <w:r>
        <w:t>-</w:t>
      </w:r>
      <w:r>
        <w:tab/>
        <w:t>konzultační, konzultantské a analytické služby;</w:t>
      </w:r>
    </w:p>
    <w:p w14:paraId="168046D6" w14:textId="77777777" w:rsidR="007C12C7" w:rsidRDefault="003316E2">
      <w:r>
        <w:t>-</w:t>
      </w:r>
      <w:r>
        <w:tab/>
        <w:t>administrátorské a konfigurační práce;</w:t>
      </w:r>
    </w:p>
    <w:p w14:paraId="522A3EC2" w14:textId="77777777" w:rsidR="007C12C7" w:rsidRDefault="007C12C7"/>
    <w:p w14:paraId="39B6691A" w14:textId="77777777" w:rsidR="007C12C7" w:rsidRDefault="003316E2">
      <w:r>
        <w:t>Služba nezahrnuje uživatelskou podporu koncových uživatelů/studentů LMS (1st line support).</w:t>
      </w:r>
    </w:p>
    <w:p w14:paraId="25EACF02" w14:textId="77777777" w:rsidR="007C12C7" w:rsidRDefault="007C12C7">
      <w:pPr>
        <w:suppressAutoHyphens w:val="0"/>
        <w:spacing w:before="120" w:after="120"/>
        <w:contextualSpacing/>
        <w:textAlignment w:val="auto"/>
      </w:pPr>
    </w:p>
    <w:p w14:paraId="3C143AEC" w14:textId="77777777" w:rsidR="007C12C7" w:rsidRDefault="003316E2">
      <w:pPr>
        <w:suppressAutoHyphens w:val="0"/>
        <w:spacing w:after="160" w:line="259" w:lineRule="auto"/>
        <w:jc w:val="left"/>
        <w:textAlignment w:val="auto"/>
        <w:rPr>
          <w:b/>
          <w:sz w:val="28"/>
          <w:szCs w:val="32"/>
        </w:rPr>
      </w:pPr>
      <w:r>
        <w:br w:type="page"/>
      </w:r>
    </w:p>
    <w:p w14:paraId="6F25363D" w14:textId="77777777" w:rsidR="007C12C7" w:rsidRDefault="003316E2">
      <w:pPr>
        <w:pStyle w:val="Nadpis1"/>
        <w:ind w:left="431" w:hanging="431"/>
      </w:pPr>
      <w:bookmarkStart w:id="78" w:name="_Toc409448784"/>
      <w:r>
        <w:lastRenderedPageBreak/>
        <w:t>Komunikace smluvních stran</w:t>
      </w:r>
      <w:bookmarkEnd w:id="78"/>
    </w:p>
    <w:p w14:paraId="019EBF72" w14:textId="77777777" w:rsidR="007C12C7" w:rsidRDefault="007C12C7"/>
    <w:p w14:paraId="42232080" w14:textId="0B338D34" w:rsidR="007C12C7" w:rsidRDefault="003316E2">
      <w:pPr>
        <w:rPr>
          <w:sz w:val="22"/>
          <w:szCs w:val="22"/>
        </w:rPr>
      </w:pPr>
      <w:r>
        <w:rPr>
          <w:sz w:val="22"/>
          <w:szCs w:val="22"/>
        </w:rPr>
        <w:t xml:space="preserve">Smluvní strany se dohodly na komunikaci prostřednictvím emailu nebo telefonu. Požadavky na technickou podporu jsou zasílány na HelpDesk </w:t>
      </w:r>
      <w:r w:rsidR="00AE670A">
        <w:rPr>
          <w:sz w:val="22"/>
          <w:szCs w:val="22"/>
        </w:rPr>
        <w:t>ZČU</w:t>
      </w:r>
      <w:r>
        <w:rPr>
          <w:sz w:val="22"/>
          <w:szCs w:val="22"/>
        </w:rPr>
        <w:t xml:space="preserve">, na adresu </w:t>
      </w:r>
      <w:r w:rsidR="00717DFB">
        <w:t>XXX</w:t>
      </w:r>
      <w:r w:rsidR="00AE670A">
        <w:t xml:space="preserve"> </w:t>
      </w:r>
      <w:hyperlink r:id="rId8" w:history="1">
        <w:r w:rsidR="000524A0">
          <w:rPr>
            <w:rStyle w:val="Hypertextovodkaz"/>
          </w:rPr>
          <w:t>mailto:</w:t>
        </w:r>
      </w:hyperlink>
      <w:r>
        <w:rPr>
          <w:sz w:val="22"/>
          <w:szCs w:val="22"/>
        </w:rPr>
        <w:t xml:space="preserve"> </w:t>
      </w:r>
    </w:p>
    <w:p w14:paraId="58A2AF28" w14:textId="77777777" w:rsidR="007C12C7" w:rsidRDefault="007C12C7">
      <w:pPr>
        <w:ind w:left="2124" w:hanging="2124"/>
        <w:rPr>
          <w:sz w:val="22"/>
          <w:szCs w:val="22"/>
        </w:rPr>
      </w:pPr>
    </w:p>
    <w:p w14:paraId="742682F8" w14:textId="77777777" w:rsidR="007C12C7" w:rsidRDefault="003316E2">
      <w:pPr>
        <w:rPr>
          <w:sz w:val="22"/>
          <w:szCs w:val="22"/>
        </w:rPr>
      </w:pPr>
      <w:r>
        <w:rPr>
          <w:sz w:val="22"/>
          <w:szCs w:val="22"/>
        </w:rPr>
        <w:t>Oprávněnými osobami jsou:</w:t>
      </w:r>
    </w:p>
    <w:p w14:paraId="047B6473" w14:textId="77777777" w:rsidR="007C12C7" w:rsidRDefault="007C12C7">
      <w:pPr>
        <w:rPr>
          <w:sz w:val="22"/>
          <w:szCs w:val="22"/>
        </w:rPr>
      </w:pPr>
    </w:p>
    <w:p w14:paraId="0CC9491A" w14:textId="77777777" w:rsidR="007C12C7" w:rsidRDefault="007C12C7">
      <w:pPr>
        <w:rPr>
          <w:sz w:val="22"/>
          <w:szCs w:val="22"/>
        </w:rPr>
      </w:pPr>
      <w:bookmarkStart w:id="79" w:name="_Toc361833965"/>
      <w:bookmarkStart w:id="80" w:name="_Toc361833962"/>
      <w:bookmarkStart w:id="81" w:name="_Toc361833959"/>
      <w:bookmarkStart w:id="82" w:name="_Toc361833955"/>
      <w:bookmarkStart w:id="83" w:name="_Toc361833954"/>
      <w:bookmarkStart w:id="84" w:name="_Toc361833951"/>
      <w:bookmarkStart w:id="85" w:name="_Toc361833933"/>
      <w:bookmarkEnd w:id="79"/>
      <w:bookmarkEnd w:id="80"/>
      <w:bookmarkEnd w:id="81"/>
      <w:bookmarkEnd w:id="82"/>
      <w:bookmarkEnd w:id="83"/>
      <w:bookmarkEnd w:id="84"/>
      <w:bookmarkEnd w:id="85"/>
    </w:p>
    <w:p w14:paraId="21061C33" w14:textId="77777777" w:rsidR="007C12C7" w:rsidRDefault="003316E2">
      <w:pPr>
        <w:pStyle w:val="Ploha"/>
        <w:jc w:val="both"/>
        <w:rPr>
          <w:rFonts w:ascii="Times New Roman" w:hAnsi="Times New Roman"/>
          <w:sz w:val="22"/>
          <w:szCs w:val="22"/>
          <w:u w:val="single"/>
        </w:rPr>
      </w:pPr>
      <w:r>
        <w:rPr>
          <w:rFonts w:ascii="Times New Roman" w:hAnsi="Times New Roman"/>
          <w:sz w:val="22"/>
          <w:szCs w:val="22"/>
          <w:u w:val="single"/>
        </w:rPr>
        <w:t>Objednatel:</w:t>
      </w:r>
    </w:p>
    <w:p w14:paraId="02749B63" w14:textId="6B07CBCF" w:rsidR="007C12C7" w:rsidRDefault="003316E2">
      <w:pPr>
        <w:pStyle w:val="Ploha"/>
        <w:numPr>
          <w:ilvl w:val="0"/>
          <w:numId w:val="2"/>
        </w:numPr>
        <w:jc w:val="left"/>
        <w:rPr>
          <w:rFonts w:ascii="Times New Roman" w:hAnsi="Times New Roman"/>
          <w:b w:val="0"/>
          <w:sz w:val="22"/>
          <w:szCs w:val="22"/>
        </w:rPr>
      </w:pPr>
      <w:r>
        <w:rPr>
          <w:rFonts w:ascii="Times New Roman" w:hAnsi="Times New Roman"/>
          <w:b w:val="0"/>
          <w:sz w:val="22"/>
          <w:szCs w:val="22"/>
        </w:rPr>
        <w:t xml:space="preserve">ve věcech smluvních: </w:t>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sidR="00717DFB">
        <w:rPr>
          <w:rFonts w:ascii="Times New Roman" w:hAnsi="Times New Roman"/>
          <w:b w:val="0"/>
          <w:sz w:val="22"/>
          <w:szCs w:val="22"/>
        </w:rPr>
        <w:t>XXX</w:t>
      </w:r>
    </w:p>
    <w:p w14:paraId="4E79C3AF" w14:textId="5C7288C8" w:rsidR="007C12C7" w:rsidRDefault="003316E2">
      <w:pPr>
        <w:pStyle w:val="Ploha"/>
        <w:numPr>
          <w:ilvl w:val="0"/>
          <w:numId w:val="2"/>
        </w:numPr>
        <w:jc w:val="left"/>
        <w:rPr>
          <w:rFonts w:ascii="Times New Roman" w:hAnsi="Times New Roman"/>
          <w:b w:val="0"/>
          <w:sz w:val="22"/>
          <w:szCs w:val="22"/>
        </w:rPr>
      </w:pPr>
      <w:r>
        <w:rPr>
          <w:rFonts w:ascii="Times New Roman" w:hAnsi="Times New Roman"/>
          <w:b w:val="0"/>
          <w:sz w:val="22"/>
          <w:szCs w:val="22"/>
        </w:rPr>
        <w:t>ve věcech obchodních:</w:t>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sidR="00717DFB">
        <w:rPr>
          <w:rFonts w:ascii="Times New Roman" w:hAnsi="Times New Roman"/>
          <w:b w:val="0"/>
          <w:sz w:val="22"/>
          <w:szCs w:val="22"/>
        </w:rPr>
        <w:t>XXX</w:t>
      </w:r>
    </w:p>
    <w:p w14:paraId="3054FC8D" w14:textId="001D5285" w:rsidR="007C12C7" w:rsidRDefault="003316E2">
      <w:pPr>
        <w:pStyle w:val="Ploha"/>
        <w:numPr>
          <w:ilvl w:val="0"/>
          <w:numId w:val="2"/>
        </w:numPr>
        <w:jc w:val="left"/>
        <w:rPr>
          <w:rFonts w:ascii="Times New Roman" w:hAnsi="Times New Roman"/>
          <w:b w:val="0"/>
          <w:sz w:val="22"/>
          <w:szCs w:val="22"/>
        </w:rPr>
      </w:pPr>
      <w:r>
        <w:rPr>
          <w:rFonts w:ascii="Times New Roman" w:hAnsi="Times New Roman"/>
          <w:b w:val="0"/>
          <w:sz w:val="22"/>
          <w:szCs w:val="22"/>
        </w:rPr>
        <w:t>ve věcech technických a realizačních:</w:t>
      </w:r>
      <w:r>
        <w:rPr>
          <w:rFonts w:ascii="Times New Roman" w:hAnsi="Times New Roman"/>
          <w:b w:val="0"/>
          <w:sz w:val="22"/>
          <w:szCs w:val="22"/>
        </w:rPr>
        <w:tab/>
      </w:r>
      <w:r w:rsidR="00717DFB">
        <w:rPr>
          <w:rFonts w:ascii="Times New Roman" w:hAnsi="Times New Roman"/>
          <w:b w:val="0"/>
          <w:sz w:val="22"/>
          <w:szCs w:val="22"/>
        </w:rPr>
        <w:t>XXX</w:t>
      </w:r>
      <w:r>
        <w:rPr>
          <w:rFonts w:ascii="Times New Roman" w:hAnsi="Times New Roman"/>
          <w:b w:val="0"/>
          <w:sz w:val="22"/>
          <w:szCs w:val="22"/>
        </w:rPr>
        <w:t xml:space="preserve">, </w:t>
      </w:r>
    </w:p>
    <w:p w14:paraId="47696DE3" w14:textId="1771993D" w:rsidR="007C12C7" w:rsidRDefault="00717DFB">
      <w:pPr>
        <w:pStyle w:val="Ploha"/>
        <w:ind w:left="3897" w:firstLine="351"/>
        <w:jc w:val="left"/>
        <w:rPr>
          <w:rFonts w:ascii="Times New Roman" w:hAnsi="Times New Roman"/>
          <w:b w:val="0"/>
          <w:sz w:val="22"/>
          <w:szCs w:val="22"/>
        </w:rPr>
      </w:pPr>
      <w:r>
        <w:rPr>
          <w:rFonts w:ascii="Times New Roman" w:hAnsi="Times New Roman"/>
          <w:b w:val="0"/>
          <w:sz w:val="22"/>
          <w:szCs w:val="22"/>
        </w:rPr>
        <w:t>XXX</w:t>
      </w:r>
      <w:r w:rsidR="003316E2">
        <w:rPr>
          <w:rFonts w:ascii="Times New Roman" w:hAnsi="Times New Roman"/>
          <w:b w:val="0"/>
          <w:sz w:val="22"/>
          <w:szCs w:val="22"/>
        </w:rPr>
        <w:t xml:space="preserve">, </w:t>
      </w:r>
    </w:p>
    <w:p w14:paraId="32A96DF0" w14:textId="120DA670" w:rsidR="007C12C7" w:rsidRDefault="00717DFB">
      <w:pPr>
        <w:pStyle w:val="Ploha"/>
        <w:ind w:left="3897" w:firstLine="351"/>
        <w:jc w:val="left"/>
        <w:rPr>
          <w:rFonts w:ascii="Times New Roman" w:hAnsi="Times New Roman"/>
          <w:b w:val="0"/>
          <w:sz w:val="22"/>
          <w:szCs w:val="22"/>
        </w:rPr>
      </w:pPr>
      <w:r>
        <w:rPr>
          <w:rFonts w:ascii="Times New Roman" w:hAnsi="Times New Roman"/>
          <w:b w:val="0"/>
          <w:sz w:val="22"/>
          <w:szCs w:val="22"/>
        </w:rPr>
        <w:t>XXX</w:t>
      </w:r>
    </w:p>
    <w:p w14:paraId="28EB6D2D" w14:textId="77777777" w:rsidR="007C12C7" w:rsidRDefault="007C12C7">
      <w:pPr>
        <w:pStyle w:val="Ploha"/>
        <w:jc w:val="left"/>
        <w:rPr>
          <w:rFonts w:ascii="Times New Roman" w:hAnsi="Times New Roman"/>
          <w:b w:val="0"/>
          <w:sz w:val="22"/>
          <w:szCs w:val="22"/>
        </w:rPr>
      </w:pPr>
    </w:p>
    <w:p w14:paraId="6AC81AC8" w14:textId="77777777" w:rsidR="007C12C7" w:rsidRDefault="003316E2">
      <w:pPr>
        <w:pStyle w:val="Ploha"/>
        <w:jc w:val="left"/>
        <w:rPr>
          <w:rFonts w:ascii="Times New Roman" w:hAnsi="Times New Roman"/>
          <w:sz w:val="22"/>
          <w:szCs w:val="22"/>
          <w:u w:val="single"/>
        </w:rPr>
      </w:pPr>
      <w:r>
        <w:rPr>
          <w:rFonts w:ascii="Times New Roman" w:hAnsi="Times New Roman"/>
          <w:sz w:val="22"/>
          <w:szCs w:val="22"/>
          <w:u w:val="single"/>
        </w:rPr>
        <w:t>Poskytovatel:</w:t>
      </w:r>
    </w:p>
    <w:p w14:paraId="19B856C8" w14:textId="25C8D5FB" w:rsidR="007C12C7" w:rsidRDefault="003316E2">
      <w:pPr>
        <w:pStyle w:val="Ploha"/>
        <w:numPr>
          <w:ilvl w:val="0"/>
          <w:numId w:val="2"/>
        </w:numPr>
        <w:jc w:val="left"/>
        <w:rPr>
          <w:rFonts w:ascii="Times New Roman" w:hAnsi="Times New Roman"/>
          <w:b w:val="0"/>
          <w:sz w:val="22"/>
          <w:szCs w:val="22"/>
        </w:rPr>
      </w:pPr>
      <w:r>
        <w:rPr>
          <w:rFonts w:ascii="Times New Roman" w:hAnsi="Times New Roman"/>
          <w:b w:val="0"/>
          <w:sz w:val="22"/>
          <w:szCs w:val="22"/>
        </w:rPr>
        <w:t xml:space="preserve">ve věcech smluvních: </w:t>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sidR="00717DFB">
        <w:rPr>
          <w:rFonts w:ascii="Times New Roman" w:hAnsi="Times New Roman"/>
          <w:b w:val="0"/>
          <w:sz w:val="22"/>
          <w:szCs w:val="22"/>
        </w:rPr>
        <w:t>XXX</w:t>
      </w:r>
      <w:r>
        <w:rPr>
          <w:rFonts w:ascii="Times New Roman" w:hAnsi="Times New Roman"/>
          <w:b w:val="0"/>
          <w:sz w:val="22"/>
          <w:szCs w:val="22"/>
        </w:rPr>
        <w:t xml:space="preserve">  </w:t>
      </w:r>
    </w:p>
    <w:p w14:paraId="4FE5EE54" w14:textId="46603173" w:rsidR="007C12C7" w:rsidRDefault="003316E2">
      <w:pPr>
        <w:pStyle w:val="Ploha"/>
        <w:ind w:left="357"/>
        <w:jc w:val="left"/>
        <w:rPr>
          <w:rFonts w:ascii="Times New Roman" w:hAnsi="Times New Roman"/>
          <w:b w:val="0"/>
          <w:sz w:val="22"/>
          <w:szCs w:val="22"/>
        </w:rPr>
      </w:pP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sidR="00717DFB">
        <w:rPr>
          <w:rFonts w:ascii="Times New Roman" w:hAnsi="Times New Roman"/>
          <w:b w:val="0"/>
          <w:sz w:val="22"/>
          <w:szCs w:val="22"/>
        </w:rPr>
        <w:t>XXX</w:t>
      </w:r>
    </w:p>
    <w:p w14:paraId="42F4E4C8" w14:textId="577E77C3" w:rsidR="007C12C7" w:rsidRDefault="003316E2">
      <w:pPr>
        <w:pStyle w:val="Ploha"/>
        <w:numPr>
          <w:ilvl w:val="0"/>
          <w:numId w:val="2"/>
        </w:numPr>
        <w:jc w:val="left"/>
        <w:rPr>
          <w:rFonts w:ascii="Times New Roman" w:hAnsi="Times New Roman"/>
          <w:b w:val="0"/>
          <w:sz w:val="22"/>
          <w:szCs w:val="22"/>
        </w:rPr>
      </w:pPr>
      <w:r>
        <w:rPr>
          <w:rFonts w:ascii="Times New Roman" w:hAnsi="Times New Roman"/>
          <w:b w:val="0"/>
          <w:sz w:val="22"/>
          <w:szCs w:val="22"/>
        </w:rPr>
        <w:t>ve věcech obchodních:</w:t>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sidR="00717DFB">
        <w:rPr>
          <w:rFonts w:ascii="Times New Roman" w:hAnsi="Times New Roman"/>
          <w:b w:val="0"/>
          <w:sz w:val="22"/>
          <w:szCs w:val="22"/>
        </w:rPr>
        <w:t>XXX</w:t>
      </w:r>
    </w:p>
    <w:p w14:paraId="47F9A572" w14:textId="33E87282" w:rsidR="007C12C7" w:rsidRDefault="003316E2">
      <w:pPr>
        <w:pStyle w:val="Ploha"/>
        <w:numPr>
          <w:ilvl w:val="0"/>
          <w:numId w:val="2"/>
        </w:numPr>
        <w:jc w:val="left"/>
        <w:rPr>
          <w:rFonts w:ascii="Times New Roman" w:hAnsi="Times New Roman"/>
          <w:b w:val="0"/>
          <w:sz w:val="22"/>
          <w:szCs w:val="22"/>
        </w:rPr>
      </w:pPr>
      <w:r>
        <w:rPr>
          <w:rFonts w:ascii="Times New Roman" w:hAnsi="Times New Roman"/>
          <w:b w:val="0"/>
          <w:sz w:val="22"/>
          <w:szCs w:val="22"/>
        </w:rPr>
        <w:t>ve věcech technických a realizačních:</w:t>
      </w:r>
      <w:r>
        <w:rPr>
          <w:rFonts w:ascii="Times New Roman" w:hAnsi="Times New Roman"/>
          <w:b w:val="0"/>
          <w:sz w:val="22"/>
          <w:szCs w:val="22"/>
        </w:rPr>
        <w:tab/>
      </w:r>
      <w:r w:rsidR="00717DFB">
        <w:rPr>
          <w:rFonts w:ascii="Times New Roman" w:hAnsi="Times New Roman"/>
          <w:b w:val="0"/>
          <w:sz w:val="22"/>
          <w:szCs w:val="22"/>
        </w:rPr>
        <w:t>XXX</w:t>
      </w:r>
      <w:r>
        <w:rPr>
          <w:rFonts w:ascii="Times New Roman" w:hAnsi="Times New Roman"/>
          <w:b w:val="0"/>
          <w:sz w:val="22"/>
          <w:szCs w:val="22"/>
        </w:rPr>
        <w:t xml:space="preserve"> </w:t>
      </w:r>
    </w:p>
    <w:p w14:paraId="4F4CE99E" w14:textId="77777777" w:rsidR="007C12C7" w:rsidRDefault="007C12C7">
      <w:pPr>
        <w:pStyle w:val="Ploha"/>
        <w:jc w:val="both"/>
        <w:rPr>
          <w:rFonts w:ascii="Times New Roman" w:hAnsi="Times New Roman"/>
          <w:b w:val="0"/>
          <w:sz w:val="22"/>
          <w:szCs w:val="22"/>
        </w:rPr>
      </w:pPr>
    </w:p>
    <w:p w14:paraId="54AB3F1E" w14:textId="77777777" w:rsidR="007C12C7" w:rsidRDefault="003316E2">
      <w:pPr>
        <w:pStyle w:val="Ploha"/>
        <w:jc w:val="both"/>
        <w:rPr>
          <w:rFonts w:ascii="Times New Roman" w:hAnsi="Times New Roman"/>
          <w:b w:val="0"/>
          <w:sz w:val="22"/>
          <w:szCs w:val="22"/>
        </w:rPr>
      </w:pPr>
      <w:r>
        <w:rPr>
          <w:rFonts w:ascii="Times New Roman" w:hAnsi="Times New Roman"/>
          <w:b w:val="0"/>
          <w:sz w:val="22"/>
          <w:szCs w:val="22"/>
        </w:rPr>
        <w:t xml:space="preserve">Osoby oprávněné jednat ve věcech smluvních jsou oprávněny v rámci této Smlouvy vést s druhou stranou jednání smluvního charakteru, jsou oprávněny měnit či rušit tuto Smlouvu či uzavírat dodatky k této Smlouvě. </w:t>
      </w:r>
    </w:p>
    <w:p w14:paraId="48A1513E" w14:textId="77777777" w:rsidR="007C12C7" w:rsidRDefault="007C12C7">
      <w:pPr>
        <w:pStyle w:val="Ploha"/>
        <w:jc w:val="both"/>
        <w:rPr>
          <w:rFonts w:ascii="Times New Roman" w:hAnsi="Times New Roman"/>
          <w:b w:val="0"/>
          <w:sz w:val="22"/>
          <w:szCs w:val="22"/>
        </w:rPr>
      </w:pPr>
    </w:p>
    <w:p w14:paraId="6FB68E36" w14:textId="77777777" w:rsidR="007C12C7" w:rsidRDefault="003316E2">
      <w:pPr>
        <w:pStyle w:val="Ploha"/>
        <w:jc w:val="both"/>
        <w:rPr>
          <w:rFonts w:ascii="Times New Roman" w:hAnsi="Times New Roman"/>
          <w:b w:val="0"/>
          <w:sz w:val="22"/>
          <w:szCs w:val="22"/>
        </w:rPr>
      </w:pPr>
      <w:r>
        <w:rPr>
          <w:rFonts w:ascii="Times New Roman" w:hAnsi="Times New Roman"/>
          <w:b w:val="0"/>
          <w:sz w:val="22"/>
          <w:szCs w:val="22"/>
        </w:rPr>
        <w:t xml:space="preserve">Osoby oprávněné jednat ve věcech obchodních jsou oprávněny v rámci této Smlouvy vést s druhou stranou jednání obchodního charakteru, nejsou však oprávněny měnit či rušit tuto Smlouvu či uzavírat dodatky k této Smlouvě. </w:t>
      </w:r>
    </w:p>
    <w:p w14:paraId="497AB3E3" w14:textId="77777777" w:rsidR="007C12C7" w:rsidRDefault="007C12C7">
      <w:pPr>
        <w:pStyle w:val="Ploha"/>
        <w:jc w:val="both"/>
        <w:rPr>
          <w:rFonts w:ascii="Times New Roman" w:hAnsi="Times New Roman"/>
          <w:b w:val="0"/>
          <w:sz w:val="22"/>
          <w:szCs w:val="22"/>
        </w:rPr>
      </w:pPr>
    </w:p>
    <w:p w14:paraId="0353F87D" w14:textId="77777777" w:rsidR="007C12C7" w:rsidRDefault="003316E2">
      <w:pPr>
        <w:pStyle w:val="Ploha"/>
        <w:jc w:val="both"/>
        <w:rPr>
          <w:rFonts w:ascii="Times New Roman" w:hAnsi="Times New Roman"/>
          <w:b w:val="0"/>
          <w:sz w:val="22"/>
          <w:szCs w:val="22"/>
        </w:rPr>
      </w:pPr>
      <w:r>
        <w:rPr>
          <w:rFonts w:ascii="Times New Roman" w:hAnsi="Times New Roman"/>
          <w:b w:val="0"/>
          <w:sz w:val="22"/>
          <w:szCs w:val="22"/>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které jsou předmětem této Smlouvy.</w:t>
      </w:r>
    </w:p>
    <w:p w14:paraId="477091E6" w14:textId="77777777" w:rsidR="007C12C7" w:rsidRDefault="007C12C7">
      <w:pPr>
        <w:pStyle w:val="Zkladntext2"/>
        <w:tabs>
          <w:tab w:val="left" w:pos="4678"/>
        </w:tabs>
        <w:spacing w:after="0" w:line="240" w:lineRule="auto"/>
        <w:rPr>
          <w:lang w:val="cs-CZ"/>
        </w:rPr>
      </w:pPr>
    </w:p>
    <w:p w14:paraId="449A1121" w14:textId="77777777" w:rsidR="007C12C7" w:rsidRDefault="007C12C7"/>
    <w:p w14:paraId="658FF108" w14:textId="77777777" w:rsidR="007C12C7" w:rsidRDefault="007C12C7"/>
    <w:sectPr w:rsidR="007C12C7">
      <w:headerReference w:type="default" r:id="rId9"/>
      <w:footerReference w:type="default" r:id="rId10"/>
      <w:footerReference w:type="first" r:id="rId11"/>
      <w:pgSz w:w="11906" w:h="16838"/>
      <w:pgMar w:top="1276" w:right="1558" w:bottom="1417" w:left="1417" w:header="426" w:footer="708"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BBE97" w14:textId="77777777" w:rsidR="00732694" w:rsidRDefault="00732694">
      <w:r>
        <w:separator/>
      </w:r>
    </w:p>
  </w:endnote>
  <w:endnote w:type="continuationSeparator" w:id="0">
    <w:p w14:paraId="639845C7" w14:textId="77777777" w:rsidR="00732694" w:rsidRDefault="0073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1CCC" w14:textId="77777777" w:rsidR="007C12C7" w:rsidRDefault="003316E2">
    <w:pPr>
      <w:pStyle w:val="Zpat"/>
      <w:rPr>
        <w:rFonts w:ascii="Arial" w:hAnsi="Arial" w:cs="Arial"/>
      </w:rPr>
    </w:pPr>
    <w:r>
      <w:rPr>
        <w:sz w:val="18"/>
        <w:szCs w:val="18"/>
      </w:rPr>
      <w:tab/>
    </w:r>
    <w:r>
      <w:rPr>
        <w:rFonts w:ascii="Arial" w:hAnsi="Arial" w:cs="Arial"/>
        <w:sz w:val="18"/>
        <w:szCs w:val="18"/>
      </w:rPr>
      <w:fldChar w:fldCharType="begin"/>
    </w:r>
    <w:r>
      <w:rPr>
        <w:rFonts w:ascii="Arial" w:hAnsi="Arial" w:cs="Arial"/>
        <w:sz w:val="18"/>
        <w:szCs w:val="18"/>
      </w:rPr>
      <w:instrText>PAGE</w:instrText>
    </w:r>
    <w:r>
      <w:rPr>
        <w:rFonts w:ascii="Arial" w:hAnsi="Arial" w:cs="Arial"/>
        <w:sz w:val="18"/>
        <w:szCs w:val="18"/>
      </w:rPr>
      <w:fldChar w:fldCharType="separate"/>
    </w:r>
    <w:r>
      <w:rPr>
        <w:rFonts w:ascii="Arial" w:hAnsi="Arial" w:cs="Arial"/>
        <w:sz w:val="18"/>
        <w:szCs w:val="18"/>
      </w:rPr>
      <w:t>11</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NUMPAGES</w:instrText>
    </w:r>
    <w:r>
      <w:rPr>
        <w:rFonts w:ascii="Arial" w:hAnsi="Arial" w:cs="Arial"/>
        <w:sz w:val="18"/>
        <w:szCs w:val="18"/>
      </w:rPr>
      <w:fldChar w:fldCharType="separate"/>
    </w:r>
    <w:r>
      <w:rPr>
        <w:rFonts w:ascii="Arial" w:hAnsi="Arial" w:cs="Arial"/>
        <w:sz w:val="18"/>
        <w:szCs w:val="18"/>
      </w:rPr>
      <w:t>11</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59388" w14:textId="77777777" w:rsidR="007C12C7" w:rsidRDefault="003316E2">
    <w:pPr>
      <w:pStyle w:val="Zpat"/>
      <w:jc w:val="center"/>
    </w:pPr>
    <w:r>
      <w:rPr>
        <w:sz w:val="18"/>
        <w:szCs w:val="18"/>
      </w:rPr>
      <w:fldChar w:fldCharType="begin"/>
    </w:r>
    <w:r>
      <w:rPr>
        <w:sz w:val="18"/>
        <w:szCs w:val="18"/>
      </w:rPr>
      <w:instrText>PAGE</w:instrText>
    </w:r>
    <w:r>
      <w:rPr>
        <w:sz w:val="18"/>
        <w:szCs w:val="18"/>
      </w:rPr>
      <w:fldChar w:fldCharType="separate"/>
    </w:r>
    <w:r>
      <w:rPr>
        <w:sz w:val="18"/>
        <w:szCs w:val="18"/>
      </w:rPr>
      <w:t>1</w:t>
    </w:r>
    <w:r>
      <w:rPr>
        <w:sz w:val="18"/>
        <w:szCs w:val="18"/>
      </w:rPr>
      <w:fldChar w:fldCharType="end"/>
    </w:r>
    <w:r>
      <w:rPr>
        <w:sz w:val="18"/>
        <w:szCs w:val="18"/>
      </w:rPr>
      <w:t>/</w:t>
    </w:r>
    <w:r>
      <w:rPr>
        <w:sz w:val="18"/>
        <w:szCs w:val="18"/>
      </w:rPr>
      <w:fldChar w:fldCharType="begin"/>
    </w:r>
    <w:r>
      <w:rPr>
        <w:sz w:val="18"/>
        <w:szCs w:val="18"/>
      </w:rPr>
      <w:instrText>NUMPAGES</w:instrText>
    </w:r>
    <w:r>
      <w:rPr>
        <w:sz w:val="18"/>
        <w:szCs w:val="18"/>
      </w:rPr>
      <w:fldChar w:fldCharType="separate"/>
    </w:r>
    <w:r>
      <w:rPr>
        <w:sz w:val="18"/>
        <w:szCs w:val="18"/>
      </w:rPr>
      <w:t>11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2C79C" w14:textId="77777777" w:rsidR="00732694" w:rsidRDefault="00732694">
      <w:r>
        <w:separator/>
      </w:r>
    </w:p>
  </w:footnote>
  <w:footnote w:type="continuationSeparator" w:id="0">
    <w:p w14:paraId="708C5037" w14:textId="77777777" w:rsidR="00732694" w:rsidRDefault="00732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3325" w14:textId="77777777" w:rsidR="007C12C7" w:rsidRDefault="007C12C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843E9"/>
    <w:multiLevelType w:val="multilevel"/>
    <w:tmpl w:val="ECD426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7411FC4"/>
    <w:multiLevelType w:val="multilevel"/>
    <w:tmpl w:val="8E7C8F6A"/>
    <w:lvl w:ilvl="0">
      <w:start w:val="1"/>
      <w:numFmt w:val="bullet"/>
      <w:lvlText w:val=""/>
      <w:lvlJc w:val="left"/>
      <w:pPr>
        <w:tabs>
          <w:tab w:val="num" w:pos="357"/>
        </w:tabs>
        <w:ind w:left="357" w:hanging="35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3230BFE"/>
    <w:multiLevelType w:val="multilevel"/>
    <w:tmpl w:val="890AB9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3D080B75"/>
    <w:multiLevelType w:val="multilevel"/>
    <w:tmpl w:val="950C8682"/>
    <w:lvl w:ilvl="0">
      <w:start w:val="1"/>
      <w:numFmt w:val="bullet"/>
      <w:pStyle w:val="PDCodrazky"/>
      <w:lvlText w:val=""/>
      <w:lvlJc w:val="left"/>
      <w:pPr>
        <w:tabs>
          <w:tab w:val="num" w:pos="927"/>
        </w:tabs>
        <w:ind w:left="927" w:hanging="360"/>
      </w:pPr>
      <w:rPr>
        <w:rFonts w:ascii="Symbol" w:hAnsi="Symbol" w:cs="Symbol" w:hint="default"/>
        <w:sz w:val="20"/>
        <w:szCs w:val="20"/>
      </w:rPr>
    </w:lvl>
    <w:lvl w:ilvl="1">
      <w:start w:val="1"/>
      <w:numFmt w:val="bullet"/>
      <w:lvlText w:val="o"/>
      <w:lvlJc w:val="left"/>
      <w:pPr>
        <w:tabs>
          <w:tab w:val="num" w:pos="1587"/>
        </w:tabs>
        <w:ind w:left="1587" w:hanging="360"/>
      </w:pPr>
      <w:rPr>
        <w:rFonts w:ascii="Courier New" w:hAnsi="Courier New" w:cs="Courier New" w:hint="default"/>
        <w:sz w:val="20"/>
        <w:szCs w:val="20"/>
      </w:rPr>
    </w:lvl>
    <w:lvl w:ilvl="2">
      <w:start w:val="1"/>
      <w:numFmt w:val="bullet"/>
      <w:lvlText w:val=""/>
      <w:lvlJc w:val="left"/>
      <w:pPr>
        <w:tabs>
          <w:tab w:val="num" w:pos="2307"/>
        </w:tabs>
        <w:ind w:left="2307" w:hanging="360"/>
      </w:pPr>
      <w:rPr>
        <w:rFonts w:ascii="Wingdings" w:hAnsi="Wingdings" w:cs="Wingdings" w:hint="default"/>
      </w:rPr>
    </w:lvl>
    <w:lvl w:ilvl="3">
      <w:start w:val="1"/>
      <w:numFmt w:val="bullet"/>
      <w:lvlText w:val=""/>
      <w:lvlJc w:val="left"/>
      <w:pPr>
        <w:tabs>
          <w:tab w:val="num" w:pos="3027"/>
        </w:tabs>
        <w:ind w:left="3027" w:hanging="360"/>
      </w:pPr>
      <w:rPr>
        <w:rFonts w:ascii="Symbol" w:hAnsi="Symbol" w:cs="Symbol" w:hint="default"/>
      </w:rPr>
    </w:lvl>
    <w:lvl w:ilvl="4">
      <w:start w:val="1"/>
      <w:numFmt w:val="bullet"/>
      <w:lvlText w:val="•"/>
      <w:lvlJc w:val="left"/>
      <w:pPr>
        <w:tabs>
          <w:tab w:val="num" w:pos="0"/>
        </w:tabs>
        <w:ind w:left="3747" w:hanging="360"/>
      </w:pPr>
      <w:rPr>
        <w:rFonts w:ascii="Times New Roman" w:hAnsi="Times New Roman" w:cs="Times New Roman" w:hint="default"/>
      </w:rPr>
    </w:lvl>
    <w:lvl w:ilvl="5">
      <w:start w:val="1"/>
      <w:numFmt w:val="bullet"/>
      <w:lvlText w:val=""/>
      <w:lvlJc w:val="left"/>
      <w:pPr>
        <w:tabs>
          <w:tab w:val="num" w:pos="4467"/>
        </w:tabs>
        <w:ind w:left="4467" w:hanging="360"/>
      </w:pPr>
      <w:rPr>
        <w:rFonts w:ascii="Wingdings" w:hAnsi="Wingdings" w:cs="Wingdings" w:hint="default"/>
      </w:rPr>
    </w:lvl>
    <w:lvl w:ilvl="6">
      <w:start w:val="1"/>
      <w:numFmt w:val="bullet"/>
      <w:lvlText w:val=""/>
      <w:lvlJc w:val="left"/>
      <w:pPr>
        <w:tabs>
          <w:tab w:val="num" w:pos="5187"/>
        </w:tabs>
        <w:ind w:left="5187" w:hanging="360"/>
      </w:pPr>
      <w:rPr>
        <w:rFonts w:ascii="Symbol" w:hAnsi="Symbol" w:cs="Symbol" w:hint="default"/>
      </w:rPr>
    </w:lvl>
    <w:lvl w:ilvl="7">
      <w:start w:val="1"/>
      <w:numFmt w:val="bullet"/>
      <w:lvlText w:val="o"/>
      <w:lvlJc w:val="left"/>
      <w:pPr>
        <w:tabs>
          <w:tab w:val="num" w:pos="5907"/>
        </w:tabs>
        <w:ind w:left="5907" w:hanging="360"/>
      </w:pPr>
      <w:rPr>
        <w:rFonts w:ascii="Courier New" w:hAnsi="Courier New" w:cs="Courier New" w:hint="default"/>
      </w:rPr>
    </w:lvl>
    <w:lvl w:ilvl="8">
      <w:start w:val="1"/>
      <w:numFmt w:val="bullet"/>
      <w:lvlText w:val=""/>
      <w:lvlJc w:val="left"/>
      <w:pPr>
        <w:tabs>
          <w:tab w:val="num" w:pos="6627"/>
        </w:tabs>
        <w:ind w:left="6627" w:hanging="360"/>
      </w:pPr>
      <w:rPr>
        <w:rFonts w:ascii="Wingdings" w:hAnsi="Wingdings" w:cs="Wingdings" w:hint="default"/>
      </w:rPr>
    </w:lvl>
  </w:abstractNum>
  <w:abstractNum w:abstractNumId="4" w15:restartNumberingAfterBreak="0">
    <w:nsid w:val="3F014E93"/>
    <w:multiLevelType w:val="multilevel"/>
    <w:tmpl w:val="45C4F5CE"/>
    <w:lvl w:ilvl="0">
      <w:start w:val="1"/>
      <w:numFmt w:val="decimal"/>
      <w:pStyle w:val="Nadpis1"/>
      <w:lvlText w:val="%1"/>
      <w:lvlJc w:val="left"/>
      <w:pPr>
        <w:tabs>
          <w:tab w:val="num" w:pos="0"/>
        </w:tabs>
        <w:ind w:left="432" w:hanging="432"/>
      </w:pPr>
      <w:rPr>
        <w:b/>
        <w:i w:val="0"/>
      </w:r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720"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5" w15:restartNumberingAfterBreak="0">
    <w:nsid w:val="47316140"/>
    <w:multiLevelType w:val="multilevel"/>
    <w:tmpl w:val="4DAC4D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15:restartNumberingAfterBreak="0">
    <w:nsid w:val="5B2B4E14"/>
    <w:multiLevelType w:val="multilevel"/>
    <w:tmpl w:val="2898DBA8"/>
    <w:lvl w:ilvl="0">
      <w:start w:val="1"/>
      <w:numFmt w:val="decimal"/>
      <w:lvlText w:val="%1"/>
      <w:lvlJc w:val="left"/>
      <w:pPr>
        <w:tabs>
          <w:tab w:val="num" w:pos="432"/>
        </w:tabs>
        <w:ind w:left="432" w:hanging="432"/>
      </w:pPr>
    </w:lvl>
    <w:lvl w:ilvl="1">
      <w:start w:val="1"/>
      <w:numFmt w:val="lowerLetter"/>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89955D7"/>
    <w:multiLevelType w:val="multilevel"/>
    <w:tmpl w:val="E6E6AD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79197F44"/>
    <w:multiLevelType w:val="multilevel"/>
    <w:tmpl w:val="5F3E287A"/>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805390166">
    <w:abstractNumId w:val="4"/>
  </w:num>
  <w:num w:numId="2" w16cid:durableId="1324120269">
    <w:abstractNumId w:val="1"/>
  </w:num>
  <w:num w:numId="3" w16cid:durableId="1536388363">
    <w:abstractNumId w:val="3"/>
  </w:num>
  <w:num w:numId="4" w16cid:durableId="1272736696">
    <w:abstractNumId w:val="0"/>
  </w:num>
  <w:num w:numId="5" w16cid:durableId="64381713">
    <w:abstractNumId w:val="6"/>
  </w:num>
  <w:num w:numId="6" w16cid:durableId="679546021">
    <w:abstractNumId w:val="8"/>
  </w:num>
  <w:num w:numId="7" w16cid:durableId="1242636225">
    <w:abstractNumId w:val="5"/>
  </w:num>
  <w:num w:numId="8" w16cid:durableId="287399576">
    <w:abstractNumId w:val="2"/>
  </w:num>
  <w:num w:numId="9" w16cid:durableId="976254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2C7"/>
    <w:rsid w:val="000524A0"/>
    <w:rsid w:val="000572B3"/>
    <w:rsid w:val="002A0DEF"/>
    <w:rsid w:val="003316E2"/>
    <w:rsid w:val="006E5910"/>
    <w:rsid w:val="00717DFB"/>
    <w:rsid w:val="00732694"/>
    <w:rsid w:val="007C12C7"/>
    <w:rsid w:val="007D66DE"/>
    <w:rsid w:val="008522FC"/>
    <w:rsid w:val="00A3654C"/>
    <w:rsid w:val="00AE670A"/>
    <w:rsid w:val="00B51B02"/>
    <w:rsid w:val="00C1744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A2FA"/>
  <w15:docId w15:val="{405571C3-D46C-4E90-AA2D-F8BB2C47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7AB2"/>
    <w:pPr>
      <w:jc w:val="both"/>
      <w:textAlignment w:val="baseline"/>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4170F"/>
    <w:pPr>
      <w:keepNext/>
      <w:keepLines/>
      <w:numPr>
        <w:numId w:val="1"/>
      </w:numPr>
      <w:spacing w:before="240" w:after="240"/>
      <w:outlineLvl w:val="0"/>
    </w:pPr>
    <w:rPr>
      <w:rFonts w:ascii="Calibri" w:hAnsi="Calibri"/>
      <w:b/>
      <w:sz w:val="32"/>
      <w:szCs w:val="32"/>
      <w:lang w:val="x-none"/>
    </w:rPr>
  </w:style>
  <w:style w:type="paragraph" w:styleId="Nadpis2">
    <w:name w:val="heading 2"/>
    <w:basedOn w:val="Normln"/>
    <w:next w:val="Normln"/>
    <w:link w:val="Nadpis2Char"/>
    <w:uiPriority w:val="9"/>
    <w:unhideWhenUsed/>
    <w:qFormat/>
    <w:rsid w:val="00C4170F"/>
    <w:pPr>
      <w:keepNext/>
      <w:keepLines/>
      <w:numPr>
        <w:ilvl w:val="1"/>
        <w:numId w:val="1"/>
      </w:numPr>
      <w:spacing w:before="240" w:after="240"/>
      <w:outlineLvl w:val="1"/>
    </w:pPr>
    <w:rPr>
      <w:rFonts w:ascii="Calibri" w:hAnsi="Calibri"/>
      <w:b/>
      <w:sz w:val="28"/>
      <w:szCs w:val="26"/>
      <w:lang w:val="x-none"/>
    </w:rPr>
  </w:style>
  <w:style w:type="paragraph" w:styleId="Nadpis3">
    <w:name w:val="heading 3"/>
    <w:basedOn w:val="Normln"/>
    <w:next w:val="Normln"/>
    <w:link w:val="Nadpis3Char"/>
    <w:uiPriority w:val="9"/>
    <w:unhideWhenUsed/>
    <w:qFormat/>
    <w:rsid w:val="00D00AB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D00AB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D00AB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D00AB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D00AB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D00AB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00AB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C4170F"/>
    <w:rPr>
      <w:rFonts w:ascii="Calibri" w:eastAsia="Times New Roman" w:hAnsi="Calibri" w:cs="Times New Roman"/>
      <w:b/>
      <w:sz w:val="32"/>
      <w:szCs w:val="32"/>
      <w:lang w:val="x-none" w:eastAsia="cs-CZ"/>
    </w:rPr>
  </w:style>
  <w:style w:type="character" w:customStyle="1" w:styleId="Nadpis2Char">
    <w:name w:val="Nadpis 2 Char"/>
    <w:basedOn w:val="Standardnpsmoodstavce"/>
    <w:link w:val="Nadpis2"/>
    <w:uiPriority w:val="9"/>
    <w:qFormat/>
    <w:rsid w:val="00C4170F"/>
    <w:rPr>
      <w:rFonts w:ascii="Calibri" w:eastAsia="Times New Roman" w:hAnsi="Calibri" w:cs="Times New Roman"/>
      <w:b/>
      <w:sz w:val="28"/>
      <w:szCs w:val="26"/>
      <w:lang w:val="x-none" w:eastAsia="cs-CZ"/>
    </w:rPr>
  </w:style>
  <w:style w:type="character" w:styleId="Hypertextovodkaz">
    <w:name w:val="Hyperlink"/>
    <w:uiPriority w:val="99"/>
    <w:rsid w:val="00077AB2"/>
    <w:rPr>
      <w:color w:val="0000FF"/>
      <w:u w:val="single"/>
    </w:rPr>
  </w:style>
  <w:style w:type="character" w:customStyle="1" w:styleId="ZhlavChar">
    <w:name w:val="Záhlaví Char"/>
    <w:basedOn w:val="Standardnpsmoodstavce"/>
    <w:link w:val="Zhlav"/>
    <w:uiPriority w:val="99"/>
    <w:qFormat/>
    <w:rsid w:val="00077AB2"/>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qFormat/>
    <w:rsid w:val="00077AB2"/>
    <w:rPr>
      <w:rFonts w:ascii="Times New Roman" w:eastAsia="Times New Roman" w:hAnsi="Times New Roman" w:cs="Times New Roman"/>
      <w:sz w:val="24"/>
      <w:szCs w:val="24"/>
      <w:lang w:val="x-none" w:eastAsia="cs-CZ"/>
    </w:rPr>
  </w:style>
  <w:style w:type="character" w:customStyle="1" w:styleId="ZkladntextChar">
    <w:name w:val="Základní text Char"/>
    <w:basedOn w:val="Standardnpsmoodstavce"/>
    <w:link w:val="Zkladntext"/>
    <w:qFormat/>
    <w:rsid w:val="00077AB2"/>
    <w:rPr>
      <w:rFonts w:ascii="Times New Roman" w:eastAsia="Times New Roman" w:hAnsi="Times New Roman" w:cs="Times New Roman"/>
      <w:sz w:val="20"/>
      <w:szCs w:val="24"/>
      <w:lang w:val="x-none" w:eastAsia="ar-SA"/>
    </w:rPr>
  </w:style>
  <w:style w:type="character" w:customStyle="1" w:styleId="Zkladntext2Char">
    <w:name w:val="Základní text 2 Char"/>
    <w:basedOn w:val="Standardnpsmoodstavce"/>
    <w:link w:val="Zkladntext2"/>
    <w:qFormat/>
    <w:rsid w:val="00077AB2"/>
    <w:rPr>
      <w:rFonts w:ascii="Times New Roman" w:eastAsia="Times New Roman" w:hAnsi="Times New Roman" w:cs="Times New Roman"/>
      <w:sz w:val="24"/>
      <w:szCs w:val="24"/>
      <w:lang w:val="x-none" w:eastAsia="cs-CZ"/>
    </w:rPr>
  </w:style>
  <w:style w:type="character" w:customStyle="1" w:styleId="OdstavecseseznamemChar">
    <w:name w:val="Odstavec se seznamem Char"/>
    <w:link w:val="Odstavecseseznamem"/>
    <w:uiPriority w:val="99"/>
    <w:qFormat/>
    <w:locked/>
    <w:rsid w:val="00077AB2"/>
    <w:rPr>
      <w:rFonts w:ascii="Times New Roman" w:eastAsia="Times New Roman" w:hAnsi="Times New Roman" w:cs="Times New Roman"/>
      <w:sz w:val="24"/>
      <w:szCs w:val="24"/>
      <w:lang w:val="x-none" w:eastAsia="cs-CZ"/>
    </w:rPr>
  </w:style>
  <w:style w:type="character" w:styleId="Siln">
    <w:name w:val="Strong"/>
    <w:uiPriority w:val="22"/>
    <w:qFormat/>
    <w:rsid w:val="00077AB2"/>
    <w:rPr>
      <w:b/>
      <w:bCs/>
    </w:rPr>
  </w:style>
  <w:style w:type="character" w:customStyle="1" w:styleId="PDCodrazkyChar">
    <w:name w:val="PDC odrazky Char"/>
    <w:link w:val="PDCodrazky"/>
    <w:qFormat/>
    <w:rsid w:val="00077AB2"/>
    <w:rPr>
      <w:rFonts w:ascii="Times New Roman" w:eastAsia="Times New Roman" w:hAnsi="Times New Roman" w:cs="Times New Roman"/>
      <w:sz w:val="24"/>
      <w:szCs w:val="24"/>
      <w:lang w:val="x-none" w:eastAsia="x-none"/>
    </w:rPr>
  </w:style>
  <w:style w:type="character" w:customStyle="1" w:styleId="Smlouva1Char">
    <w:name w:val="Smlouva 1 Char"/>
    <w:link w:val="Smlouva1"/>
    <w:qFormat/>
    <w:rsid w:val="00077AB2"/>
    <w:rPr>
      <w:rFonts w:ascii="Arial Narrow" w:eastAsia="Times New Roman" w:hAnsi="Arial Narrow" w:cs="Times New Roman"/>
      <w:b/>
      <w:bCs/>
      <w:kern w:val="2"/>
      <w:sz w:val="32"/>
      <w:szCs w:val="32"/>
      <w:lang w:val="x-none" w:eastAsia="x-none"/>
    </w:rPr>
  </w:style>
  <w:style w:type="character" w:customStyle="1" w:styleId="Smlouva2Char">
    <w:name w:val="Smlouva 2 Char"/>
    <w:link w:val="Smlouva2"/>
    <w:qFormat/>
    <w:rsid w:val="00077AB2"/>
    <w:rPr>
      <w:rFonts w:ascii="Times New Roman" w:eastAsia="Times New Roman" w:hAnsi="Times New Roman" w:cs="Times New Roman"/>
      <w:kern w:val="2"/>
      <w:sz w:val="24"/>
      <w:szCs w:val="24"/>
      <w:lang w:val="x-none" w:eastAsia="x-none"/>
    </w:rPr>
  </w:style>
  <w:style w:type="character" w:styleId="Odkaznakoment">
    <w:name w:val="annotation reference"/>
    <w:uiPriority w:val="99"/>
    <w:semiHidden/>
    <w:unhideWhenUsed/>
    <w:qFormat/>
    <w:rsid w:val="00077AB2"/>
    <w:rPr>
      <w:sz w:val="16"/>
      <w:szCs w:val="16"/>
    </w:rPr>
  </w:style>
  <w:style w:type="character" w:customStyle="1" w:styleId="TextkomenteChar">
    <w:name w:val="Text komentáře Char"/>
    <w:basedOn w:val="Standardnpsmoodstavce"/>
    <w:link w:val="Textkomente"/>
    <w:uiPriority w:val="99"/>
    <w:semiHidden/>
    <w:qFormat/>
    <w:rsid w:val="00077AB2"/>
    <w:rPr>
      <w:rFonts w:ascii="Times New Roman" w:eastAsia="Times New Roman" w:hAnsi="Times New Roman" w:cs="Times New Roman"/>
      <w:sz w:val="20"/>
      <w:szCs w:val="20"/>
      <w:lang w:val="x-none" w:eastAsia="cs-CZ"/>
    </w:rPr>
  </w:style>
  <w:style w:type="character" w:customStyle="1" w:styleId="NormTabChar">
    <w:name w:val="NormTab Char"/>
    <w:link w:val="NormTab"/>
    <w:qFormat/>
    <w:rsid w:val="00077AB2"/>
    <w:rPr>
      <w:rFonts w:ascii="Arial" w:eastAsia="Times New Roman" w:hAnsi="Arial" w:cs="Times New Roman"/>
      <w:sz w:val="20"/>
      <w:szCs w:val="24"/>
      <w:lang w:val="en-US" w:eastAsia="de-DE"/>
    </w:rPr>
  </w:style>
  <w:style w:type="character" w:styleId="Nevyeenzmnka">
    <w:name w:val="Unresolved Mention"/>
    <w:basedOn w:val="Standardnpsmoodstavce"/>
    <w:uiPriority w:val="99"/>
    <w:semiHidden/>
    <w:unhideWhenUsed/>
    <w:qFormat/>
    <w:rsid w:val="00D6202D"/>
    <w:rPr>
      <w:color w:val="605E5C"/>
      <w:shd w:val="clear" w:color="auto" w:fill="E1DFDD"/>
    </w:rPr>
  </w:style>
  <w:style w:type="character" w:customStyle="1" w:styleId="PedmtkomenteChar">
    <w:name w:val="Předmět komentáře Char"/>
    <w:basedOn w:val="TextkomenteChar"/>
    <w:link w:val="Pedmtkomente"/>
    <w:uiPriority w:val="99"/>
    <w:semiHidden/>
    <w:qFormat/>
    <w:rsid w:val="00F75B5C"/>
    <w:rPr>
      <w:rFonts w:ascii="Times New Roman" w:eastAsia="Times New Roman" w:hAnsi="Times New Roman" w:cs="Times New Roman"/>
      <w:b/>
      <w:bCs/>
      <w:sz w:val="20"/>
      <w:szCs w:val="20"/>
      <w:lang w:val="x-none" w:eastAsia="cs-CZ"/>
    </w:rPr>
  </w:style>
  <w:style w:type="character" w:customStyle="1" w:styleId="Nadpis3Char">
    <w:name w:val="Nadpis 3 Char"/>
    <w:basedOn w:val="Standardnpsmoodstavce"/>
    <w:link w:val="Nadpis3"/>
    <w:uiPriority w:val="9"/>
    <w:qFormat/>
    <w:rsid w:val="00D00AB4"/>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D00AB4"/>
    <w:rPr>
      <w:rFonts w:asciiTheme="majorHAnsi" w:eastAsiaTheme="majorEastAsia" w:hAnsiTheme="majorHAnsi" w:cstheme="majorBidi"/>
      <w:i/>
      <w:iCs/>
      <w:color w:val="2F5496" w:themeColor="accent1" w:themeShade="BF"/>
      <w:sz w:val="24"/>
      <w:szCs w:val="24"/>
      <w:lang w:eastAsia="cs-CZ"/>
    </w:rPr>
  </w:style>
  <w:style w:type="character" w:customStyle="1" w:styleId="Nadpis5Char">
    <w:name w:val="Nadpis 5 Char"/>
    <w:basedOn w:val="Standardnpsmoodstavce"/>
    <w:link w:val="Nadpis5"/>
    <w:uiPriority w:val="9"/>
    <w:semiHidden/>
    <w:qFormat/>
    <w:rsid w:val="00D00AB4"/>
    <w:rPr>
      <w:rFonts w:asciiTheme="majorHAnsi" w:eastAsiaTheme="majorEastAsia" w:hAnsiTheme="majorHAnsi" w:cstheme="majorBidi"/>
      <w:color w:val="2F5496" w:themeColor="accent1" w:themeShade="BF"/>
      <w:sz w:val="24"/>
      <w:szCs w:val="24"/>
      <w:lang w:eastAsia="cs-CZ"/>
    </w:rPr>
  </w:style>
  <w:style w:type="character" w:customStyle="1" w:styleId="Nadpis6Char">
    <w:name w:val="Nadpis 6 Char"/>
    <w:basedOn w:val="Standardnpsmoodstavce"/>
    <w:link w:val="Nadpis6"/>
    <w:uiPriority w:val="9"/>
    <w:semiHidden/>
    <w:qFormat/>
    <w:rsid w:val="00D00AB4"/>
    <w:rPr>
      <w:rFonts w:asciiTheme="majorHAnsi" w:eastAsiaTheme="majorEastAsia" w:hAnsiTheme="majorHAnsi" w:cstheme="majorBidi"/>
      <w:color w:val="1F3763" w:themeColor="accent1" w:themeShade="7F"/>
      <w:sz w:val="24"/>
      <w:szCs w:val="24"/>
      <w:lang w:eastAsia="cs-CZ"/>
    </w:rPr>
  </w:style>
  <w:style w:type="character" w:customStyle="1" w:styleId="Nadpis7Char">
    <w:name w:val="Nadpis 7 Char"/>
    <w:basedOn w:val="Standardnpsmoodstavce"/>
    <w:link w:val="Nadpis7"/>
    <w:uiPriority w:val="9"/>
    <w:semiHidden/>
    <w:qFormat/>
    <w:rsid w:val="00D00AB4"/>
    <w:rPr>
      <w:rFonts w:asciiTheme="majorHAnsi" w:eastAsiaTheme="majorEastAsia" w:hAnsiTheme="majorHAnsi" w:cstheme="majorBidi"/>
      <w:i/>
      <w:iCs/>
      <w:color w:val="1F3763" w:themeColor="accent1" w:themeShade="7F"/>
      <w:sz w:val="24"/>
      <w:szCs w:val="24"/>
      <w:lang w:eastAsia="cs-CZ"/>
    </w:rPr>
  </w:style>
  <w:style w:type="character" w:customStyle="1" w:styleId="Nadpis8Char">
    <w:name w:val="Nadpis 8 Char"/>
    <w:basedOn w:val="Standardnpsmoodstavce"/>
    <w:link w:val="Nadpis8"/>
    <w:uiPriority w:val="9"/>
    <w:semiHidden/>
    <w:qFormat/>
    <w:rsid w:val="00D00AB4"/>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D00AB4"/>
    <w:rPr>
      <w:rFonts w:asciiTheme="majorHAnsi" w:eastAsiaTheme="majorEastAsia" w:hAnsiTheme="majorHAnsi" w:cstheme="majorBidi"/>
      <w:i/>
      <w:iCs/>
      <w:color w:val="272727" w:themeColor="text1" w:themeTint="D8"/>
      <w:sz w:val="21"/>
      <w:szCs w:val="21"/>
      <w:lang w:eastAsia="cs-CZ"/>
    </w:rPr>
  </w:style>
  <w:style w:type="character" w:customStyle="1" w:styleId="TextbublinyChar">
    <w:name w:val="Text bubliny Char"/>
    <w:basedOn w:val="Standardnpsmoodstavce"/>
    <w:link w:val="Textbubliny"/>
    <w:uiPriority w:val="99"/>
    <w:semiHidden/>
    <w:qFormat/>
    <w:rsid w:val="002C59FC"/>
    <w:rPr>
      <w:rFonts w:ascii="Segoe UI" w:eastAsia="Times New Roman" w:hAnsi="Segoe UI" w:cs="Segoe UI"/>
      <w:sz w:val="18"/>
      <w:szCs w:val="18"/>
      <w:lang w:eastAsia="cs-CZ"/>
    </w:rPr>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077AB2"/>
    <w:pPr>
      <w:spacing w:before="120" w:after="120"/>
      <w:textAlignment w:val="auto"/>
    </w:pPr>
    <w:rPr>
      <w:sz w:val="20"/>
      <w:lang w:val="x-none" w:eastAsia="ar-SA"/>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Index">
    <w:name w:val="Index"/>
    <w:basedOn w:val="Normln"/>
    <w:qFormat/>
    <w:pPr>
      <w:suppressLineNumbers/>
    </w:pPr>
    <w:rPr>
      <w:rFonts w:cs="Lucida Sans"/>
    </w:rPr>
  </w:style>
  <w:style w:type="paragraph" w:customStyle="1" w:styleId="HeaderandFooter">
    <w:name w:val="Header and Footer"/>
    <w:basedOn w:val="Normln"/>
    <w:qFormat/>
  </w:style>
  <w:style w:type="paragraph" w:styleId="Zhlav">
    <w:name w:val="header"/>
    <w:basedOn w:val="Normln"/>
    <w:link w:val="ZhlavChar"/>
    <w:uiPriority w:val="99"/>
    <w:rsid w:val="00077AB2"/>
    <w:pPr>
      <w:tabs>
        <w:tab w:val="center" w:pos="4536"/>
        <w:tab w:val="right" w:pos="9072"/>
      </w:tabs>
    </w:pPr>
    <w:rPr>
      <w:lang w:val="x-none"/>
    </w:rPr>
  </w:style>
  <w:style w:type="paragraph" w:styleId="Zpat">
    <w:name w:val="footer"/>
    <w:basedOn w:val="Normln"/>
    <w:link w:val="ZpatChar"/>
    <w:uiPriority w:val="99"/>
    <w:rsid w:val="00077AB2"/>
    <w:pPr>
      <w:tabs>
        <w:tab w:val="center" w:pos="4536"/>
        <w:tab w:val="right" w:pos="9072"/>
      </w:tabs>
    </w:pPr>
    <w:rPr>
      <w:lang w:val="x-none"/>
    </w:rPr>
  </w:style>
  <w:style w:type="paragraph" w:styleId="Odstavecseseznamem">
    <w:name w:val="List Paragraph"/>
    <w:basedOn w:val="Normln"/>
    <w:link w:val="OdstavecseseznamemChar"/>
    <w:uiPriority w:val="99"/>
    <w:qFormat/>
    <w:rsid w:val="00077AB2"/>
    <w:pPr>
      <w:ind w:left="720"/>
    </w:pPr>
    <w:rPr>
      <w:lang w:val="x-none"/>
    </w:rPr>
  </w:style>
  <w:style w:type="paragraph" w:styleId="Zkladntext2">
    <w:name w:val="Body Text 2"/>
    <w:basedOn w:val="Normln"/>
    <w:link w:val="Zkladntext2Char"/>
    <w:unhideWhenUsed/>
    <w:qFormat/>
    <w:rsid w:val="00077AB2"/>
    <w:pPr>
      <w:spacing w:after="120" w:line="480" w:lineRule="auto"/>
    </w:pPr>
    <w:rPr>
      <w:lang w:val="x-none"/>
    </w:rPr>
  </w:style>
  <w:style w:type="paragraph" w:customStyle="1" w:styleId="Styl1">
    <w:name w:val="Styl1"/>
    <w:basedOn w:val="Nadpis2"/>
    <w:qFormat/>
    <w:rsid w:val="00077AB2"/>
    <w:pPr>
      <w:keepLines w:val="0"/>
      <w:numPr>
        <w:ilvl w:val="0"/>
        <w:numId w:val="0"/>
      </w:numPr>
      <w:spacing w:after="60"/>
      <w:jc w:val="left"/>
      <w:outlineLvl w:val="9"/>
    </w:pPr>
    <w:rPr>
      <w:rFonts w:ascii="Verdana" w:hAnsi="Verdana" w:cs="Arial"/>
      <w:b w:val="0"/>
      <w:bCs/>
      <w:i/>
      <w:iCs/>
      <w:szCs w:val="28"/>
    </w:rPr>
  </w:style>
  <w:style w:type="paragraph" w:customStyle="1" w:styleId="Ploha">
    <w:name w:val="Příloha"/>
    <w:basedOn w:val="Normln"/>
    <w:qFormat/>
    <w:rsid w:val="00077AB2"/>
    <w:pPr>
      <w:suppressAutoHyphens w:val="0"/>
      <w:spacing w:line="280" w:lineRule="atLeast"/>
      <w:jc w:val="center"/>
      <w:textAlignment w:val="auto"/>
    </w:pPr>
    <w:rPr>
      <w:rFonts w:ascii="Garamond" w:hAnsi="Garamond"/>
      <w:b/>
      <w:sz w:val="36"/>
      <w:szCs w:val="20"/>
    </w:rPr>
  </w:style>
  <w:style w:type="paragraph" w:customStyle="1" w:styleId="PDCodrazky">
    <w:name w:val="PDC odrazky"/>
    <w:basedOn w:val="Normln"/>
    <w:link w:val="PDCodrazkyChar"/>
    <w:qFormat/>
    <w:rsid w:val="00077AB2"/>
    <w:pPr>
      <w:numPr>
        <w:numId w:val="3"/>
      </w:numPr>
      <w:suppressAutoHyphens w:val="0"/>
      <w:spacing w:before="120"/>
      <w:jc w:val="left"/>
      <w:textAlignment w:val="auto"/>
    </w:pPr>
    <w:rPr>
      <w:lang w:val="x-none" w:eastAsia="x-none"/>
    </w:rPr>
  </w:style>
  <w:style w:type="paragraph" w:customStyle="1" w:styleId="Tabulkatext">
    <w:name w:val="Tabulka text"/>
    <w:basedOn w:val="Zkladntext"/>
    <w:qFormat/>
    <w:rsid w:val="00077AB2"/>
    <w:pPr>
      <w:suppressAutoHyphens w:val="0"/>
      <w:spacing w:before="40" w:after="20"/>
    </w:pPr>
    <w:rPr>
      <w:sz w:val="24"/>
      <w:szCs w:val="20"/>
    </w:rPr>
  </w:style>
  <w:style w:type="paragraph" w:customStyle="1" w:styleId="Smlouva1">
    <w:name w:val="Smlouva 1"/>
    <w:basedOn w:val="Normln"/>
    <w:link w:val="Smlouva1Char"/>
    <w:qFormat/>
    <w:rsid w:val="00077AB2"/>
    <w:pPr>
      <w:keepNext/>
      <w:keepLines/>
      <w:tabs>
        <w:tab w:val="left" w:pos="709"/>
      </w:tabs>
      <w:spacing w:before="360" w:after="120"/>
      <w:jc w:val="center"/>
      <w:textAlignment w:val="auto"/>
      <w:outlineLvl w:val="0"/>
    </w:pPr>
    <w:rPr>
      <w:rFonts w:ascii="Arial Narrow" w:hAnsi="Arial Narrow"/>
      <w:b/>
      <w:bCs/>
      <w:kern w:val="2"/>
      <w:sz w:val="32"/>
      <w:szCs w:val="32"/>
      <w:lang w:val="x-none" w:eastAsia="x-none"/>
    </w:rPr>
  </w:style>
  <w:style w:type="paragraph" w:customStyle="1" w:styleId="Smlouva2">
    <w:name w:val="Smlouva 2"/>
    <w:basedOn w:val="Normln"/>
    <w:link w:val="Smlouva2Char"/>
    <w:qFormat/>
    <w:rsid w:val="00077AB2"/>
    <w:pPr>
      <w:tabs>
        <w:tab w:val="left" w:pos="709"/>
      </w:tabs>
      <w:suppressAutoHyphens w:val="0"/>
      <w:spacing w:before="240" w:after="40"/>
      <w:textAlignment w:val="auto"/>
      <w:outlineLvl w:val="1"/>
    </w:pPr>
    <w:rPr>
      <w:kern w:val="2"/>
      <w:lang w:val="x-none" w:eastAsia="x-none"/>
    </w:rPr>
  </w:style>
  <w:style w:type="paragraph" w:styleId="Textkomente">
    <w:name w:val="annotation text"/>
    <w:basedOn w:val="Normln"/>
    <w:link w:val="TextkomenteChar"/>
    <w:uiPriority w:val="99"/>
    <w:semiHidden/>
    <w:unhideWhenUsed/>
    <w:qFormat/>
    <w:rsid w:val="00077AB2"/>
    <w:rPr>
      <w:sz w:val="20"/>
      <w:szCs w:val="20"/>
      <w:lang w:val="x-none"/>
    </w:rPr>
  </w:style>
  <w:style w:type="paragraph" w:customStyle="1" w:styleId="NormTab">
    <w:name w:val="NormTab"/>
    <w:basedOn w:val="Normln"/>
    <w:link w:val="NormTabChar"/>
    <w:qFormat/>
    <w:rsid w:val="00077AB2"/>
    <w:pPr>
      <w:keepNext/>
      <w:suppressAutoHyphens w:val="0"/>
      <w:spacing w:before="60" w:after="60"/>
      <w:textAlignment w:val="auto"/>
    </w:pPr>
    <w:rPr>
      <w:rFonts w:ascii="Arial" w:hAnsi="Arial"/>
      <w:sz w:val="20"/>
      <w:lang w:val="en-US" w:eastAsia="de-DE"/>
    </w:rPr>
  </w:style>
  <w:style w:type="paragraph" w:styleId="Pedmtkomente">
    <w:name w:val="annotation subject"/>
    <w:basedOn w:val="Textkomente"/>
    <w:next w:val="Textkomente"/>
    <w:link w:val="PedmtkomenteChar"/>
    <w:uiPriority w:val="99"/>
    <w:semiHidden/>
    <w:unhideWhenUsed/>
    <w:qFormat/>
    <w:rsid w:val="00F75B5C"/>
    <w:rPr>
      <w:b/>
      <w:bCs/>
      <w:lang w:val="cs-CZ"/>
    </w:rPr>
  </w:style>
  <w:style w:type="paragraph" w:styleId="Revize">
    <w:name w:val="Revision"/>
    <w:uiPriority w:val="99"/>
    <w:semiHidden/>
    <w:qFormat/>
    <w:rsid w:val="00F75B5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qFormat/>
    <w:rsid w:val="002C59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hix.zcu.cz/mood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2838</Words>
  <Characters>16746</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libor.soska@pragodata.cz</dc:creator>
  <dc:description/>
  <cp:lastModifiedBy>Blanka Grebeňová</cp:lastModifiedBy>
  <cp:revision>2</cp:revision>
  <dcterms:created xsi:type="dcterms:W3CDTF">2022-07-19T07:12:00Z</dcterms:created>
  <dcterms:modified xsi:type="dcterms:W3CDTF">2022-07-19T07:12:00Z</dcterms:modified>
  <dc:language>cs-CZ</dc:language>
</cp:coreProperties>
</file>