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5D57" w14:textId="77777777" w:rsidR="009D0729" w:rsidRPr="00316C4F" w:rsidRDefault="009D0729" w:rsidP="009D0729">
      <w:pPr>
        <w:pStyle w:val="Bezmezer"/>
        <w:jc w:val="right"/>
        <w:rPr>
          <w:rFonts w:cstheme="minorHAnsi"/>
          <w:b/>
          <w:i/>
          <w:sz w:val="24"/>
          <w:szCs w:val="24"/>
        </w:rPr>
      </w:pPr>
    </w:p>
    <w:p w14:paraId="7A1BA64C" w14:textId="77777777" w:rsidR="009D0729" w:rsidRPr="00316C4F" w:rsidRDefault="009D0729" w:rsidP="009D0729">
      <w:pPr>
        <w:pStyle w:val="Bezmezer"/>
        <w:jc w:val="right"/>
        <w:rPr>
          <w:rFonts w:cstheme="minorHAnsi"/>
          <w:b/>
          <w:sz w:val="24"/>
          <w:szCs w:val="24"/>
        </w:rPr>
      </w:pPr>
    </w:p>
    <w:p w14:paraId="11C7ADB2" w14:textId="77777777" w:rsidR="009D0729" w:rsidRPr="00316C4F" w:rsidRDefault="009D0729" w:rsidP="009D0729">
      <w:pPr>
        <w:pStyle w:val="Bezmezer"/>
        <w:jc w:val="center"/>
        <w:rPr>
          <w:rFonts w:cstheme="minorHAnsi"/>
          <w:b/>
          <w:sz w:val="28"/>
          <w:szCs w:val="28"/>
        </w:rPr>
      </w:pPr>
      <w:r w:rsidRPr="00316C4F">
        <w:rPr>
          <w:rFonts w:cstheme="minorHAnsi"/>
          <w:b/>
          <w:sz w:val="28"/>
          <w:szCs w:val="28"/>
        </w:rPr>
        <w:t>Veřejnoprávní smlouva o poskytnutí dotace</w:t>
      </w:r>
    </w:p>
    <w:p w14:paraId="345F3159" w14:textId="5B5D7381" w:rsidR="009D0729" w:rsidRPr="00316C4F" w:rsidRDefault="009D0729" w:rsidP="009D0729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16C4F">
        <w:rPr>
          <w:rFonts w:cstheme="minorHAnsi"/>
          <w:b/>
          <w:sz w:val="24"/>
          <w:szCs w:val="24"/>
        </w:rPr>
        <w:t>č. S-</w:t>
      </w:r>
      <w:r w:rsidR="00A538D4">
        <w:rPr>
          <w:rFonts w:cstheme="minorHAnsi"/>
          <w:b/>
          <w:sz w:val="24"/>
          <w:szCs w:val="24"/>
        </w:rPr>
        <w:t>0018</w:t>
      </w:r>
      <w:r>
        <w:rPr>
          <w:rFonts w:cstheme="minorHAnsi"/>
          <w:b/>
          <w:sz w:val="24"/>
          <w:szCs w:val="24"/>
        </w:rPr>
        <w:t>/2022</w:t>
      </w:r>
    </w:p>
    <w:p w14:paraId="42F4F933" w14:textId="77777777" w:rsidR="009D0729" w:rsidRPr="00316C4F" w:rsidRDefault="009D0729" w:rsidP="009D0729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>uzavřená ve smyslu ustanovení § 159 a násl. zákona č. 500/2004 Sb., správní řád, ve znění pozdějších předpisů,</w:t>
      </w:r>
    </w:p>
    <w:p w14:paraId="4B08F983" w14:textId="77777777" w:rsidR="009D0729" w:rsidRPr="00316C4F" w:rsidRDefault="009D0729" w:rsidP="009D0729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podle § 89, odst. 2, písm. b) zákona č. 131/2000 </w:t>
      </w:r>
      <w:proofErr w:type="spellStart"/>
      <w:proofErr w:type="gramStart"/>
      <w:r w:rsidRPr="00316C4F">
        <w:rPr>
          <w:rFonts w:cstheme="minorHAnsi"/>
          <w:sz w:val="20"/>
          <w:szCs w:val="20"/>
        </w:rPr>
        <w:t>Sb.,o</w:t>
      </w:r>
      <w:proofErr w:type="spellEnd"/>
      <w:proofErr w:type="gramEnd"/>
      <w:r w:rsidRPr="00316C4F">
        <w:rPr>
          <w:rFonts w:cstheme="minorHAnsi"/>
          <w:sz w:val="20"/>
          <w:szCs w:val="20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3258E437" w14:textId="77777777" w:rsidR="009D0729" w:rsidRPr="00316C4F" w:rsidRDefault="009D0729" w:rsidP="009D0729">
      <w:pPr>
        <w:pStyle w:val="Bezmezer"/>
        <w:jc w:val="center"/>
        <w:rPr>
          <w:rFonts w:cstheme="minorHAnsi"/>
        </w:rPr>
      </w:pPr>
    </w:p>
    <w:p w14:paraId="1737F2B7" w14:textId="77777777" w:rsidR="009D0729" w:rsidRPr="00316C4F" w:rsidRDefault="009D0729" w:rsidP="009D0729">
      <w:pPr>
        <w:pStyle w:val="Bezmezer"/>
        <w:jc w:val="center"/>
        <w:rPr>
          <w:rFonts w:cstheme="minorHAnsi"/>
        </w:rPr>
      </w:pPr>
      <w:r w:rsidRPr="00316C4F">
        <w:rPr>
          <w:rFonts w:cstheme="minorHAnsi"/>
        </w:rPr>
        <w:t>mezi:</w:t>
      </w:r>
    </w:p>
    <w:p w14:paraId="58671D10" w14:textId="77777777" w:rsidR="009D0729" w:rsidRPr="00316C4F" w:rsidRDefault="009D0729" w:rsidP="009D0729">
      <w:pPr>
        <w:pStyle w:val="Bezmezer"/>
        <w:rPr>
          <w:rFonts w:cstheme="minorHAnsi"/>
          <w:b/>
        </w:rPr>
      </w:pPr>
    </w:p>
    <w:p w14:paraId="06D2CCB4" w14:textId="77777777" w:rsidR="009D0729" w:rsidRPr="00316C4F" w:rsidRDefault="009D0729" w:rsidP="009D0729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Poskytovatelem dotace:</w:t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Městská část Praha – Štěrboholy</w:t>
      </w:r>
    </w:p>
    <w:p w14:paraId="6003B95B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</w:t>
      </w:r>
      <w:r>
        <w:rPr>
          <w:rFonts w:cstheme="minorHAnsi"/>
        </w:rPr>
        <w:t>Ústřední 527/</w:t>
      </w:r>
      <w:proofErr w:type="gramStart"/>
      <w:r>
        <w:rPr>
          <w:rFonts w:cstheme="minorHAnsi"/>
        </w:rPr>
        <w:t>14</w:t>
      </w:r>
      <w:r w:rsidRPr="00316C4F">
        <w:rPr>
          <w:rFonts w:cstheme="minorHAnsi"/>
        </w:rPr>
        <w:t>,  102</w:t>
      </w:r>
      <w:proofErr w:type="gramEnd"/>
      <w:r w:rsidRPr="00316C4F">
        <w:rPr>
          <w:rFonts w:cstheme="minorHAnsi"/>
        </w:rPr>
        <w:t xml:space="preserve"> 00  Praha 10</w:t>
      </w:r>
    </w:p>
    <w:p w14:paraId="09EAB918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Františkem </w:t>
      </w:r>
      <w:proofErr w:type="spellStart"/>
      <w:r w:rsidRPr="00316C4F">
        <w:rPr>
          <w:rFonts w:cstheme="minorHAnsi"/>
        </w:rPr>
        <w:t>Ševítem</w:t>
      </w:r>
      <w:proofErr w:type="spellEnd"/>
      <w:r w:rsidRPr="00316C4F">
        <w:rPr>
          <w:rFonts w:cstheme="minorHAnsi"/>
        </w:rPr>
        <w:t>, starostou</w:t>
      </w:r>
    </w:p>
    <w:p w14:paraId="0CCB89D1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00231371</w:t>
      </w:r>
    </w:p>
    <w:p w14:paraId="7772BDF6" w14:textId="77777777" w:rsidR="009D0729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</w:t>
      </w:r>
      <w:proofErr w:type="gramStart"/>
      <w:r>
        <w:rPr>
          <w:rFonts w:cstheme="minorHAnsi"/>
        </w:rPr>
        <w:t xml:space="preserve">, </w:t>
      </w:r>
      <w:r w:rsidRPr="00316C4F">
        <w:rPr>
          <w:rFonts w:cstheme="minorHAnsi"/>
        </w:rPr>
        <w:t xml:space="preserve"> </w:t>
      </w:r>
      <w:proofErr w:type="spellStart"/>
      <w:r w:rsidRPr="00316C4F">
        <w:rPr>
          <w:rFonts w:cstheme="minorHAnsi"/>
        </w:rPr>
        <w:t>a.s</w:t>
      </w:r>
      <w:proofErr w:type="spellEnd"/>
      <w:proofErr w:type="gramEnd"/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07EE7890" w14:textId="77777777" w:rsidR="009D0729" w:rsidRPr="00316C4F" w:rsidRDefault="009D0729" w:rsidP="009D0729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2000718329/0800</w:t>
      </w:r>
    </w:p>
    <w:p w14:paraId="6293D8E5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„poskytovatel“)</w:t>
      </w:r>
    </w:p>
    <w:p w14:paraId="5CF4A5F4" w14:textId="77777777" w:rsidR="009D0729" w:rsidRPr="00316C4F" w:rsidRDefault="009D0729" w:rsidP="009D0729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a</w:t>
      </w:r>
    </w:p>
    <w:p w14:paraId="308F5689" w14:textId="77777777" w:rsidR="009D0729" w:rsidRPr="00316C4F" w:rsidRDefault="009D0729" w:rsidP="009D0729">
      <w:pPr>
        <w:pStyle w:val="Bezmezer"/>
        <w:rPr>
          <w:rFonts w:cstheme="minorHAnsi"/>
        </w:rPr>
      </w:pPr>
    </w:p>
    <w:p w14:paraId="05F797E5" w14:textId="77777777" w:rsidR="009D0729" w:rsidRDefault="009D0729" w:rsidP="009D0729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Příjemcem dotace: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SK VIKTORIA ŠTĚRBOHOLY</w:t>
      </w:r>
    </w:p>
    <w:p w14:paraId="068AE2AB" w14:textId="77777777" w:rsidR="009D0729" w:rsidRPr="000C4C06" w:rsidRDefault="009D0729" w:rsidP="009D0729">
      <w:pPr>
        <w:pStyle w:val="Bezmezer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C4C06">
        <w:rPr>
          <w:rFonts w:cstheme="minorHAnsi"/>
        </w:rPr>
        <w:t>spolek</w:t>
      </w:r>
    </w:p>
    <w:p w14:paraId="19266F9F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Výrobní 4/1, 102 </w:t>
      </w:r>
      <w:proofErr w:type="gramStart"/>
      <w:r w:rsidRPr="00316C4F">
        <w:rPr>
          <w:rFonts w:cstheme="minorHAnsi"/>
        </w:rPr>
        <w:t>00  Praha</w:t>
      </w:r>
      <w:proofErr w:type="gramEnd"/>
      <w:r w:rsidRPr="00316C4F">
        <w:rPr>
          <w:rFonts w:cstheme="minorHAnsi"/>
        </w:rPr>
        <w:t xml:space="preserve"> 10</w:t>
      </w:r>
    </w:p>
    <w:p w14:paraId="7294F4C2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Karlem </w:t>
      </w:r>
      <w:proofErr w:type="spellStart"/>
      <w:r w:rsidRPr="00316C4F">
        <w:rPr>
          <w:rFonts w:cstheme="minorHAnsi"/>
        </w:rPr>
        <w:t>Horčíkem</w:t>
      </w:r>
      <w:proofErr w:type="spellEnd"/>
      <w:r w:rsidRPr="00316C4F">
        <w:rPr>
          <w:rFonts w:cstheme="minorHAnsi"/>
        </w:rPr>
        <w:t>, předsedou výboru SK</w:t>
      </w:r>
    </w:p>
    <w:p w14:paraId="577EBA0D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67360998</w:t>
      </w:r>
    </w:p>
    <w:p w14:paraId="33B45D10" w14:textId="77777777" w:rsidR="009D0729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spořitelna,</w:t>
      </w:r>
      <w:r w:rsidRPr="00316C4F">
        <w:rPr>
          <w:rFonts w:cstheme="minorHAnsi"/>
        </w:rPr>
        <w:t xml:space="preserve"> a.s.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29630E93" w14:textId="77777777" w:rsidR="009D0729" w:rsidRPr="00316C4F" w:rsidRDefault="009D0729" w:rsidP="009D0729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247994369/0800</w:t>
      </w:r>
    </w:p>
    <w:p w14:paraId="5832D61F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zapsaný ve spolkovém rejstříku vedeném Městským soudem</w:t>
      </w:r>
    </w:p>
    <w:p w14:paraId="314D505C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v Praze, oddíl L, vložka 8412</w:t>
      </w:r>
    </w:p>
    <w:p w14:paraId="7E109EE0" w14:textId="77777777" w:rsidR="009D0729" w:rsidRPr="00316C4F" w:rsidRDefault="009D0729" w:rsidP="009D0729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„příjemce“)</w:t>
      </w:r>
    </w:p>
    <w:p w14:paraId="5EAC0630" w14:textId="77777777" w:rsidR="009D0729" w:rsidRPr="00316C4F" w:rsidRDefault="009D0729" w:rsidP="009D0729">
      <w:pPr>
        <w:pStyle w:val="Bezmezer"/>
        <w:rPr>
          <w:rFonts w:cstheme="minorHAnsi"/>
        </w:rPr>
      </w:pPr>
    </w:p>
    <w:p w14:paraId="0876415F" w14:textId="77777777" w:rsidR="009D0729" w:rsidRPr="00316C4F" w:rsidRDefault="009D0729" w:rsidP="009D0729">
      <w:pPr>
        <w:pStyle w:val="Bezmezer"/>
        <w:rPr>
          <w:rFonts w:cstheme="minorHAnsi"/>
        </w:rPr>
      </w:pPr>
    </w:p>
    <w:p w14:paraId="3BB69C80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I.</w:t>
      </w:r>
    </w:p>
    <w:p w14:paraId="679E9CCF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Obecná ustanovení</w:t>
      </w:r>
    </w:p>
    <w:p w14:paraId="4AF2A7E3" w14:textId="6452489F" w:rsidR="009D0729" w:rsidRPr="00316C4F" w:rsidRDefault="009D0729" w:rsidP="009D0729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Zastupitelstvo městské části Praha – Štěrboholy rozhodlo svým usnesením č. </w:t>
      </w:r>
      <w:r w:rsidR="00A538D4">
        <w:rPr>
          <w:rFonts w:cstheme="minorHAnsi"/>
        </w:rPr>
        <w:t>39/III</w:t>
      </w:r>
      <w:r w:rsidRPr="00316C4F">
        <w:rPr>
          <w:rFonts w:cstheme="minorHAnsi"/>
        </w:rPr>
        <w:t xml:space="preserve">  ze dne </w:t>
      </w:r>
      <w:r>
        <w:rPr>
          <w:rFonts w:cstheme="minorHAnsi"/>
        </w:rPr>
        <w:t>2</w:t>
      </w:r>
      <w:r w:rsidR="00FB082C">
        <w:rPr>
          <w:rFonts w:cstheme="minorHAnsi"/>
        </w:rPr>
        <w:t>9</w:t>
      </w:r>
      <w:r>
        <w:rPr>
          <w:rFonts w:cstheme="minorHAnsi"/>
        </w:rPr>
        <w:t>.</w:t>
      </w:r>
      <w:r w:rsidR="00FB082C">
        <w:rPr>
          <w:rFonts w:cstheme="minorHAnsi"/>
        </w:rPr>
        <w:t>6</w:t>
      </w:r>
      <w:r>
        <w:rPr>
          <w:rFonts w:cstheme="minorHAnsi"/>
        </w:rPr>
        <w:t>.20</w:t>
      </w:r>
      <w:r w:rsidR="00FB082C">
        <w:rPr>
          <w:rFonts w:cstheme="minorHAnsi"/>
        </w:rPr>
        <w:t>22</w:t>
      </w:r>
      <w:r w:rsidRPr="00316C4F">
        <w:rPr>
          <w:rFonts w:cstheme="minorHAnsi"/>
        </w:rPr>
        <w:t xml:space="preserve"> o poskytnutí dotace z rozpočtu městské části v roce 20</w:t>
      </w:r>
      <w:r w:rsidR="00FB082C">
        <w:rPr>
          <w:rFonts w:cstheme="minorHAnsi"/>
        </w:rPr>
        <w:t>22</w:t>
      </w:r>
      <w:r w:rsidRPr="00316C4F">
        <w:rPr>
          <w:rFonts w:cstheme="minorHAnsi"/>
        </w:rPr>
        <w:t xml:space="preserve"> ve výši a za podmínek dále uvedených v této smlouvě. </w:t>
      </w:r>
    </w:p>
    <w:p w14:paraId="5A1F7E83" w14:textId="77777777" w:rsidR="009D0729" w:rsidRPr="00316C4F" w:rsidRDefault="009D0729" w:rsidP="009D0729">
      <w:pPr>
        <w:pStyle w:val="Bezmezer"/>
        <w:rPr>
          <w:rFonts w:cstheme="minorHAnsi"/>
          <w:b/>
        </w:rPr>
      </w:pPr>
    </w:p>
    <w:p w14:paraId="054559A2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II.</w:t>
      </w:r>
    </w:p>
    <w:p w14:paraId="508C60DC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Účel dotace</w:t>
      </w:r>
    </w:p>
    <w:p w14:paraId="346CBCED" w14:textId="4F26027C" w:rsidR="009D0729" w:rsidRPr="00316C4F" w:rsidRDefault="009D0729" w:rsidP="009D0729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poskytne </w:t>
      </w:r>
      <w:r w:rsidR="00AD312F" w:rsidRPr="00316C4F">
        <w:rPr>
          <w:rFonts w:cstheme="minorHAnsi"/>
        </w:rPr>
        <w:t>příjemci účelovou</w:t>
      </w:r>
      <w:r w:rsidRPr="00316C4F">
        <w:rPr>
          <w:rFonts w:cstheme="minorHAnsi"/>
        </w:rPr>
        <w:t xml:space="preserve"> neinvestiční dotaci na nákup sportovního vybavení</w:t>
      </w:r>
      <w:r>
        <w:rPr>
          <w:rFonts w:cstheme="minorHAnsi"/>
        </w:rPr>
        <w:t>, zajištění účasti hráčů na zápasech,</w:t>
      </w:r>
      <w:r w:rsidRPr="00316C4F">
        <w:rPr>
          <w:rFonts w:cstheme="minorHAnsi"/>
        </w:rPr>
        <w:t xml:space="preserve"> zajištění soustředění oddílů mládeže </w:t>
      </w:r>
      <w:r>
        <w:rPr>
          <w:rFonts w:cstheme="minorHAnsi"/>
        </w:rPr>
        <w:t xml:space="preserve">a pronájem sportovních ploch pro mládež </w:t>
      </w:r>
      <w:r w:rsidRPr="00316C4F">
        <w:rPr>
          <w:rFonts w:cstheme="minorHAnsi"/>
        </w:rPr>
        <w:t xml:space="preserve">SK VIKTORIA Štěrboholy ve výši </w:t>
      </w:r>
      <w:r w:rsidR="00AD312F">
        <w:rPr>
          <w:rFonts w:cstheme="minorHAnsi"/>
        </w:rPr>
        <w:t>110</w:t>
      </w:r>
      <w:r w:rsidRPr="00316C4F">
        <w:rPr>
          <w:rFonts w:cstheme="minorHAnsi"/>
        </w:rPr>
        <w:t> </w:t>
      </w:r>
      <w:r w:rsidR="00AD312F">
        <w:rPr>
          <w:rFonts w:cstheme="minorHAnsi"/>
        </w:rPr>
        <w:t>6</w:t>
      </w:r>
      <w:r w:rsidRPr="00316C4F">
        <w:rPr>
          <w:rFonts w:cstheme="minorHAnsi"/>
        </w:rPr>
        <w:t xml:space="preserve">00,00 Kč (slovy </w:t>
      </w:r>
      <w:proofErr w:type="spellStart"/>
      <w:r w:rsidR="00AD312F">
        <w:rPr>
          <w:rFonts w:cstheme="minorHAnsi"/>
        </w:rPr>
        <w:t>jednostodeset</w:t>
      </w:r>
      <w:r w:rsidRPr="00316C4F">
        <w:rPr>
          <w:rFonts w:cstheme="minorHAnsi"/>
        </w:rPr>
        <w:t>tisíc</w:t>
      </w:r>
      <w:r w:rsidR="00AD312F">
        <w:rPr>
          <w:rFonts w:cstheme="minorHAnsi"/>
        </w:rPr>
        <w:t>šestset</w:t>
      </w:r>
      <w:proofErr w:type="spellEnd"/>
      <w:r w:rsidR="00AD312F">
        <w:rPr>
          <w:rFonts w:cstheme="minorHAnsi"/>
        </w:rPr>
        <w:t xml:space="preserve"> </w:t>
      </w:r>
      <w:r w:rsidRPr="00316C4F">
        <w:rPr>
          <w:rFonts w:cstheme="minorHAnsi"/>
        </w:rPr>
        <w:t>korun českých).</w:t>
      </w:r>
    </w:p>
    <w:p w14:paraId="4A98A43E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5CE1B7B0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5A50BA9F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III.</w:t>
      </w:r>
    </w:p>
    <w:p w14:paraId="66143DE0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Doba užití a způsob poskytnutí dotace</w:t>
      </w:r>
    </w:p>
    <w:p w14:paraId="3196AB98" w14:textId="51DDA288" w:rsidR="009D0729" w:rsidRPr="00316C4F" w:rsidRDefault="009D0729" w:rsidP="009D0729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se zavazuje poskytnout příjemci dotaci za účelem uvedeným v článku II., na účet příjemce uvedený v záhlaví této smlouvy </w:t>
      </w:r>
      <w:r w:rsidR="00AD312F" w:rsidRPr="00316C4F">
        <w:rPr>
          <w:rFonts w:cstheme="minorHAnsi"/>
        </w:rPr>
        <w:t>jednorázově do</w:t>
      </w:r>
      <w:r w:rsidRPr="00316C4F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316C4F">
        <w:rPr>
          <w:rFonts w:cstheme="minorHAnsi"/>
        </w:rPr>
        <w:t xml:space="preserve"> dnů ode dne podpisu této smlouvy oběma smluvními stranami. </w:t>
      </w:r>
    </w:p>
    <w:p w14:paraId="7C41AB4D" w14:textId="31C92B6E" w:rsidR="009D0729" w:rsidRPr="00316C4F" w:rsidRDefault="009D0729" w:rsidP="009D0729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lastRenderedPageBreak/>
        <w:t>Finanční prostředky lze použít na úhradu nákladů vzniklých v roce 20</w:t>
      </w:r>
      <w:r w:rsidR="007F13C0">
        <w:rPr>
          <w:rFonts w:cstheme="minorHAnsi"/>
        </w:rPr>
        <w:t>22</w:t>
      </w:r>
      <w:r w:rsidRPr="00316C4F">
        <w:rPr>
          <w:rFonts w:cstheme="minorHAnsi"/>
        </w:rPr>
        <w:t>. Finanční prostředky nelze převádět do následujícího kalendářního roku. Dotace podléhá finančnímu vypořádání s rozpočtem poskytovatele za rok 20</w:t>
      </w:r>
      <w:r w:rsidR="007F13C0">
        <w:rPr>
          <w:rFonts w:cstheme="minorHAnsi"/>
        </w:rPr>
        <w:t>22</w:t>
      </w:r>
      <w:r w:rsidRPr="00316C4F">
        <w:rPr>
          <w:rFonts w:cstheme="minorHAnsi"/>
        </w:rPr>
        <w:t>.</w:t>
      </w:r>
    </w:p>
    <w:p w14:paraId="7E5594F1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343FD803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104ECBAD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IV.</w:t>
      </w:r>
    </w:p>
    <w:p w14:paraId="39E8647F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Podmínky použití peněžních prostředků</w:t>
      </w:r>
    </w:p>
    <w:p w14:paraId="23641BE7" w14:textId="77777777" w:rsidR="009D0729" w:rsidRPr="00316C4F" w:rsidRDefault="009D0729" w:rsidP="009D0729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užít dotaci jen k účelu uvedenému v čl. II. této smlouvy a pouze za podmínek dále uvedených. </w:t>
      </w:r>
    </w:p>
    <w:p w14:paraId="528F367F" w14:textId="77777777" w:rsidR="009D0729" w:rsidRPr="00316C4F" w:rsidRDefault="009D0729" w:rsidP="009D0729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5B2A8E36" w14:textId="77777777" w:rsidR="009D0729" w:rsidRPr="00316C4F" w:rsidRDefault="009D0729" w:rsidP="009D0729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0A9E92EC" w14:textId="165B9594" w:rsidR="009D0729" w:rsidRPr="00316C4F" w:rsidRDefault="009D0729" w:rsidP="009D0729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</w:t>
      </w:r>
      <w:r w:rsidR="007F13C0">
        <w:rPr>
          <w:rFonts w:cstheme="minorHAnsi"/>
        </w:rPr>
        <w:t>2</w:t>
      </w:r>
      <w:r w:rsidRPr="00316C4F">
        <w:rPr>
          <w:rFonts w:cstheme="minorHAnsi"/>
        </w:rPr>
        <w:t>.20</w:t>
      </w:r>
      <w:r>
        <w:rPr>
          <w:rFonts w:cstheme="minorHAnsi"/>
        </w:rPr>
        <w:t>2</w:t>
      </w:r>
      <w:r w:rsidR="007F13C0">
        <w:rPr>
          <w:rFonts w:cstheme="minorHAnsi"/>
        </w:rPr>
        <w:t>2</w:t>
      </w:r>
      <w:r w:rsidRPr="00316C4F">
        <w:rPr>
          <w:rFonts w:cstheme="minorHAnsi"/>
        </w:rPr>
        <w:t>.</w:t>
      </w:r>
    </w:p>
    <w:p w14:paraId="00773165" w14:textId="77777777" w:rsidR="009D0729" w:rsidRPr="00316C4F" w:rsidRDefault="009D0729" w:rsidP="009D0729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77AE9201" w14:textId="77777777" w:rsidR="009D0729" w:rsidRPr="00316C4F" w:rsidRDefault="009D0729" w:rsidP="009D0729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poskytnout součinnost při výkonu kontrolní činnosti poskytovatele v souladu se zákonem a zvláštním právním předpisem. </w:t>
      </w:r>
    </w:p>
    <w:p w14:paraId="7F2437E8" w14:textId="77777777" w:rsidR="009D0729" w:rsidRPr="00316C4F" w:rsidRDefault="009D0729" w:rsidP="009D0729">
      <w:pPr>
        <w:pStyle w:val="Bezmezer"/>
        <w:ind w:left="284"/>
        <w:jc w:val="both"/>
        <w:rPr>
          <w:rFonts w:cstheme="minorHAnsi"/>
        </w:rPr>
      </w:pPr>
    </w:p>
    <w:p w14:paraId="2B81BB4A" w14:textId="77777777" w:rsidR="009D0729" w:rsidRPr="00316C4F" w:rsidRDefault="009D0729" w:rsidP="009D0729">
      <w:pPr>
        <w:pStyle w:val="Bezmezer"/>
        <w:ind w:left="284"/>
        <w:jc w:val="both"/>
        <w:rPr>
          <w:rFonts w:cstheme="minorHAnsi"/>
        </w:rPr>
      </w:pPr>
    </w:p>
    <w:p w14:paraId="2AFAD10A" w14:textId="77777777" w:rsidR="009D0729" w:rsidRPr="00316C4F" w:rsidRDefault="009D0729" w:rsidP="009D0729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V.</w:t>
      </w:r>
    </w:p>
    <w:p w14:paraId="73322739" w14:textId="77777777" w:rsidR="009D0729" w:rsidRPr="00316C4F" w:rsidRDefault="009D0729" w:rsidP="009D0729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Povinnosti příjemce při přeměně právnické osoby, při prohlášení úpadku či zrušení s likvidací</w:t>
      </w:r>
    </w:p>
    <w:p w14:paraId="6617B78E" w14:textId="77777777" w:rsidR="009D0729" w:rsidRPr="00316C4F" w:rsidRDefault="009D0729" w:rsidP="009D0729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36E9BA8C" w14:textId="77777777" w:rsidR="009D0729" w:rsidRPr="00316C4F" w:rsidRDefault="009D0729" w:rsidP="009D0729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Žádost dle bodu 1 tohoto článku projedná a rozhodne o ní zastupitelstvo městské části.</w:t>
      </w:r>
    </w:p>
    <w:p w14:paraId="3FA65F48" w14:textId="062706E8" w:rsidR="009D0729" w:rsidRPr="00316C4F" w:rsidRDefault="009D0729" w:rsidP="009D0729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poskytovatel žádosti dle bodu 1. tohoto článku </w:t>
      </w:r>
      <w:r w:rsidR="00305101" w:rsidRPr="00316C4F">
        <w:rPr>
          <w:rFonts w:cstheme="minorHAnsi"/>
        </w:rPr>
        <w:t>nevyhoví,</w:t>
      </w:r>
      <w:r w:rsidRPr="00316C4F">
        <w:rPr>
          <w:rFonts w:cstheme="minorHAnsi"/>
        </w:rPr>
        <w:t xml:space="preserve">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6CA21F80" w14:textId="77777777" w:rsidR="009D0729" w:rsidRPr="00316C4F" w:rsidRDefault="009D0729" w:rsidP="009D0729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229F633E" w14:textId="77777777" w:rsidR="009D0729" w:rsidRPr="00316C4F" w:rsidRDefault="009D0729" w:rsidP="009D0729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57AF112C" w14:textId="77777777" w:rsidR="009D0729" w:rsidRPr="00316C4F" w:rsidRDefault="009D0729" w:rsidP="009D0729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7232A20B" w14:textId="77777777" w:rsidR="009D0729" w:rsidRPr="00316C4F" w:rsidRDefault="009D0729" w:rsidP="009D0729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VI.</w:t>
      </w:r>
    </w:p>
    <w:p w14:paraId="1B7F70C4" w14:textId="77777777" w:rsidR="009D0729" w:rsidRPr="00316C4F" w:rsidRDefault="009D0729" w:rsidP="009D0729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Ostatní ujednání</w:t>
      </w:r>
    </w:p>
    <w:p w14:paraId="0315D0EB" w14:textId="77777777" w:rsidR="009D0729" w:rsidRPr="00316C4F" w:rsidRDefault="009D0729" w:rsidP="009D0729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76FC864F" w14:textId="77777777" w:rsidR="009D0729" w:rsidRPr="00316C4F" w:rsidRDefault="009D0729" w:rsidP="009D0729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50B974B8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75BF9686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51FE9128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2E139CC0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417136D6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VII.</w:t>
      </w:r>
    </w:p>
    <w:p w14:paraId="2F51755A" w14:textId="77777777" w:rsidR="009D0729" w:rsidRPr="00316C4F" w:rsidRDefault="009D0729" w:rsidP="009D0729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Závěrečná ustanovení</w:t>
      </w:r>
    </w:p>
    <w:p w14:paraId="630FCDB8" w14:textId="255792D3" w:rsidR="009D0729" w:rsidRPr="00316C4F" w:rsidRDefault="009D0729" w:rsidP="009D0729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Tato smlouva nabývá účinnosti </w:t>
      </w:r>
      <w:r w:rsidR="00305101" w:rsidRPr="00316C4F">
        <w:rPr>
          <w:rFonts w:cstheme="minorHAnsi"/>
        </w:rPr>
        <w:t>dnem jejího</w:t>
      </w:r>
      <w:r w:rsidRPr="00316C4F">
        <w:rPr>
          <w:rFonts w:cstheme="minorHAnsi"/>
        </w:rPr>
        <w:t xml:space="preserve"> podpisu oběma smluvními stranami.</w:t>
      </w:r>
    </w:p>
    <w:p w14:paraId="7053E561" w14:textId="77777777" w:rsidR="009D0729" w:rsidRPr="00316C4F" w:rsidRDefault="009D0729" w:rsidP="009D0729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5D93BCC3" w14:textId="77777777" w:rsidR="009D0729" w:rsidRPr="00316C4F" w:rsidRDefault="009D0729" w:rsidP="009D0729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Změny a doplňky této smlouvy lze provádět pouze písemnými oboustranně podepsanými dodatky.</w:t>
      </w:r>
    </w:p>
    <w:p w14:paraId="07BD6EDE" w14:textId="77777777" w:rsidR="009D0729" w:rsidRPr="00316C4F" w:rsidRDefault="009D0729" w:rsidP="009D0729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Smlouva je vyhotovena ve dvou stejnopisech, z nichž každá smluvní strana obdrží po jednom výtisku.</w:t>
      </w:r>
    </w:p>
    <w:p w14:paraId="0952EEF4" w14:textId="77777777" w:rsidR="009D0729" w:rsidRPr="00316C4F" w:rsidRDefault="009D0729" w:rsidP="009D0729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Smluvní strany svými podpisy stvrzují, že smlouva byla sjednána na základě jejich pravé a svobodné vůle, nikoli v tísni a za nápadně nevýhodných podmínek.</w:t>
      </w:r>
    </w:p>
    <w:p w14:paraId="4DA5B1E0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68A5B0CB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377C5475" w14:textId="49C9B0B6" w:rsidR="009D0729" w:rsidRPr="00316C4F" w:rsidRDefault="009D0729" w:rsidP="009D0729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</w:t>
      </w:r>
      <w:r w:rsidR="007553D5">
        <w:rPr>
          <w:rFonts w:cstheme="minorHAnsi"/>
        </w:rPr>
        <w:t>18.07.</w:t>
      </w:r>
      <w:proofErr w:type="gramStart"/>
      <w:r w:rsidR="007553D5">
        <w:rPr>
          <w:rFonts w:cstheme="minorHAnsi"/>
        </w:rPr>
        <w:t>2022</w:t>
      </w:r>
      <w:r>
        <w:rPr>
          <w:rFonts w:cstheme="minorHAnsi"/>
        </w:rPr>
        <w:t>….</w:t>
      </w:r>
      <w:proofErr w:type="gramEnd"/>
      <w:r>
        <w:rPr>
          <w:rFonts w:cstheme="minorHAnsi"/>
        </w:rPr>
        <w:t>….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>
        <w:rPr>
          <w:rFonts w:cstheme="minorHAnsi"/>
        </w:rPr>
        <w:tab/>
      </w: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</w:t>
      </w:r>
      <w:r w:rsidR="007553D5">
        <w:rPr>
          <w:rFonts w:cstheme="minorHAnsi"/>
        </w:rPr>
        <w:t>18.07.2022….</w:t>
      </w:r>
    </w:p>
    <w:p w14:paraId="37C0D7E2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7C26C899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za poskytovatele: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 příjemce:</w:t>
      </w:r>
    </w:p>
    <w:p w14:paraId="76EA8B11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</w:p>
    <w:p w14:paraId="1EE60430" w14:textId="77777777" w:rsidR="009D0729" w:rsidRDefault="009D0729" w:rsidP="009D0729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…………………</w:t>
      </w:r>
      <w:r>
        <w:rPr>
          <w:rFonts w:cstheme="minorHAnsi"/>
        </w:rPr>
        <w:t>…………………..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…………………</w:t>
      </w:r>
      <w:r>
        <w:rPr>
          <w:rFonts w:cstheme="minorHAnsi"/>
        </w:rPr>
        <w:t>………………….</w:t>
      </w:r>
    </w:p>
    <w:p w14:paraId="793B6666" w14:textId="77777777" w:rsidR="009D0729" w:rsidRDefault="009D0729" w:rsidP="009D0729">
      <w:pPr>
        <w:pStyle w:val="Bezmezer"/>
        <w:jc w:val="both"/>
        <w:rPr>
          <w:rFonts w:cstheme="minorHAnsi"/>
        </w:rPr>
      </w:pPr>
      <w:r>
        <w:rPr>
          <w:rFonts w:cstheme="minorHAnsi"/>
        </w:rPr>
        <w:t>František Ševít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Karel </w:t>
      </w:r>
      <w:proofErr w:type="spellStart"/>
      <w:r>
        <w:rPr>
          <w:rFonts w:cstheme="minorHAnsi"/>
        </w:rPr>
        <w:t>Horčík</w:t>
      </w:r>
      <w:proofErr w:type="spellEnd"/>
    </w:p>
    <w:p w14:paraId="76D44366" w14:textId="77777777" w:rsidR="009D0729" w:rsidRPr="00316C4F" w:rsidRDefault="009D0729" w:rsidP="009D0729">
      <w:pPr>
        <w:pStyle w:val="Bezmezer"/>
        <w:jc w:val="both"/>
        <w:rPr>
          <w:rFonts w:cstheme="minorHAnsi"/>
        </w:rPr>
      </w:pPr>
      <w:r>
        <w:rPr>
          <w:rFonts w:cstheme="minorHAnsi"/>
        </w:rPr>
        <w:t>Starosta MČ Praha – Štěrboholy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předseda výboru SK Viktoria Štěrboholy</w:t>
      </w:r>
    </w:p>
    <w:p w14:paraId="482A9312" w14:textId="77777777" w:rsidR="009D0729" w:rsidRPr="00316C4F" w:rsidRDefault="009D0729" w:rsidP="009D0729">
      <w:pPr>
        <w:rPr>
          <w:rFonts w:cstheme="minorHAnsi"/>
        </w:rPr>
      </w:pPr>
    </w:p>
    <w:p w14:paraId="2458EC7D" w14:textId="77777777" w:rsidR="009D0729" w:rsidRPr="00316C4F" w:rsidRDefault="009D0729" w:rsidP="009D0729">
      <w:pPr>
        <w:rPr>
          <w:rFonts w:cstheme="minorHAnsi"/>
        </w:rPr>
      </w:pPr>
    </w:p>
    <w:p w14:paraId="02752DD0" w14:textId="77777777" w:rsidR="009D0729" w:rsidRPr="00316C4F" w:rsidRDefault="009D0729" w:rsidP="009D0729">
      <w:pPr>
        <w:rPr>
          <w:rFonts w:cstheme="minorHAnsi"/>
        </w:rPr>
      </w:pPr>
    </w:p>
    <w:p w14:paraId="646B3317" w14:textId="2DB9934F" w:rsidR="009D0729" w:rsidRPr="00316C4F" w:rsidRDefault="009D0729" w:rsidP="009D0729">
      <w:pPr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Zveřejněno na úřední desce  způsobem umožňujícím dálkový přístup: </w:t>
      </w:r>
      <w:hyperlink r:id="rId5" w:history="1">
        <w:r w:rsidRPr="00316C4F">
          <w:rPr>
            <w:rStyle w:val="Hypertextovodkaz"/>
            <w:rFonts w:cstheme="minorHAnsi"/>
            <w:sz w:val="20"/>
            <w:szCs w:val="20"/>
          </w:rPr>
          <w:t>www.sterboholy.cz</w:t>
        </w:r>
      </w:hyperlink>
      <w:r w:rsidRPr="00316C4F">
        <w:rPr>
          <w:rFonts w:cstheme="minorHAnsi"/>
          <w:sz w:val="20"/>
          <w:szCs w:val="20"/>
        </w:rPr>
        <w:t xml:space="preserve"> dne </w:t>
      </w:r>
      <w:r w:rsidR="007553D5">
        <w:rPr>
          <w:rFonts w:cstheme="minorHAnsi"/>
          <w:sz w:val="20"/>
          <w:szCs w:val="20"/>
        </w:rPr>
        <w:t>18.07.2022.</w:t>
      </w:r>
    </w:p>
    <w:p w14:paraId="7F93F1D7" w14:textId="77777777" w:rsidR="009D0729" w:rsidRPr="00316C4F" w:rsidRDefault="009D0729" w:rsidP="009D0729">
      <w:pPr>
        <w:rPr>
          <w:rFonts w:cstheme="minorHAnsi"/>
        </w:rPr>
      </w:pPr>
    </w:p>
    <w:p w14:paraId="69B1B8F1" w14:textId="77777777" w:rsidR="009D0729" w:rsidRPr="00316C4F" w:rsidRDefault="009D0729" w:rsidP="009D0729">
      <w:pPr>
        <w:rPr>
          <w:rFonts w:cstheme="minorHAnsi"/>
        </w:rPr>
      </w:pPr>
    </w:p>
    <w:p w14:paraId="6210EEDC" w14:textId="77777777" w:rsidR="009D0729" w:rsidRPr="00316C4F" w:rsidRDefault="009D0729" w:rsidP="009D0729">
      <w:pPr>
        <w:rPr>
          <w:rFonts w:cstheme="minorHAnsi"/>
        </w:rPr>
      </w:pPr>
    </w:p>
    <w:p w14:paraId="3EA84AAF" w14:textId="77777777" w:rsidR="009D0729" w:rsidRDefault="009D0729" w:rsidP="009D0729"/>
    <w:p w14:paraId="4E841C9F" w14:textId="77777777" w:rsidR="008D0022" w:rsidRDefault="008D0022"/>
    <w:sectPr w:rsidR="008D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1638">
    <w:abstractNumId w:val="0"/>
  </w:num>
  <w:num w:numId="2" w16cid:durableId="1373577462">
    <w:abstractNumId w:val="1"/>
  </w:num>
  <w:num w:numId="3" w16cid:durableId="1157259086">
    <w:abstractNumId w:val="3"/>
  </w:num>
  <w:num w:numId="4" w16cid:durableId="2064719615">
    <w:abstractNumId w:val="4"/>
  </w:num>
  <w:num w:numId="5" w16cid:durableId="111412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29"/>
    <w:rsid w:val="00305101"/>
    <w:rsid w:val="007553D5"/>
    <w:rsid w:val="007F13C0"/>
    <w:rsid w:val="008D0022"/>
    <w:rsid w:val="009D0729"/>
    <w:rsid w:val="00A538D4"/>
    <w:rsid w:val="00AD312F"/>
    <w:rsid w:val="00F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5616"/>
  <w15:chartTrackingRefBased/>
  <w15:docId w15:val="{23C6F82F-1704-4DDE-9F12-8C83556F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7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072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D0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rbohol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992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7</cp:revision>
  <dcterms:created xsi:type="dcterms:W3CDTF">2022-06-20T12:23:00Z</dcterms:created>
  <dcterms:modified xsi:type="dcterms:W3CDTF">2022-07-18T10:55:00Z</dcterms:modified>
</cp:coreProperties>
</file>