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614" w:h="523" w:wrap="none" w:hAnchor="page" w:x="165" w:y="1"/>
        <w:widowControl w:val="0"/>
        <w:shd w:val="clear" w:color="auto" w:fill="auto"/>
        <w:bidi w:val="0"/>
        <w:spacing w:before="0" w:after="0" w:line="240" w:lineRule="auto"/>
        <w:ind w:left="0" w:right="0" w:firstLine="0"/>
        <w:jc w:val="both"/>
      </w:pPr>
      <w:bookmarkStart w:id="0" w:name="bookmark0"/>
      <w:r>
        <w:rPr>
          <w:rStyle w:val="CharStyle3"/>
        </w:rPr>
        <w:t>&gt;0L</w:t>
      </w:r>
      <w:bookmarkEnd w:id="0"/>
    </w:p>
    <w:p>
      <w:pPr>
        <w:pStyle w:val="Style4"/>
        <w:keepNext w:val="0"/>
        <w:keepLines w:val="0"/>
        <w:framePr w:w="931" w:h="245" w:wrap="none" w:hAnchor="page" w:x="9486" w:y="836"/>
        <w:widowControl w:val="0"/>
        <w:shd w:val="clear" w:color="auto" w:fill="auto"/>
        <w:bidi w:val="0"/>
        <w:spacing w:before="0" w:after="0" w:line="240" w:lineRule="auto"/>
        <w:ind w:left="0" w:right="0" w:firstLine="0"/>
        <w:jc w:val="left"/>
      </w:pPr>
      <w:r>
        <w:rPr>
          <w:rStyle w:val="CharStyle5"/>
        </w:rPr>
        <w:t>2022004096</w:t>
      </w:r>
    </w:p>
    <w:p>
      <w:pPr>
        <w:widowControl w:val="0"/>
        <w:spacing w:line="360" w:lineRule="exact"/>
      </w:pPr>
      <w:r>
        <w:drawing>
          <wp:anchor distT="0" distB="213360" distL="0" distR="0" simplePos="0" relativeHeight="62914690" behindDoc="1" locked="0" layoutInCell="1" allowOverlap="1">
            <wp:simplePos x="0" y="0"/>
            <wp:positionH relativeFrom="page">
              <wp:posOffset>5867400</wp:posOffset>
            </wp:positionH>
            <wp:positionV relativeFrom="margin">
              <wp:posOffset>57785</wp:posOffset>
            </wp:positionV>
            <wp:extent cx="1481455" cy="41465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81455" cy="414655"/>
                    </a:xfrm>
                    <a:prstGeom prst="rect"/>
                  </pic:spPr>
                </pic:pic>
              </a:graphicData>
            </a:graphic>
          </wp:anchor>
        </w:drawing>
      </w:r>
    </w:p>
    <w:p>
      <w:pPr>
        <w:widowControl w:val="0"/>
        <w:spacing w:line="360" w:lineRule="exact"/>
      </w:pPr>
    </w:p>
    <w:p>
      <w:pPr>
        <w:widowControl w:val="0"/>
        <w:spacing w:after="359" w:line="1" w:lineRule="exact"/>
      </w:pPr>
    </w:p>
    <w:p>
      <w:pPr>
        <w:widowControl w:val="0"/>
        <w:spacing w:line="1" w:lineRule="exact"/>
        <w:sectPr>
          <w:footnotePr>
            <w:pos w:val="pageBottom"/>
            <w:numFmt w:val="decimal"/>
            <w:numRestart w:val="continuous"/>
          </w:footnotePr>
          <w:pgSz w:w="11900" w:h="16840"/>
          <w:pgMar w:top="310" w:right="332" w:bottom="1766" w:left="164" w:header="0" w:footer="1338" w:gutter="0"/>
          <w:pgNumType w:start="1"/>
          <w:cols w:space="720"/>
          <w:noEndnote/>
          <w:rtlGutter w:val="0"/>
          <w:docGrid w:linePitch="360"/>
        </w:sect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31" w:right="0" w:bottom="1783" w:left="0" w:header="0" w:footer="3" w:gutter="0"/>
          <w:cols w:space="720"/>
          <w:noEndnote/>
          <w:rtlGutter w:val="0"/>
          <w:docGrid w:linePitch="360"/>
        </w:sectPr>
      </w:pPr>
    </w:p>
    <w:p>
      <w:pPr>
        <w:pStyle w:val="Style9"/>
        <w:keepNext/>
        <w:keepLines/>
        <w:widowControl w:val="0"/>
        <w:shd w:val="clear" w:color="auto" w:fill="auto"/>
        <w:bidi w:val="0"/>
        <w:spacing w:before="0" w:after="260" w:line="240" w:lineRule="auto"/>
        <w:ind w:left="0" w:right="0" w:firstLine="0"/>
        <w:jc w:val="center"/>
      </w:pPr>
      <w:bookmarkStart w:id="2" w:name="bookmark2"/>
      <w:r>
        <w:rPr>
          <w:rStyle w:val="CharStyle10"/>
          <w:b/>
          <w:bCs/>
        </w:rPr>
        <w:t>Dodatek č. 2</w:t>
      </w:r>
      <w:bookmarkEnd w:id="2"/>
    </w:p>
    <w:p>
      <w:pPr>
        <w:pStyle w:val="Style6"/>
        <w:keepNext w:val="0"/>
        <w:keepLines w:val="0"/>
        <w:widowControl w:val="0"/>
        <w:shd w:val="clear" w:color="auto" w:fill="auto"/>
        <w:bidi w:val="0"/>
        <w:spacing w:before="0" w:after="560" w:line="240" w:lineRule="auto"/>
        <w:ind w:left="0" w:right="0" w:firstLine="0"/>
        <w:jc w:val="center"/>
      </w:pPr>
      <w:r>
        <w:rPr>
          <w:rStyle w:val="CharStyle7"/>
          <w:sz w:val="22"/>
          <w:szCs w:val="22"/>
        </w:rPr>
        <w:t>k rámcové kupní smlouvě ze dne 2.10.2020, /dále jen „smlouva“/, uzavřené mezi</w:t>
      </w:r>
    </w:p>
    <w:tbl>
      <w:tblPr>
        <w:tblOverlap w:val="never"/>
        <w:jc w:val="center"/>
        <w:tblLayout w:type="fixed"/>
      </w:tblPr>
      <w:tblGrid>
        <w:gridCol w:w="2477"/>
        <w:gridCol w:w="6576"/>
      </w:tblGrid>
      <w:tr>
        <w:trPr>
          <w:trHeight w:val="552"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Jméno:</w:t>
            </w:r>
          </w:p>
        </w:tc>
        <w:tc>
          <w:tcPr>
            <w:tcBorders/>
            <w:shd w:val="clear" w:color="auto" w:fill="auto"/>
            <w:vAlign w:val="bottom"/>
          </w:tcPr>
          <w:p>
            <w:pPr>
              <w:pStyle w:val="Style13"/>
              <w:keepNext w:val="0"/>
              <w:keepLines w:val="0"/>
              <w:widowControl w:val="0"/>
              <w:shd w:val="clear" w:color="auto" w:fill="auto"/>
              <w:bidi w:val="0"/>
              <w:spacing w:before="0" w:after="0" w:line="259" w:lineRule="auto"/>
              <w:ind w:left="340" w:right="0" w:firstLine="20"/>
              <w:jc w:val="left"/>
            </w:pPr>
            <w:r>
              <w:rPr>
                <w:rStyle w:val="CharStyle14"/>
                <w:b/>
                <w:bCs/>
                <w:sz w:val="22"/>
                <w:szCs w:val="22"/>
              </w:rPr>
              <w:t>Zdravotnická záchranná služba Jihomoravského kraje, příspěvková organizace</w:t>
            </w:r>
          </w:p>
        </w:tc>
      </w:tr>
      <w:tr>
        <w:trPr>
          <w:trHeight w:val="254"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Sídlo:</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Kamenice 798/1 d, 625 00 Brno</w:t>
            </w:r>
          </w:p>
        </w:tc>
      </w:tr>
      <w:tr>
        <w:trPr>
          <w:trHeight w:val="278"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Jednající:</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MUDr. Hana Albrechtová, ředitelka</w:t>
            </w:r>
          </w:p>
        </w:tc>
      </w:tr>
      <w:tr>
        <w:trPr>
          <w:trHeight w:val="538"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Kontaktní osoba:</w:t>
            </w:r>
          </w:p>
        </w:tc>
        <w:tc>
          <w:tcPr>
            <w:tcBorders/>
            <w:shd w:val="clear" w:color="auto" w:fill="auto"/>
            <w:vAlign w:val="top"/>
          </w:tcPr>
          <w:p>
            <w:pPr>
              <w:pStyle w:val="Style13"/>
              <w:keepNext w:val="0"/>
              <w:keepLines w:val="0"/>
              <w:widowControl w:val="0"/>
              <w:shd w:val="clear" w:color="auto" w:fill="auto"/>
              <w:bidi w:val="0"/>
              <w:spacing w:before="0" w:after="0" w:line="264" w:lineRule="auto"/>
              <w:ind w:left="340" w:right="0" w:firstLine="20"/>
              <w:jc w:val="left"/>
            </w:pPr>
            <w:r>
              <w:rPr>
                <w:rStyle w:val="CharStyle14"/>
                <w:spacing w:val="4"/>
                <w:sz w:val="22"/>
                <w:szCs w:val="22"/>
                <w:shd w:val="clear" w:color="auto" w:fill="000000"/>
              </w:rPr>
              <w:t>.</w:t>
            </w:r>
            <w:r>
              <w:rPr>
                <w:rStyle w:val="CharStyle14"/>
                <w:spacing w:val="5"/>
                <w:sz w:val="22"/>
                <w:szCs w:val="22"/>
                <w:shd w:val="clear" w:color="auto" w:fill="000000"/>
              </w:rPr>
              <w:t>.........</w:t>
            </w:r>
            <w:r>
              <w:rPr>
                <w:rStyle w:val="CharStyle14"/>
                <w:sz w:val="22"/>
                <w:szCs w:val="22"/>
                <w:shd w:val="clear" w:color="auto" w:fill="000000"/>
              </w:rPr>
              <w:t>​</w:t>
            </w:r>
            <w:r>
              <w:rPr>
                <w:rStyle w:val="CharStyle14"/>
                <w:spacing w:val="1"/>
                <w:sz w:val="22"/>
                <w:szCs w:val="22"/>
                <w:shd w:val="clear" w:color="auto" w:fill="000000"/>
              </w:rPr>
              <w:t>..........</w:t>
            </w:r>
            <w:r>
              <w:rPr>
                <w:rStyle w:val="CharStyle14"/>
                <w:spacing w:val="2"/>
                <w:sz w:val="22"/>
                <w:szCs w:val="22"/>
                <w:shd w:val="clear" w:color="auto" w:fill="000000"/>
              </w:rPr>
              <w:t>.</w:t>
            </w:r>
            <w:r>
              <w:rPr>
                <w:rStyle w:val="CharStyle14"/>
                <w:sz w:val="22"/>
                <w:szCs w:val="22"/>
                <w:u w:val="single"/>
                <w:shd w:val="clear" w:color="auto" w:fill="000000"/>
              </w:rPr>
              <w:t>​</w:t>
            </w:r>
            <w:r>
              <w:rPr>
                <w:rStyle w:val="CharStyle14"/>
                <w:spacing w:val="1"/>
                <w:sz w:val="22"/>
                <w:szCs w:val="22"/>
                <w:u w:val="single"/>
                <w:shd w:val="clear" w:color="auto" w:fill="000000"/>
              </w:rPr>
              <w:t>.....</w:t>
            </w:r>
            <w:r>
              <w:rPr>
                <w:rStyle w:val="CharStyle14"/>
                <w:spacing w:val="2"/>
                <w:sz w:val="22"/>
                <w:szCs w:val="22"/>
                <w:u w:val="single"/>
                <w:shd w:val="clear" w:color="auto" w:fill="000000"/>
              </w:rPr>
              <w:t>....</w:t>
            </w:r>
            <w:r>
              <w:rPr>
                <w:rStyle w:val="CharStyle14"/>
                <w:sz w:val="22"/>
                <w:szCs w:val="22"/>
                <w:u w:val="single"/>
                <w:shd w:val="clear" w:color="auto" w:fill="000000"/>
              </w:rPr>
              <w:t>​</w:t>
            </w:r>
            <w:r>
              <w:rPr>
                <w:rStyle w:val="CharStyle14"/>
                <w:spacing w:val="6"/>
                <w:sz w:val="22"/>
                <w:szCs w:val="22"/>
                <w:u w:val="single"/>
                <w:shd w:val="clear" w:color="auto" w:fill="000000"/>
              </w:rPr>
              <w:t>....</w:t>
            </w:r>
            <w:r>
              <w:rPr>
                <w:rStyle w:val="CharStyle14"/>
                <w:spacing w:val="2"/>
                <w:sz w:val="22"/>
                <w:szCs w:val="22"/>
                <w:u w:val="single"/>
                <w:shd w:val="clear" w:color="auto" w:fill="000000"/>
              </w:rPr>
              <w:t>.......</w:t>
            </w:r>
            <w:r>
              <w:rPr>
                <w:rStyle w:val="CharStyle14"/>
                <w:spacing w:val="3"/>
                <w:sz w:val="22"/>
                <w:szCs w:val="22"/>
                <w:u w:val="single"/>
                <w:shd w:val="clear" w:color="auto" w:fill="000000"/>
              </w:rPr>
              <w:t>........</w:t>
            </w:r>
            <w:r>
              <w:rPr>
                <w:rStyle w:val="CharStyle14"/>
                <w:color w:val="597EBD"/>
                <w:sz w:val="22"/>
                <w:szCs w:val="22"/>
                <w:u w:val="single"/>
              </w:rPr>
              <w:t xml:space="preserve"> </w:t>
            </w:r>
            <w:r>
              <w:rPr>
                <w:rStyle w:val="CharStyle14"/>
                <w:sz w:val="22"/>
                <w:szCs w:val="22"/>
                <w:shd w:val="clear" w:color="auto" w:fill="000000"/>
              </w:rPr>
              <w:t>​.......​</w:t>
            </w:r>
            <w:r>
              <w:rPr>
                <w:rStyle w:val="CharStyle14"/>
                <w:spacing w:val="7"/>
                <w:sz w:val="22"/>
                <w:szCs w:val="22"/>
                <w:shd w:val="clear" w:color="auto" w:fill="000000"/>
              </w:rPr>
              <w:t>...</w:t>
            </w:r>
            <w:r>
              <w:rPr>
                <w:rStyle w:val="CharStyle14"/>
                <w:spacing w:val="8"/>
                <w:sz w:val="22"/>
                <w:szCs w:val="22"/>
                <w:shd w:val="clear" w:color="auto" w:fill="000000"/>
              </w:rPr>
              <w:t>...</w:t>
            </w:r>
            <w:r>
              <w:rPr>
                <w:rStyle w:val="CharStyle14"/>
                <w:sz w:val="22"/>
                <w:szCs w:val="22"/>
                <w:shd w:val="clear" w:color="auto" w:fill="000000"/>
              </w:rPr>
              <w:t>​......</w:t>
            </w:r>
          </w:p>
        </w:tc>
      </w:tr>
      <w:tr>
        <w:trPr>
          <w:trHeight w:val="533"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IČO:</w:t>
            </w:r>
          </w:p>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DIČ:</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00346292</w:t>
            </w:r>
          </w:p>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CZ00346292</w:t>
            </w:r>
          </w:p>
        </w:tc>
      </w:tr>
    </w:tbl>
    <w:p>
      <w:pPr>
        <w:pStyle w:val="Style11"/>
        <w:keepNext w:val="0"/>
        <w:keepLines w:val="0"/>
        <w:widowControl w:val="0"/>
        <w:shd w:val="clear" w:color="auto" w:fill="auto"/>
        <w:tabs>
          <w:tab w:pos="2827" w:val="left"/>
        </w:tabs>
        <w:bidi w:val="0"/>
        <w:spacing w:before="0" w:after="0" w:line="240" w:lineRule="auto"/>
        <w:ind w:left="0" w:right="0" w:firstLine="0"/>
        <w:jc w:val="left"/>
      </w:pPr>
      <w:r>
        <w:rPr>
          <w:rStyle w:val="CharStyle12"/>
        </w:rPr>
        <w:t>Zápis v OR:</w:t>
        <w:tab/>
        <w:t>Krajský soud v Brně sp. zn. Pr 1245</w:t>
      </w:r>
    </w:p>
    <w:p>
      <w:pPr>
        <w:pStyle w:val="Style11"/>
        <w:keepNext w:val="0"/>
        <w:keepLines w:val="0"/>
        <w:widowControl w:val="0"/>
        <w:shd w:val="clear" w:color="auto" w:fill="auto"/>
        <w:bidi w:val="0"/>
        <w:spacing w:before="0" w:after="0" w:line="528" w:lineRule="auto"/>
        <w:ind w:left="0" w:right="0" w:firstLine="0"/>
        <w:jc w:val="left"/>
      </w:pPr>
      <w:r>
        <w:rPr>
          <w:rStyle w:val="CharStyle12"/>
        </w:rPr>
        <w:t>Bankovní spojení (číslo účtu): MONETA Money Bank, a.s., č. ú. 117203514/0600</w:t>
      </w:r>
    </w:p>
    <w:p>
      <w:pPr>
        <w:widowControl w:val="0"/>
        <w:spacing w:after="259" w:line="1" w:lineRule="exact"/>
      </w:pPr>
    </w:p>
    <w:p>
      <w:pPr>
        <w:pStyle w:val="Style6"/>
        <w:keepNext w:val="0"/>
        <w:keepLines w:val="0"/>
        <w:widowControl w:val="0"/>
        <w:shd w:val="clear" w:color="auto" w:fill="auto"/>
        <w:bidi w:val="0"/>
        <w:spacing w:before="0" w:after="0" w:line="528" w:lineRule="auto"/>
        <w:ind w:left="0" w:right="0" w:firstLine="0"/>
        <w:jc w:val="left"/>
      </w:pPr>
      <w:r>
        <w:rPr>
          <w:rStyle w:val="CharStyle7"/>
          <w:sz w:val="22"/>
          <w:szCs w:val="22"/>
        </w:rPr>
        <w:t>(dále jen „kupující“) a</w:t>
      </w:r>
    </w:p>
    <w:tbl>
      <w:tblPr>
        <w:tblOverlap w:val="never"/>
        <w:jc w:val="center"/>
        <w:tblLayout w:type="fixed"/>
      </w:tblPr>
      <w:tblGrid>
        <w:gridCol w:w="2477"/>
        <w:gridCol w:w="6571"/>
      </w:tblGrid>
      <w:tr>
        <w:trPr>
          <w:trHeight w:val="254"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Jméno:</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340"/>
              <w:jc w:val="left"/>
            </w:pPr>
            <w:r>
              <w:rPr>
                <w:rStyle w:val="CharStyle14"/>
                <w:b/>
                <w:bCs/>
                <w:sz w:val="22"/>
                <w:szCs w:val="22"/>
              </w:rPr>
              <w:t>Medsol s.r.o.</w:t>
            </w:r>
          </w:p>
        </w:tc>
      </w:tr>
      <w:tr>
        <w:trPr>
          <w:trHeight w:val="264"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Sídlo:</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Lužná 591/4 160 00 Praha 6 - Vokovice</w:t>
            </w:r>
          </w:p>
        </w:tc>
      </w:tr>
      <w:tr>
        <w:trPr>
          <w:trHeight w:val="293" w:hRule="exact"/>
        </w:trPr>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Jednající:</w:t>
            </w:r>
          </w:p>
        </w:tc>
        <w:tc>
          <w:tcPr>
            <w:tcBorders/>
            <w:shd w:val="clear" w:color="auto" w:fill="auto"/>
            <w:vAlign w:val="bottom"/>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Mgr. Antonín Havlíček, MBA, jednatel</w:t>
            </w:r>
          </w:p>
        </w:tc>
      </w:tr>
      <w:tr>
        <w:trPr>
          <w:trHeight w:val="264"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IČO:</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24201596</w:t>
            </w:r>
          </w:p>
        </w:tc>
      </w:tr>
      <w:tr>
        <w:trPr>
          <w:trHeight w:val="254" w:hRule="exact"/>
        </w:trPr>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0"/>
              <w:jc w:val="both"/>
            </w:pPr>
            <w:r>
              <w:rPr>
                <w:rStyle w:val="CharStyle14"/>
                <w:sz w:val="22"/>
                <w:szCs w:val="22"/>
              </w:rPr>
              <w:t>DIČ:</w:t>
            </w:r>
          </w:p>
        </w:tc>
        <w:tc>
          <w:tcPr>
            <w:tcBorders/>
            <w:shd w:val="clear" w:color="auto" w:fill="auto"/>
            <w:vAlign w:val="top"/>
          </w:tcPr>
          <w:p>
            <w:pPr>
              <w:pStyle w:val="Style13"/>
              <w:keepNext w:val="0"/>
              <w:keepLines w:val="0"/>
              <w:widowControl w:val="0"/>
              <w:shd w:val="clear" w:color="auto" w:fill="auto"/>
              <w:bidi w:val="0"/>
              <w:spacing w:before="0" w:after="0" w:line="240" w:lineRule="auto"/>
              <w:ind w:left="0" w:right="0" w:firstLine="340"/>
              <w:jc w:val="left"/>
            </w:pPr>
            <w:r>
              <w:rPr>
                <w:rStyle w:val="CharStyle14"/>
                <w:sz w:val="22"/>
                <w:szCs w:val="22"/>
              </w:rPr>
              <w:t>CZ24201596</w:t>
            </w:r>
          </w:p>
        </w:tc>
      </w:tr>
    </w:tbl>
    <w:p>
      <w:pPr>
        <w:pStyle w:val="Style11"/>
        <w:keepNext w:val="0"/>
        <w:keepLines w:val="0"/>
        <w:widowControl w:val="0"/>
        <w:shd w:val="clear" w:color="auto" w:fill="auto"/>
        <w:tabs>
          <w:tab w:pos="2827" w:val="left"/>
        </w:tabs>
        <w:bidi w:val="0"/>
        <w:spacing w:before="0" w:after="0" w:line="240" w:lineRule="auto"/>
        <w:ind w:left="0" w:right="0" w:firstLine="0"/>
        <w:jc w:val="left"/>
      </w:pPr>
      <w:r>
        <w:rPr>
          <w:rStyle w:val="CharStyle12"/>
        </w:rPr>
        <w:t>Zápis v OR:</w:t>
        <w:tab/>
        <w:t>Městský soud v Praze, oddíl C, vložka 188143</w:t>
      </w:r>
    </w:p>
    <w:p>
      <w:pPr>
        <w:pStyle w:val="Style11"/>
        <w:keepNext w:val="0"/>
        <w:keepLines w:val="0"/>
        <w:widowControl w:val="0"/>
        <w:shd w:val="clear" w:color="auto" w:fill="auto"/>
        <w:bidi w:val="0"/>
        <w:spacing w:before="0" w:after="0" w:line="240" w:lineRule="auto"/>
        <w:ind w:left="0" w:right="0" w:firstLine="0"/>
        <w:jc w:val="left"/>
      </w:pPr>
      <w:r>
        <w:rPr>
          <w:rStyle w:val="CharStyle12"/>
        </w:rPr>
        <w:t>Bankovní spojení (číslo účtu): ČSOB a.s., č.ú. 260001288/0300</w:t>
      </w:r>
    </w:p>
    <w:p>
      <w:pPr>
        <w:widowControl w:val="0"/>
        <w:spacing w:after="259" w:line="1" w:lineRule="exact"/>
      </w:pPr>
    </w:p>
    <w:p>
      <w:pPr>
        <w:pStyle w:val="Style6"/>
        <w:keepNext w:val="0"/>
        <w:keepLines w:val="0"/>
        <w:widowControl w:val="0"/>
        <w:shd w:val="clear" w:color="auto" w:fill="auto"/>
        <w:bidi w:val="0"/>
        <w:spacing w:before="0" w:after="1380" w:line="240" w:lineRule="auto"/>
        <w:ind w:left="0" w:right="0" w:firstLine="0"/>
        <w:jc w:val="left"/>
      </w:pPr>
      <w:r>
        <w:rPr>
          <w:rStyle w:val="CharStyle7"/>
          <w:sz w:val="22"/>
          <w:szCs w:val="22"/>
        </w:rPr>
        <w:t>(dále jen „prodávající“)</w:t>
      </w:r>
    </w:p>
    <w:p>
      <w:pPr>
        <w:pStyle w:val="Style6"/>
        <w:keepNext w:val="0"/>
        <w:keepLines w:val="0"/>
        <w:widowControl w:val="0"/>
        <w:shd w:val="clear" w:color="auto" w:fill="auto"/>
        <w:bidi w:val="0"/>
        <w:spacing w:before="0" w:after="260" w:line="240" w:lineRule="auto"/>
        <w:ind w:left="0" w:right="0" w:firstLine="340"/>
        <w:jc w:val="left"/>
      </w:pPr>
      <w:r>
        <w:rPr>
          <w:rStyle w:val="CharStyle7"/>
          <w:sz w:val="22"/>
          <w:szCs w:val="22"/>
        </w:rPr>
        <w:t>Příloha č. 1 smlouvy, se doplňuje o další položky, které zní takto:</w:t>
      </w:r>
    </w:p>
    <w:p>
      <w:pPr>
        <w:pStyle w:val="Style6"/>
        <w:keepNext w:val="0"/>
        <w:keepLines w:val="0"/>
        <w:widowControl w:val="0"/>
        <w:numPr>
          <w:ilvl w:val="0"/>
          <w:numId w:val="1"/>
        </w:numPr>
        <w:shd w:val="clear" w:color="auto" w:fill="auto"/>
        <w:tabs>
          <w:tab w:pos="694" w:val="left"/>
        </w:tabs>
        <w:bidi w:val="0"/>
        <w:spacing w:before="0" w:after="0" w:line="240" w:lineRule="auto"/>
        <w:ind w:left="720" w:right="0" w:hanging="360"/>
        <w:jc w:val="both"/>
      </w:pPr>
      <w:r>
        <w:rPr>
          <w:rStyle w:val="CharStyle7"/>
        </w:rPr>
        <w:t>Standardní přepravní pouzdro, které je originálním příslušenstvím výrobce, v rozsahu 35 ks a v jednotkové ceně 3 305,- Kč bez DPH, tj. 3 999,05 Kč s DPH.</w:t>
      </w:r>
    </w:p>
    <w:p>
      <w:pPr>
        <w:pStyle w:val="Style6"/>
        <w:keepNext w:val="0"/>
        <w:keepLines w:val="0"/>
        <w:widowControl w:val="0"/>
        <w:numPr>
          <w:ilvl w:val="0"/>
          <w:numId w:val="1"/>
        </w:numPr>
        <w:shd w:val="clear" w:color="auto" w:fill="auto"/>
        <w:tabs>
          <w:tab w:pos="714" w:val="left"/>
        </w:tabs>
        <w:bidi w:val="0"/>
        <w:spacing w:before="0" w:after="0" w:line="240" w:lineRule="auto"/>
        <w:ind w:left="720" w:right="0" w:hanging="360"/>
        <w:jc w:val="both"/>
      </w:pPr>
      <w:r>
        <w:rPr>
          <w:rStyle w:val="CharStyle7"/>
        </w:rPr>
        <w:t>Horní kapsa, která je originálním příslušenstvím výrobce, v rozsahu 28 ks a v jednotkové ceně 690,- Kč bez DPH, tj. 834,90 Kč s DPH.</w:t>
      </w:r>
    </w:p>
    <w:p>
      <w:pPr>
        <w:pStyle w:val="Style6"/>
        <w:keepNext w:val="0"/>
        <w:keepLines w:val="0"/>
        <w:widowControl w:val="0"/>
        <w:numPr>
          <w:ilvl w:val="0"/>
          <w:numId w:val="1"/>
        </w:numPr>
        <w:shd w:val="clear" w:color="auto" w:fill="auto"/>
        <w:tabs>
          <w:tab w:pos="709" w:val="left"/>
        </w:tabs>
        <w:bidi w:val="0"/>
        <w:spacing w:before="0" w:after="0" w:line="240" w:lineRule="auto"/>
        <w:ind w:left="720" w:right="0" w:hanging="360"/>
        <w:jc w:val="both"/>
      </w:pPr>
      <w:r>
        <w:rPr>
          <w:rStyle w:val="CharStyle7"/>
        </w:rPr>
        <w:t>Zadní kapsa, která je originálním příslušenstvím výrobce, v rozsahu 28 ks a v jednotkové ceně 1 624,- Kč bez DPH, tj. 1 965,04 Kč s DPH.</w:t>
      </w:r>
    </w:p>
    <w:p>
      <w:pPr>
        <w:pStyle w:val="Style6"/>
        <w:keepNext w:val="0"/>
        <w:keepLines w:val="0"/>
        <w:widowControl w:val="0"/>
        <w:numPr>
          <w:ilvl w:val="0"/>
          <w:numId w:val="1"/>
        </w:numPr>
        <w:shd w:val="clear" w:color="auto" w:fill="auto"/>
        <w:tabs>
          <w:tab w:pos="714" w:val="left"/>
        </w:tabs>
        <w:bidi w:val="0"/>
        <w:spacing w:before="0" w:after="760" w:line="240" w:lineRule="auto"/>
        <w:ind w:left="720" w:right="0" w:hanging="360"/>
        <w:jc w:val="both"/>
      </w:pPr>
      <w:r>
        <w:rPr>
          <w:rStyle w:val="CharStyle7"/>
        </w:rPr>
        <w:t>Ramenní popruh, který je originálním příslušenstvím výrobce, v rozsahu 50 ks a v jednotkové ceně 372,- Kč bez DPH, tj. 450,12 Kč s DPH.</w:t>
      </w:r>
    </w:p>
    <w:p>
      <w:pPr>
        <w:pStyle w:val="Style6"/>
        <w:keepNext w:val="0"/>
        <w:keepLines w:val="0"/>
        <w:widowControl w:val="0"/>
        <w:numPr>
          <w:ilvl w:val="0"/>
          <w:numId w:val="3"/>
        </w:numPr>
        <w:shd w:val="clear" w:color="auto" w:fill="auto"/>
        <w:bidi w:val="0"/>
        <w:spacing w:before="0" w:after="420" w:line="240" w:lineRule="auto"/>
        <w:ind w:left="0" w:right="0" w:firstLine="0"/>
        <w:jc w:val="center"/>
      </w:pPr>
      <w:r>
        <w:br w:type="page"/>
      </w:r>
    </w:p>
    <w:p>
      <w:pPr>
        <w:pStyle w:val="Style6"/>
        <w:keepNext w:val="0"/>
        <w:keepLines w:val="0"/>
        <w:widowControl w:val="0"/>
        <w:shd w:val="clear" w:color="auto" w:fill="auto"/>
        <w:bidi w:val="0"/>
        <w:spacing w:before="0" w:after="680" w:line="240" w:lineRule="auto"/>
        <w:ind w:left="0" w:right="0" w:firstLine="0"/>
        <w:jc w:val="both"/>
      </w:pPr>
      <w:r>
        <w:rPr>
          <w:rStyle w:val="CharStyle7"/>
        </w:rPr>
        <w:t>Strany tak přitom činí podle ust. par. 222 odst. 4 zákona č. 134/2016 Sb. o zadávání veřejných zakázek, podle něhož lze změnit závazek ze smlouvy na veřejnou zakázku, pokud se nemění celková povaha veřejné zakázky, změna ceny je nižší než finanční limit pro nadlimitní veřejnou zakázku a nižší než 10 % původní hodnoty závazku.</w:t>
      </w:r>
    </w:p>
    <w:p>
      <w:pPr>
        <w:pStyle w:val="Style6"/>
        <w:keepNext w:val="0"/>
        <w:keepLines w:val="0"/>
        <w:widowControl w:val="0"/>
        <w:numPr>
          <w:ilvl w:val="0"/>
          <w:numId w:val="3"/>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560" w:line="240" w:lineRule="auto"/>
        <w:ind w:left="0" w:right="0" w:firstLine="0"/>
        <w:jc w:val="both"/>
      </w:pPr>
      <w:r>
        <w:rPr>
          <w:rStyle w:val="CharStyle7"/>
          <w:sz w:val="22"/>
          <w:szCs w:val="22"/>
        </w:rPr>
        <w:t>Ostatní ujednání smlouvy nejsou tímto dodatkem nijak dotčena.</w:t>
      </w:r>
    </w:p>
    <w:p>
      <w:pPr>
        <w:pStyle w:val="Style6"/>
        <w:keepNext w:val="0"/>
        <w:keepLines w:val="0"/>
        <w:widowControl w:val="0"/>
        <w:numPr>
          <w:ilvl w:val="0"/>
          <w:numId w:val="3"/>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280" w:line="240" w:lineRule="auto"/>
        <w:ind w:left="0" w:right="0" w:firstLine="0"/>
        <w:jc w:val="left"/>
      </w:pPr>
      <w:r>
        <w:rPr>
          <w:rStyle w:val="CharStyle7"/>
          <w:sz w:val="22"/>
          <w:szCs w:val="22"/>
        </w:rPr>
        <w:t>Tento dodatek nabývá účinnosti dnem jeho uzavření.</w:t>
      </w:r>
    </w:p>
    <w:p>
      <w:pPr>
        <w:pStyle w:val="Style6"/>
        <w:keepNext w:val="0"/>
        <w:keepLines w:val="0"/>
        <w:widowControl w:val="0"/>
        <w:numPr>
          <w:ilvl w:val="0"/>
          <w:numId w:val="3"/>
        </w:numPr>
        <w:shd w:val="clear" w:color="auto" w:fill="auto"/>
        <w:bidi w:val="0"/>
        <w:spacing w:before="0" w:after="560" w:line="240" w:lineRule="auto"/>
        <w:ind w:left="0" w:right="0" w:firstLine="0"/>
        <w:jc w:val="center"/>
      </w:pPr>
    </w:p>
    <w:p>
      <w:pPr>
        <w:pStyle w:val="Style6"/>
        <w:keepNext w:val="0"/>
        <w:keepLines w:val="0"/>
        <w:widowControl w:val="0"/>
        <w:shd w:val="clear" w:color="auto" w:fill="auto"/>
        <w:bidi w:val="0"/>
        <w:spacing w:before="0" w:after="0" w:line="259" w:lineRule="auto"/>
        <w:ind w:left="0" w:right="0" w:firstLine="0"/>
        <w:jc w:val="both"/>
      </w:pPr>
      <w:r>
        <w:rPr>
          <w:rStyle w:val="CharStyle7"/>
          <w:sz w:val="22"/>
          <w:szCs w:val="22"/>
        </w:rPr>
        <w:t>Dáno ve dvou originálních písemných vyhotoveních, z nichž každá ze smluvních stran obdrží po jednom.</w:t>
      </w:r>
    </w:p>
    <w:p>
      <w:pPr>
        <w:widowControl w:val="0"/>
        <w:spacing w:line="1" w:lineRule="exact"/>
        <w:sectPr>
          <w:footnotePr>
            <w:pos w:val="pageBottom"/>
            <w:numFmt w:val="decimal"/>
            <w:numRestart w:val="continuous"/>
          </w:footnotePr>
          <w:type w:val="continuous"/>
          <w:pgSz w:w="11900" w:h="16840"/>
          <w:pgMar w:top="1431" w:right="1460" w:bottom="1783" w:left="1364" w:header="0" w:footer="1355" w:gutter="0"/>
          <w:cols w:space="720"/>
          <w:noEndnote/>
          <w:rtlGutter w:val="0"/>
          <w:docGrid w:linePitch="360"/>
        </w:sectPr>
      </w:pPr>
      <w:r>
        <w:drawing>
          <wp:anchor distT="353060" distB="326390" distL="0" distR="0" simplePos="0" relativeHeight="125829378" behindDoc="0" locked="0" layoutInCell="1" allowOverlap="1">
            <wp:simplePos x="0" y="0"/>
            <wp:positionH relativeFrom="page">
              <wp:posOffset>1612265</wp:posOffset>
            </wp:positionH>
            <wp:positionV relativeFrom="paragraph">
              <wp:posOffset>353060</wp:posOffset>
            </wp:positionV>
            <wp:extent cx="1377950" cy="88392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377950" cy="883920"/>
                    </a:xfrm>
                    <a:prstGeom prst="rect"/>
                  </pic:spPr>
                </pic:pic>
              </a:graphicData>
            </a:graphic>
          </wp:anchor>
        </w:drawing>
      </w:r>
      <w:r>
        <mc:AlternateContent>
          <mc:Choice Requires="wps">
            <w:drawing>
              <wp:anchor distT="1169670" distB="216535" distL="0" distR="0" simplePos="0" relativeHeight="125829379" behindDoc="0" locked="0" layoutInCell="1" allowOverlap="1">
                <wp:simplePos x="0" y="0"/>
                <wp:positionH relativeFrom="page">
                  <wp:posOffset>875030</wp:posOffset>
                </wp:positionH>
                <wp:positionV relativeFrom="paragraph">
                  <wp:posOffset>1169670</wp:posOffset>
                </wp:positionV>
                <wp:extent cx="1700530" cy="173990"/>
                <wp:wrapTopAndBottom/>
                <wp:docPr id="5" name="Shape 5"/>
                <a:graphic xmlns:a="http://schemas.openxmlformats.org/drawingml/2006/main">
                  <a:graphicData uri="http://schemas.microsoft.com/office/word/2010/wordprocessingShape">
                    <wps:wsp>
                      <wps:cNvSpPr txBox="1"/>
                      <wps:spPr>
                        <a:xfrm>
                          <a:ext cx="1700530"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sz w:val="22"/>
                                <w:szCs w:val="22"/>
                              </w:rPr>
                              <w:t>MUDr. Hana Albrechtová</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68.900000000000006pt;margin-top:92.100000000000009pt;width:133.90000000000001pt;height:13.700000000000001pt;z-index:-125829374;mso-wrap-distance-left:0;mso-wrap-distance-top:92.100000000000009pt;mso-wrap-distance-right:0;mso-wrap-distance-bottom:17.050000000000001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sz w:val="22"/>
                          <w:szCs w:val="22"/>
                        </w:rPr>
                        <w:t>MUDr. Hana Albrechtová</w:t>
                      </w:r>
                    </w:p>
                  </w:txbxContent>
                </v:textbox>
                <w10:wrap type="topAndBottom" anchorx="page"/>
              </v:shape>
            </w:pict>
          </mc:Fallback>
        </mc:AlternateContent>
      </w:r>
      <w:r>
        <mc:AlternateContent>
          <mc:Choice Requires="wps">
            <w:drawing>
              <wp:anchor distT="1355725" distB="30480" distL="0" distR="0" simplePos="0" relativeHeight="125829381" behindDoc="0" locked="0" layoutInCell="1" allowOverlap="1">
                <wp:simplePos x="0" y="0"/>
                <wp:positionH relativeFrom="page">
                  <wp:posOffset>871855</wp:posOffset>
                </wp:positionH>
                <wp:positionV relativeFrom="paragraph">
                  <wp:posOffset>1355725</wp:posOffset>
                </wp:positionV>
                <wp:extent cx="591185" cy="173990"/>
                <wp:wrapTopAndBottom/>
                <wp:docPr id="7" name="Shape 7"/>
                <a:graphic xmlns:a="http://schemas.openxmlformats.org/drawingml/2006/main">
                  <a:graphicData uri="http://schemas.microsoft.com/office/word/2010/wordprocessingShape">
                    <wps:wsp>
                      <wps:cNvSpPr txBox="1"/>
                      <wps:spPr>
                        <a:xfrm>
                          <a:ext cx="591185"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sz w:val="22"/>
                                <w:szCs w:val="22"/>
                              </w:rPr>
                              <w:t>ředitelka</w:t>
                            </w:r>
                          </w:p>
                        </w:txbxContent>
                      </wps:txbx>
                      <wps:bodyPr wrap="none" lIns="0" tIns="0" rIns="0" bIns="0">
                        <a:noAutoFit/>
                      </wps:bodyPr>
                    </wps:wsp>
                  </a:graphicData>
                </a:graphic>
              </wp:anchor>
            </w:drawing>
          </mc:Choice>
          <mc:Fallback>
            <w:pict>
              <v:shape id="_x0000_s1033" type="#_x0000_t202" style="position:absolute;margin-left:68.650000000000006pt;margin-top:106.75pt;width:46.550000000000004pt;height:13.700000000000001pt;z-index:-125829372;mso-wrap-distance-left:0;mso-wrap-distance-top:106.75pt;mso-wrap-distance-right:0;mso-wrap-distance-bottom:2.399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sz w:val="22"/>
                          <w:szCs w:val="22"/>
                        </w:rPr>
                        <w:t>ředitelka</w:t>
                      </w:r>
                    </w:p>
                  </w:txbxContent>
                </v:textbox>
                <w10:wrap type="topAndBottom" anchorx="page"/>
              </v:shape>
            </w:pict>
          </mc:Fallback>
        </mc:AlternateContent>
      </w:r>
      <w:r>
        <w:drawing>
          <wp:anchor distT="215900" distB="521335" distL="0" distR="0" simplePos="0" relativeHeight="125829383" behindDoc="0" locked="0" layoutInCell="1" allowOverlap="1">
            <wp:simplePos x="0" y="0"/>
            <wp:positionH relativeFrom="page">
              <wp:posOffset>4559935</wp:posOffset>
            </wp:positionH>
            <wp:positionV relativeFrom="paragraph">
              <wp:posOffset>215900</wp:posOffset>
            </wp:positionV>
            <wp:extent cx="1840865" cy="82296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1840865" cy="822960"/>
                    </a:xfrm>
                    <a:prstGeom prst="rect"/>
                  </pic:spPr>
                </pic:pic>
              </a:graphicData>
            </a:graphic>
          </wp:anchor>
        </w:drawing>
      </w:r>
      <w:r>
        <mc:AlternateContent>
          <mc:Choice Requires="wps">
            <w:drawing>
              <wp:anchor distT="1163955" distB="0" distL="0" distR="0" simplePos="0" relativeHeight="125829384" behindDoc="0" locked="0" layoutInCell="1" allowOverlap="1">
                <wp:simplePos x="0" y="0"/>
                <wp:positionH relativeFrom="page">
                  <wp:posOffset>4246245</wp:posOffset>
                </wp:positionH>
                <wp:positionV relativeFrom="paragraph">
                  <wp:posOffset>1163955</wp:posOffset>
                </wp:positionV>
                <wp:extent cx="1932305" cy="396240"/>
                <wp:wrapTopAndBottom/>
                <wp:docPr id="11" name="Shape 11"/>
                <a:graphic xmlns:a="http://schemas.openxmlformats.org/drawingml/2006/main">
                  <a:graphicData uri="http://schemas.microsoft.com/office/word/2010/wordprocessingShape">
                    <wps:wsp>
                      <wps:cNvSpPr txBox="1"/>
                      <wps:spPr>
                        <a:xfrm>
                          <a:ext cx="1932305" cy="396240"/>
                        </a:xfrm>
                        <a:prstGeom prst="rect"/>
                        <a:noFill/>
                      </wps:spPr>
                      <wps:txbx>
                        <w:txbxContent>
                          <w:p>
                            <w:pPr>
                              <w:pStyle w:val="Style6"/>
                              <w:keepNext w:val="0"/>
                              <w:keepLines w:val="0"/>
                              <w:widowControl w:val="0"/>
                              <w:shd w:val="clear" w:color="auto" w:fill="auto"/>
                              <w:bidi w:val="0"/>
                              <w:spacing w:before="0" w:after="0" w:line="288" w:lineRule="auto"/>
                              <w:ind w:left="0" w:right="0" w:firstLine="0"/>
                              <w:jc w:val="left"/>
                            </w:pPr>
                            <w:r>
                              <w:rPr>
                                <w:rStyle w:val="CharStyle7"/>
                                <w:sz w:val="22"/>
                                <w:szCs w:val="22"/>
                              </w:rPr>
                              <w:t>Mgr. Antonín Havlíček, MBA Jednatel</w:t>
                            </w:r>
                          </w:p>
                        </w:txbxContent>
                      </wps:txbx>
                      <wps:bodyPr lIns="0" tIns="0" rIns="0" bIns="0">
                        <a:noAutoFit/>
                      </wps:bodyPr>
                    </wps:wsp>
                  </a:graphicData>
                </a:graphic>
              </wp:anchor>
            </w:drawing>
          </mc:Choice>
          <mc:Fallback>
            <w:pict>
              <v:shape id="_x0000_s1037" type="#_x0000_t202" style="position:absolute;margin-left:334.35000000000002pt;margin-top:91.650000000000006pt;width:152.15000000000001pt;height:31.199999999999999pt;z-index:-125829369;mso-wrap-distance-left:0;mso-wrap-distance-top:91.650000000000006pt;mso-wrap-distance-right:0;mso-position-horizontal-relative:page" filled="f" stroked="f">
                <v:textbox inset="0,0,0,0">
                  <w:txbxContent>
                    <w:p>
                      <w:pPr>
                        <w:pStyle w:val="Style6"/>
                        <w:keepNext w:val="0"/>
                        <w:keepLines w:val="0"/>
                        <w:widowControl w:val="0"/>
                        <w:shd w:val="clear" w:color="auto" w:fill="auto"/>
                        <w:bidi w:val="0"/>
                        <w:spacing w:before="0" w:after="0" w:line="288" w:lineRule="auto"/>
                        <w:ind w:left="0" w:right="0" w:firstLine="0"/>
                        <w:jc w:val="left"/>
                      </w:pPr>
                      <w:r>
                        <w:rPr>
                          <w:rStyle w:val="CharStyle7"/>
                          <w:sz w:val="22"/>
                          <w:szCs w:val="22"/>
                        </w:rPr>
                        <w:t>Mgr. Antonín Havlíček, MBA Jednatel</w:t>
                      </w:r>
                    </w:p>
                  </w:txbxContent>
                </v:textbox>
                <w10:wrap type="topAndBottom" anchorx="page"/>
              </v:shape>
            </w:pict>
          </mc:Fallback>
        </mc:AlternateContent>
      </w:r>
    </w:p>
    <w:p>
      <w:pPr>
        <w:widowControl w:val="0"/>
        <w:spacing w:line="164" w:lineRule="exact"/>
        <w:rPr>
          <w:sz w:val="13"/>
          <w:szCs w:val="13"/>
        </w:rPr>
      </w:pPr>
    </w:p>
    <w:p>
      <w:pPr>
        <w:widowControl w:val="0"/>
        <w:spacing w:line="1" w:lineRule="exact"/>
        <w:sectPr>
          <w:footnotePr>
            <w:pos w:val="pageBottom"/>
            <w:numFmt w:val="decimal"/>
            <w:numRestart w:val="continuous"/>
          </w:footnotePr>
          <w:type w:val="continuous"/>
          <w:pgSz w:w="11900" w:h="16840"/>
          <w:pgMar w:top="1414" w:right="0" w:bottom="1414" w:left="0" w:header="0" w:footer="3" w:gutter="0"/>
          <w:cols w:space="720"/>
          <w:noEndnote/>
          <w:rtlGutter w:val="0"/>
          <w:docGrid w:linePitch="360"/>
        </w:sectPr>
      </w:pPr>
    </w:p>
    <w:p>
      <w:pPr>
        <w:pStyle w:val="Style9"/>
        <w:keepNext/>
        <w:keepLines/>
        <w:widowControl w:val="0"/>
        <w:shd w:val="clear" w:color="auto" w:fill="auto"/>
        <w:bidi w:val="0"/>
        <w:spacing w:before="0" w:after="220" w:line="240" w:lineRule="auto"/>
        <w:ind w:left="3520" w:right="0" w:firstLine="0"/>
        <w:jc w:val="left"/>
      </w:pPr>
      <w:r>
        <mc:AlternateContent>
          <mc:Choice Requires="wps">
            <w:drawing>
              <wp:anchor distT="0" distB="0" distL="114300" distR="114300" simplePos="0" relativeHeight="125829386" behindDoc="0" locked="0" layoutInCell="1" allowOverlap="1">
                <wp:simplePos x="0" y="0"/>
                <wp:positionH relativeFrom="page">
                  <wp:posOffset>1865630</wp:posOffset>
                </wp:positionH>
                <wp:positionV relativeFrom="paragraph">
                  <wp:posOffset>12700</wp:posOffset>
                </wp:positionV>
                <wp:extent cx="631190" cy="179705"/>
                <wp:wrapSquare wrapText="right"/>
                <wp:docPr id="13" name="Shape 13"/>
                <a:graphic xmlns:a="http://schemas.openxmlformats.org/drawingml/2006/main">
                  <a:graphicData uri="http://schemas.microsoft.com/office/word/2010/wordprocessingShape">
                    <wps:wsp>
                      <wps:cNvSpPr txBox="1"/>
                      <wps:spPr>
                        <a:xfrm>
                          <a:ext cx="631190" cy="1797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b/>
                                <w:bCs/>
                                <w:color w:val="585F6B"/>
                                <w:sz w:val="22"/>
                                <w:szCs w:val="22"/>
                              </w:rPr>
                              <w:t>Kupující</w:t>
                            </w:r>
                          </w:p>
                        </w:txbxContent>
                      </wps:txbx>
                      <wps:bodyPr wrap="none" lIns="0" tIns="0" rIns="0" bIns="0">
                        <a:noAutoFit/>
                      </wps:bodyPr>
                    </wps:wsp>
                  </a:graphicData>
                </a:graphic>
              </wp:anchor>
            </w:drawing>
          </mc:Choice>
          <mc:Fallback>
            <w:pict>
              <v:shape id="_x0000_s1039" type="#_x0000_t202" style="position:absolute;margin-left:146.90000000000001pt;margin-top:1.pt;width:49.700000000000003pt;height:14.15pt;z-index:-12582936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b/>
                          <w:bCs/>
                          <w:color w:val="585F6B"/>
                          <w:sz w:val="22"/>
                          <w:szCs w:val="22"/>
                        </w:rPr>
                        <w:t>Kupující</w:t>
                      </w:r>
                    </w:p>
                  </w:txbxContent>
                </v:textbox>
                <w10:wrap type="square" side="right" anchorx="page"/>
              </v:shape>
            </w:pict>
          </mc:Fallback>
        </mc:AlternateContent>
      </w:r>
      <w:bookmarkStart w:id="4" w:name="bookmark4"/>
      <w:r>
        <w:rPr>
          <w:rStyle w:val="CharStyle10"/>
          <w:b/>
          <w:bCs/>
        </w:rPr>
        <w:t>Prodávající</w:t>
      </w:r>
      <w:bookmarkEnd w:id="4"/>
    </w:p>
    <w:p>
      <w:pPr>
        <w:pStyle w:val="Style31"/>
        <w:keepNext w:val="0"/>
        <w:keepLines w:val="0"/>
        <w:widowControl w:val="0"/>
        <w:shd w:val="clear" w:color="auto" w:fill="auto"/>
        <w:bidi w:val="0"/>
        <w:spacing w:before="0" w:after="0"/>
        <w:ind w:left="0" w:right="0" w:firstLine="0"/>
        <w:jc w:val="center"/>
      </w:pPr>
      <w:r>
        <w:rPr>
          <w:rStyle w:val="CharStyle32"/>
        </w:rPr>
        <w:t>'".'-'</w:t>
      </w:r>
      <w:r>
        <w:rPr>
          <w:rStyle w:val="CharStyle32"/>
          <w:vertAlign w:val="superscript"/>
        </w:rPr>
        <w:t>ravSK</w:t>
      </w:r>
      <w:r>
        <w:rPr>
          <w:rStyle w:val="CharStyle32"/>
        </w:rPr>
        <w:t>ého kraje, p.o,</w:t>
        <w:br/>
        <w:t xml:space="preserve">■arnenice Z98/id </w:t>
      </w:r>
      <w:r>
        <w:rPr>
          <w:rStyle w:val="CharStyle32"/>
          <w:smallCaps/>
          <w:sz w:val="13"/>
          <w:szCs w:val="13"/>
        </w:rPr>
        <w:t>roc</w:t>
      </w:r>
      <w:r>
        <w:rPr>
          <w:rStyle w:val="CharStyle32"/>
        </w:rPr>
        <w:t xml:space="preserve"> no »</w:t>
        <w:br/>
        <w:t>oo/10, e&gt;^5 00 g</w:t>
      </w:r>
      <w:r>
        <w:rPr>
          <w:rStyle w:val="CharStyle32"/>
          <w:vertAlign w:val="subscript"/>
        </w:rPr>
        <w:t>rno</w:t>
      </w:r>
    </w:p>
    <w:sectPr>
      <w:footnotePr>
        <w:pos w:val="pageBottom"/>
        <w:numFmt w:val="decimal"/>
        <w:numRestart w:val="continuous"/>
      </w:footnotePr>
      <w:type w:val="continuous"/>
      <w:pgSz w:w="11900" w:h="16840"/>
      <w:pgMar w:top="1414" w:right="1447" w:bottom="1414" w:left="1395"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color w:val="6ED1C0"/>
      <w:sz w:val="44"/>
      <w:szCs w:val="44"/>
      <w:u w:val="none"/>
    </w:rPr>
  </w:style>
  <w:style w:type="character" w:customStyle="1" w:styleId="CharStyle5">
    <w:name w:val="Titulek obrázku_"/>
    <w:basedOn w:val="DefaultParagraphFont"/>
    <w:link w:val="Style4"/>
    <w:rPr>
      <w:rFonts w:ascii="Arial" w:eastAsia="Arial" w:hAnsi="Arial" w:cs="Arial"/>
      <w:b w:val="0"/>
      <w:bCs w:val="0"/>
      <w:i w:val="0"/>
      <w:iCs w:val="0"/>
      <w:smallCaps w:val="0"/>
      <w:strike w:val="0"/>
      <w:sz w:val="15"/>
      <w:szCs w:val="15"/>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0">
    <w:name w:val="Nadpis #2_"/>
    <w:basedOn w:val="DefaultParagraphFont"/>
    <w:link w:val="Style9"/>
    <w:rPr>
      <w:rFonts w:ascii="Arial" w:eastAsia="Arial" w:hAnsi="Arial" w:cs="Arial"/>
      <w:b/>
      <w:bCs/>
      <w:i w:val="0"/>
      <w:iCs w:val="0"/>
      <w:smallCaps w:val="0"/>
      <w:strike w:val="0"/>
      <w:sz w:val="22"/>
      <w:szCs w:val="22"/>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32">
    <w:name w:val="Základní text (2)_"/>
    <w:basedOn w:val="DefaultParagraphFont"/>
    <w:link w:val="Style31"/>
    <w:rPr>
      <w:rFonts w:ascii="Arial" w:eastAsia="Arial" w:hAnsi="Arial" w:cs="Arial"/>
      <w:b w:val="0"/>
      <w:bCs w:val="0"/>
      <w:i w:val="0"/>
      <w:iCs w:val="0"/>
      <w:smallCaps w:val="0"/>
      <w:strike w:val="0"/>
      <w:color w:val="93E1EC"/>
      <w:sz w:val="17"/>
      <w:szCs w:val="17"/>
      <w:u w:val="none"/>
    </w:rPr>
  </w:style>
  <w:style w:type="paragraph" w:customStyle="1" w:styleId="Style2">
    <w:name w:val="Nadpis #1"/>
    <w:basedOn w:val="Normal"/>
    <w:link w:val="CharStyle3"/>
    <w:pPr>
      <w:widowControl w:val="0"/>
      <w:shd w:val="clear" w:color="auto" w:fill="auto"/>
      <w:outlineLvl w:val="0"/>
    </w:pPr>
    <w:rPr>
      <w:rFonts w:ascii="Arial" w:eastAsia="Arial" w:hAnsi="Arial" w:cs="Arial"/>
      <w:b w:val="0"/>
      <w:bCs w:val="0"/>
      <w:i w:val="0"/>
      <w:iCs w:val="0"/>
      <w:smallCaps w:val="0"/>
      <w:strike w:val="0"/>
      <w:color w:val="6ED1C0"/>
      <w:sz w:val="44"/>
      <w:szCs w:val="44"/>
      <w:u w:val="none"/>
    </w:rPr>
  </w:style>
  <w:style w:type="paragraph" w:customStyle="1" w:styleId="Style4">
    <w:name w:val="Titulek obrázku"/>
    <w:basedOn w:val="Normal"/>
    <w:link w:val="CharStyle5"/>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6">
    <w:name w:val="Základní text"/>
    <w:basedOn w:val="Normal"/>
    <w:link w:val="CharStyle7"/>
    <w:pPr>
      <w:widowControl w:val="0"/>
      <w:shd w:val="clear" w:color="auto" w:fill="auto"/>
      <w:spacing w:after="130"/>
    </w:pPr>
    <w:rPr>
      <w:rFonts w:ascii="Arial" w:eastAsia="Arial" w:hAnsi="Arial" w:cs="Arial"/>
      <w:b w:val="0"/>
      <w:bCs w:val="0"/>
      <w:i w:val="0"/>
      <w:iCs w:val="0"/>
      <w:smallCaps w:val="0"/>
      <w:strike w:val="0"/>
      <w:sz w:val="22"/>
      <w:szCs w:val="22"/>
      <w:u w:val="none"/>
    </w:rPr>
  </w:style>
  <w:style w:type="paragraph" w:customStyle="1" w:styleId="Style9">
    <w:name w:val="Nadpis #2"/>
    <w:basedOn w:val="Normal"/>
    <w:link w:val="CharStyle10"/>
    <w:pPr>
      <w:widowControl w:val="0"/>
      <w:shd w:val="clear" w:color="auto" w:fill="auto"/>
      <w:spacing w:after="240"/>
      <w:ind w:left="1760"/>
      <w:outlineLvl w:val="1"/>
    </w:pPr>
    <w:rPr>
      <w:rFonts w:ascii="Arial" w:eastAsia="Arial" w:hAnsi="Arial" w:cs="Arial"/>
      <w:b/>
      <w:bCs/>
      <w:i w:val="0"/>
      <w:iCs w:val="0"/>
      <w:smallCaps w:val="0"/>
      <w:strike w:val="0"/>
      <w:sz w:val="22"/>
      <w:szCs w:val="22"/>
      <w:u w:val="none"/>
    </w:rPr>
  </w:style>
  <w:style w:type="paragraph" w:customStyle="1" w:styleId="Style11">
    <w:name w:val="Titulek tabulky"/>
    <w:basedOn w:val="Normal"/>
    <w:link w:val="CharStyle12"/>
    <w:pPr>
      <w:widowControl w:val="0"/>
      <w:shd w:val="clear" w:color="auto" w:fill="auto"/>
    </w:pPr>
    <w:rPr>
      <w:rFonts w:ascii="Arial" w:eastAsia="Arial" w:hAnsi="Arial" w:cs="Arial"/>
      <w:b w:val="0"/>
      <w:bCs w:val="0"/>
      <w:i w:val="0"/>
      <w:iCs w:val="0"/>
      <w:smallCaps w:val="0"/>
      <w:strike w:val="0"/>
      <w:sz w:val="22"/>
      <w:szCs w:val="22"/>
      <w:u w:val="none"/>
    </w:rPr>
  </w:style>
  <w:style w:type="paragraph" w:customStyle="1" w:styleId="Style13">
    <w:name w:val="Jiné"/>
    <w:basedOn w:val="Normal"/>
    <w:link w:val="CharStyle14"/>
    <w:pPr>
      <w:widowControl w:val="0"/>
      <w:shd w:val="clear" w:color="auto" w:fill="auto"/>
      <w:spacing w:after="130"/>
    </w:pPr>
    <w:rPr>
      <w:rFonts w:ascii="Arial" w:eastAsia="Arial" w:hAnsi="Arial" w:cs="Arial"/>
      <w:b w:val="0"/>
      <w:bCs w:val="0"/>
      <w:i w:val="0"/>
      <w:iCs w:val="0"/>
      <w:smallCaps w:val="0"/>
      <w:strike w:val="0"/>
      <w:sz w:val="22"/>
      <w:szCs w:val="22"/>
      <w:u w:val="none"/>
    </w:rPr>
  </w:style>
  <w:style w:type="paragraph" w:customStyle="1" w:styleId="Style31">
    <w:name w:val="Základní text (2)"/>
    <w:basedOn w:val="Normal"/>
    <w:link w:val="CharStyle32"/>
    <w:pPr>
      <w:widowControl w:val="0"/>
      <w:shd w:val="clear" w:color="auto" w:fill="auto"/>
      <w:spacing w:line="89" w:lineRule="exact"/>
      <w:jc w:val="center"/>
    </w:pPr>
    <w:rPr>
      <w:rFonts w:ascii="Arial" w:eastAsia="Arial" w:hAnsi="Arial" w:cs="Arial"/>
      <w:b w:val="0"/>
      <w:bCs w:val="0"/>
      <w:i w:val="0"/>
      <w:iCs w:val="0"/>
      <w:smallCaps w:val="0"/>
      <w:strike w:val="0"/>
      <w:color w:val="93E1EC"/>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