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317F" w14:textId="6C93790A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640DB3">
        <w:rPr>
          <w:rFonts w:asciiTheme="minorHAnsi" w:hAnsiTheme="minorHAnsi" w:cstheme="minorHAnsi"/>
          <w:b/>
          <w:bCs/>
        </w:rPr>
        <w:t>004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8B59C5">
        <w:rPr>
          <w:rFonts w:asciiTheme="minorHAnsi" w:hAnsiTheme="minorHAnsi" w:cstheme="minorHAnsi"/>
          <w:b/>
          <w:bCs/>
        </w:rPr>
        <w:t>2</w:t>
      </w:r>
    </w:p>
    <w:p w14:paraId="5B27A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1B178E0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71AFDE4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02EF5E28" w14:textId="77777777" w:rsidR="00D02859" w:rsidRPr="00F868DD" w:rsidRDefault="00D02859" w:rsidP="00D069D6">
      <w:pPr>
        <w:pStyle w:val="odrkyChar"/>
        <w:spacing w:before="0"/>
        <w:rPr>
          <w:rFonts w:asciiTheme="minorHAnsi" w:hAnsiTheme="minorHAnsi" w:cstheme="minorHAnsi"/>
        </w:rPr>
      </w:pPr>
    </w:p>
    <w:p w14:paraId="33FBCA85" w14:textId="77777777" w:rsidR="00D02859" w:rsidRPr="00F868DD" w:rsidRDefault="00D02859" w:rsidP="00D069D6">
      <w:pPr>
        <w:pStyle w:val="odrkyChar"/>
        <w:spacing w:before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D952DAE" w14:textId="77777777" w:rsidR="00D02859" w:rsidRPr="00F868DD" w:rsidRDefault="00D02859" w:rsidP="00D069D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3F064321" w14:textId="77777777" w:rsidR="00D02859" w:rsidRPr="00F868DD" w:rsidRDefault="00D02859" w:rsidP="00D069D6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6E4A1770" w14:textId="77777777" w:rsidR="00D02859" w:rsidRPr="00F868DD" w:rsidRDefault="00D02859" w:rsidP="00D069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2B720459" w14:textId="77777777" w:rsidR="00D02859" w:rsidRPr="00F868DD" w:rsidRDefault="00D02859" w:rsidP="00D069D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501D8A18" w14:textId="77777777" w:rsidR="00D02859" w:rsidRPr="00F868DD" w:rsidRDefault="00D02859" w:rsidP="00D069D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Zastoupené: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Pr="00F868DD">
        <w:rPr>
          <w:rFonts w:asciiTheme="minorHAnsi" w:hAnsiTheme="minorHAnsi" w:cstheme="minorHAnsi"/>
          <w:sz w:val="22"/>
          <w:szCs w:val="22"/>
        </w:rPr>
        <w:tab/>
      </w:r>
    </w:p>
    <w:p w14:paraId="1847AAAA" w14:textId="0E43251E" w:rsidR="00D02859" w:rsidRPr="00F868DD" w:rsidRDefault="00D02859" w:rsidP="00D069D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C434BE">
        <w:rPr>
          <w:rFonts w:asciiTheme="minorHAnsi" w:hAnsiTheme="minorHAnsi" w:cstheme="minorHAnsi"/>
          <w:sz w:val="22"/>
          <w:szCs w:val="22"/>
        </w:rPr>
        <w:t>XXXXXXXXXXXXXXX</w:t>
      </w:r>
    </w:p>
    <w:p w14:paraId="106AFD79" w14:textId="158FA2FF" w:rsidR="00D02859" w:rsidRPr="00C434BE" w:rsidRDefault="00D02859" w:rsidP="00D069D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 w:rsidRPr="00C434BE">
        <w:rPr>
          <w:rFonts w:asciiTheme="minorHAnsi" w:hAnsiTheme="minorHAnsi" w:cstheme="minorHAnsi"/>
          <w:sz w:val="22"/>
          <w:szCs w:val="22"/>
        </w:rPr>
        <w:tab/>
      </w:r>
      <w:r w:rsidR="00C434BE" w:rsidRPr="00C434BE">
        <w:rPr>
          <w:rFonts w:asciiTheme="minorHAnsi" w:hAnsiTheme="minorHAnsi" w:cstheme="minorHAnsi"/>
          <w:sz w:val="22"/>
          <w:szCs w:val="22"/>
        </w:rPr>
        <w:t>XXXXXXXXX</w:t>
      </w:r>
      <w:r w:rsidR="00C434BE">
        <w:rPr>
          <w:rFonts w:asciiTheme="minorHAnsi" w:hAnsiTheme="minorHAnsi" w:cstheme="minorHAnsi"/>
          <w:sz w:val="22"/>
          <w:szCs w:val="22"/>
        </w:rPr>
        <w:t>XXXXXX</w:t>
      </w:r>
    </w:p>
    <w:p w14:paraId="738AC9E5" w14:textId="77777777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704636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24424E6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1EC57AAA" w14:textId="77777777" w:rsidR="00D02859" w:rsidRPr="000A4A45" w:rsidRDefault="00D02859" w:rsidP="000A4A45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0A4A45">
        <w:rPr>
          <w:rFonts w:asciiTheme="minorHAnsi" w:hAnsiTheme="minorHAnsi" w:cstheme="minorHAnsi"/>
          <w:b/>
        </w:rPr>
        <w:t>Dodavatel:</w:t>
      </w:r>
      <w:r w:rsidRPr="000A4A45">
        <w:rPr>
          <w:rFonts w:asciiTheme="minorHAnsi" w:hAnsiTheme="minorHAnsi" w:cstheme="minorHAnsi"/>
          <w:b/>
        </w:rPr>
        <w:tab/>
      </w:r>
      <w:r w:rsidRPr="000A4A45">
        <w:rPr>
          <w:rFonts w:asciiTheme="minorHAnsi" w:hAnsiTheme="minorHAnsi" w:cstheme="minorHAnsi"/>
          <w:b/>
        </w:rPr>
        <w:tab/>
      </w:r>
      <w:r w:rsidRPr="000A4A45">
        <w:rPr>
          <w:rFonts w:asciiTheme="minorHAnsi" w:hAnsiTheme="minorHAnsi" w:cstheme="minorHAnsi"/>
          <w:b/>
        </w:rPr>
        <w:tab/>
        <w:t xml:space="preserve"> </w:t>
      </w:r>
      <w:r w:rsidR="001515EA" w:rsidRPr="00640DB3">
        <w:rPr>
          <w:rFonts w:asciiTheme="minorHAnsi" w:hAnsiTheme="minorHAnsi" w:cstheme="minorHAnsi"/>
          <w:b/>
        </w:rPr>
        <w:t>MindBridge Consulting a.s.</w:t>
      </w:r>
      <w:r w:rsidRPr="00640DB3">
        <w:rPr>
          <w:rFonts w:asciiTheme="minorHAnsi" w:hAnsiTheme="minorHAnsi" w:cstheme="minorHAnsi"/>
          <w:b/>
        </w:rPr>
        <w:tab/>
      </w:r>
    </w:p>
    <w:p w14:paraId="18FF91AB" w14:textId="77777777" w:rsidR="00D02859" w:rsidRPr="000A4A45" w:rsidRDefault="00D02859" w:rsidP="00D02859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4A45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 xml:space="preserve"> u Městského soudu v Praze, oddíl B, vložka 13294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</w:p>
    <w:p w14:paraId="1F8412A8" w14:textId="77777777" w:rsidR="00D02859" w:rsidRPr="000A4A4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4A45">
        <w:rPr>
          <w:rFonts w:asciiTheme="minorHAnsi" w:hAnsiTheme="minorHAnsi" w:cstheme="minorHAnsi"/>
          <w:bCs/>
          <w:sz w:val="22"/>
          <w:szCs w:val="22"/>
        </w:rPr>
        <w:t>Sídlo: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ab/>
        <w:t xml:space="preserve">Geologická 2, 152 </w:t>
      </w:r>
      <w:proofErr w:type="gramStart"/>
      <w:r w:rsidR="001515EA" w:rsidRPr="000A4A45"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 w:rsidR="001515EA" w:rsidRPr="000A4A45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</w:p>
    <w:p w14:paraId="28CC8017" w14:textId="77777777" w:rsidR="00D02859" w:rsidRPr="000A4A4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A4A45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>28211308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</w:p>
    <w:p w14:paraId="485AA9A7" w14:textId="77777777" w:rsidR="00D02859" w:rsidRPr="000A4A4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4A45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>CZ28211308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</w:p>
    <w:p w14:paraId="592B4774" w14:textId="77777777" w:rsidR="00D02859" w:rsidRPr="000A4A4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4A45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>Ing. Ladislavem Klikou, předsedou představenstva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</w:p>
    <w:p w14:paraId="6C611A89" w14:textId="77777777" w:rsidR="00D02859" w:rsidRPr="000A4A4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4A45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ab/>
        <w:t>Komerční banka, a.s.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</w:p>
    <w:p w14:paraId="6443DB19" w14:textId="74B73DC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A4A45">
        <w:rPr>
          <w:rFonts w:asciiTheme="minorHAnsi" w:hAnsiTheme="minorHAnsi" w:cstheme="minorHAnsi"/>
          <w:bCs/>
          <w:sz w:val="22"/>
          <w:szCs w:val="22"/>
        </w:rPr>
        <w:t>č.ú. :</w:t>
      </w:r>
      <w:proofErr w:type="gramEnd"/>
      <w:r w:rsidRPr="000A4A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1515EA"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Pr="000A4A45">
        <w:rPr>
          <w:rFonts w:asciiTheme="minorHAnsi" w:hAnsiTheme="minorHAnsi" w:cstheme="minorHAnsi"/>
          <w:bCs/>
          <w:sz w:val="22"/>
          <w:szCs w:val="22"/>
        </w:rPr>
        <w:tab/>
      </w:r>
      <w:r w:rsidR="00C434BE">
        <w:rPr>
          <w:rFonts w:asciiTheme="minorHAnsi" w:hAnsiTheme="minorHAnsi" w:cstheme="minorHAnsi"/>
          <w:bCs/>
          <w:sz w:val="22"/>
          <w:szCs w:val="22"/>
        </w:rPr>
        <w:t>XXXXXXXXXXXXXXXXXX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1A394C7D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23381B4C" w14:textId="77777777" w:rsidR="00D02859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3A7BFBD1" w14:textId="77777777" w:rsidR="00D02859" w:rsidRPr="00F868DD" w:rsidRDefault="00D069D6" w:rsidP="00D069D6">
      <w:pPr>
        <w:spacing w:after="100" w:afterAutospacing="1"/>
        <w:jc w:val="both"/>
        <w:rPr>
          <w:rFonts w:asciiTheme="minorHAnsi" w:hAnsiTheme="minorHAnsi" w:cstheme="minorHAnsi"/>
          <w:b/>
        </w:rPr>
      </w:pPr>
      <w:bookmarkStart w:id="0" w:name="_Hlk103023105"/>
      <w:bookmarkStart w:id="1" w:name="_Hlk103023239"/>
      <w:r>
        <w:rPr>
          <w:rFonts w:ascii="Calibri" w:hAnsi="Calibri" w:cs="Calibri"/>
          <w:sz w:val="22"/>
          <w:szCs w:val="22"/>
        </w:rPr>
        <w:t>Tato zakázka je realizována v rámci projektu: Východní Morava – opravdová dovolená, Identifikační číslo projektu: 117D722001M01, za přispění prostředků státního rozpočtu České republiky z programu Ministerstva pro místní rozvoj.</w:t>
      </w:r>
      <w:bookmarkEnd w:id="0"/>
      <w:bookmarkEnd w:id="1"/>
    </w:p>
    <w:p w14:paraId="41784629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8667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Preambule</w:t>
      </w:r>
    </w:p>
    <w:p w14:paraId="2EEEC4D5" w14:textId="77777777" w:rsidR="00D02859" w:rsidRPr="00F868DD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1C7FAA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1C7FAA">
        <w:rPr>
          <w:rFonts w:asciiTheme="minorHAnsi" w:hAnsiTheme="minorHAnsi" w:cstheme="minorHAnsi"/>
          <w:sz w:val="22"/>
          <w:szCs w:val="22"/>
        </w:rPr>
        <w:t>díla</w:t>
      </w:r>
      <w:r w:rsidR="00F868DD">
        <w:rPr>
          <w:rFonts w:asciiTheme="minorHAnsi" w:hAnsiTheme="minorHAnsi" w:cstheme="minorHAnsi"/>
          <w:sz w:val="22"/>
          <w:szCs w:val="22"/>
        </w:rPr>
        <w:t xml:space="preserve"> </w:t>
      </w:r>
      <w:r w:rsidR="00B35461" w:rsidRPr="00041BA5">
        <w:rPr>
          <w:rFonts w:ascii="Calibri" w:hAnsi="Calibri" w:cs="Calibri"/>
          <w:sz w:val="22"/>
          <w:szCs w:val="22"/>
        </w:rPr>
        <w:t>"</w:t>
      </w:r>
      <w:r w:rsidR="008B59C5" w:rsidRPr="008B59C5">
        <w:rPr>
          <w:rFonts w:ascii="Calibri" w:hAnsi="Calibri" w:cs="Calibri"/>
          <w:b/>
          <w:sz w:val="22"/>
          <w:szCs w:val="22"/>
        </w:rPr>
        <w:t xml:space="preserve"> </w:t>
      </w:r>
      <w:r w:rsidR="008B59C5" w:rsidRPr="008B59C5">
        <w:rPr>
          <w:rFonts w:asciiTheme="minorHAnsi" w:hAnsiTheme="minorHAnsi" w:cstheme="minorHAnsi"/>
          <w:sz w:val="22"/>
          <w:szCs w:val="22"/>
        </w:rPr>
        <w:t>Šetření chování domácího návštěvníka metodou CAP</w:t>
      </w:r>
      <w:r w:rsidR="00E44A5B">
        <w:rPr>
          <w:rFonts w:asciiTheme="minorHAnsi" w:hAnsiTheme="minorHAnsi" w:cstheme="minorHAnsi"/>
          <w:sz w:val="22"/>
          <w:szCs w:val="22"/>
        </w:rPr>
        <w:t>I</w:t>
      </w:r>
      <w:r w:rsidR="00B35461" w:rsidRPr="008B59C5">
        <w:rPr>
          <w:rFonts w:asciiTheme="minorHAnsi" w:hAnsiTheme="minorHAnsi" w:cstheme="minorHAnsi"/>
          <w:sz w:val="22"/>
          <w:szCs w:val="22"/>
        </w:rPr>
        <w:t>“</w:t>
      </w:r>
      <w:r w:rsidR="00B35461"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(dále jen „</w:t>
      </w:r>
      <w:r w:rsidR="00B35461">
        <w:rPr>
          <w:rFonts w:asciiTheme="minorHAnsi" w:hAnsiTheme="minorHAnsi" w:cstheme="minorHAnsi"/>
          <w:sz w:val="22"/>
          <w:szCs w:val="22"/>
        </w:rPr>
        <w:t>dílo</w:t>
      </w:r>
      <w:r w:rsidRPr="00F868D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1901F9AC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7BD3EA3C" w14:textId="77777777" w:rsidR="00D02859" w:rsidRPr="00D069D6" w:rsidRDefault="00D02859" w:rsidP="00D069D6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0BCE0D3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7ADCBAFB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00FE3981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33F0C954" w14:textId="77777777" w:rsidR="00477F7E" w:rsidRDefault="00D02859" w:rsidP="008B59C5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8B59C5">
        <w:rPr>
          <w:rFonts w:asciiTheme="minorHAnsi" w:hAnsiTheme="minorHAnsi" w:cstheme="minorHAnsi"/>
          <w:sz w:val="22"/>
          <w:szCs w:val="22"/>
        </w:rPr>
        <w:t>šetření chování domácího návštěvníka pomocí metody CAP</w:t>
      </w:r>
      <w:r w:rsidR="001C57E6">
        <w:rPr>
          <w:rFonts w:asciiTheme="minorHAnsi" w:hAnsiTheme="minorHAnsi" w:cstheme="minorHAnsi"/>
          <w:sz w:val="22"/>
          <w:szCs w:val="22"/>
        </w:rPr>
        <w:t>I</w:t>
      </w:r>
      <w:r w:rsidR="008B59C5">
        <w:rPr>
          <w:rFonts w:asciiTheme="minorHAnsi" w:hAnsiTheme="minorHAnsi" w:cstheme="minorHAnsi"/>
          <w:sz w:val="22"/>
          <w:szCs w:val="22"/>
        </w:rPr>
        <w:t xml:space="preserve">. </w:t>
      </w:r>
      <w:r w:rsidR="008B59C5" w:rsidRPr="00E44A5B">
        <w:rPr>
          <w:rFonts w:asciiTheme="minorHAnsi" w:hAnsiTheme="minorHAnsi" w:cstheme="minorHAnsi"/>
          <w:sz w:val="22"/>
          <w:szCs w:val="22"/>
        </w:rPr>
        <w:t>Podrobný popis předmětu díla je uveden v příloze č. 1 této smlouvy.</w:t>
      </w:r>
      <w:r w:rsidR="008B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686F96" w14:textId="77777777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3C8DAB31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21ED42EE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262D6CEB" w14:textId="77777777" w:rsidR="00D02859" w:rsidRPr="0099720F" w:rsidRDefault="00D02859" w:rsidP="00B63C94">
      <w:pPr>
        <w:pStyle w:val="odrkyChar"/>
        <w:ind w:left="360"/>
        <w:jc w:val="center"/>
        <w:rPr>
          <w:rFonts w:asciiTheme="minorHAnsi" w:hAnsiTheme="minorHAnsi" w:cstheme="minorHAnsi"/>
          <w:b/>
        </w:rPr>
      </w:pPr>
      <w:r w:rsidRPr="0099720F">
        <w:rPr>
          <w:rFonts w:asciiTheme="minorHAnsi" w:hAnsiTheme="minorHAnsi" w:cstheme="minorHAnsi"/>
          <w:b/>
        </w:rPr>
        <w:t>Článek IV.</w:t>
      </w:r>
    </w:p>
    <w:p w14:paraId="37B83FA6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326E99B3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0B2C10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3FA638F4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66E3CBFE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4C15C9EE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F0968F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7ACCE9C0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22306A0E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6165F1" w14:textId="77777777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 Č</w:t>
      </w:r>
      <w:r w:rsidR="00B35461">
        <w:rPr>
          <w:rFonts w:asciiTheme="minorHAnsi" w:hAnsiTheme="minorHAnsi" w:cstheme="minorHAnsi"/>
          <w:sz w:val="22"/>
          <w:szCs w:val="22"/>
        </w:rPr>
        <w:t>eská republika</w:t>
      </w:r>
      <w:r w:rsidRPr="00F868DD">
        <w:rPr>
          <w:rFonts w:asciiTheme="minorHAnsi" w:hAnsiTheme="minorHAnsi" w:cstheme="minorHAnsi"/>
          <w:sz w:val="22"/>
          <w:szCs w:val="22"/>
        </w:rPr>
        <w:t>. Doba plnění</w:t>
      </w:r>
      <w:r w:rsidR="00B35461">
        <w:rPr>
          <w:rFonts w:asciiTheme="minorHAnsi" w:hAnsiTheme="minorHAnsi" w:cstheme="minorHAnsi"/>
          <w:sz w:val="22"/>
          <w:szCs w:val="22"/>
        </w:rPr>
        <w:t xml:space="preserve">: </w:t>
      </w:r>
      <w:r w:rsidR="008B59C5">
        <w:rPr>
          <w:rFonts w:asciiTheme="minorHAnsi" w:hAnsiTheme="minorHAnsi" w:cstheme="minorHAnsi"/>
          <w:sz w:val="22"/>
          <w:szCs w:val="22"/>
        </w:rPr>
        <w:t>od 1.6.2022</w:t>
      </w:r>
      <w:r w:rsidR="00B35461">
        <w:rPr>
          <w:rFonts w:asciiTheme="minorHAnsi" w:hAnsiTheme="minorHAnsi" w:cstheme="minorHAnsi"/>
          <w:sz w:val="22"/>
          <w:szCs w:val="22"/>
        </w:rPr>
        <w:t>,</w:t>
      </w:r>
      <w:r w:rsidR="0008610C" w:rsidRPr="00017721">
        <w:rPr>
          <w:rFonts w:ascii="Calibri" w:hAnsi="Calibri" w:cs="Calibri"/>
          <w:sz w:val="22"/>
          <w:szCs w:val="22"/>
        </w:rPr>
        <w:t xml:space="preserve"> předání hotového </w:t>
      </w:r>
      <w:r w:rsidR="0008610C" w:rsidRPr="00F01879">
        <w:rPr>
          <w:rFonts w:ascii="Calibri" w:hAnsi="Calibri" w:cs="Calibri"/>
          <w:sz w:val="22"/>
          <w:szCs w:val="22"/>
        </w:rPr>
        <w:t xml:space="preserve">díla proběhne </w:t>
      </w:r>
      <w:r w:rsidR="00F01879" w:rsidRPr="00F01879">
        <w:rPr>
          <w:rFonts w:ascii="Calibri" w:hAnsi="Calibri" w:cs="Calibri"/>
          <w:sz w:val="22"/>
          <w:szCs w:val="22"/>
        </w:rPr>
        <w:t>3</w:t>
      </w:r>
      <w:r w:rsidR="008B59C5">
        <w:rPr>
          <w:rFonts w:ascii="Calibri" w:hAnsi="Calibri" w:cs="Calibri"/>
          <w:sz w:val="22"/>
          <w:szCs w:val="22"/>
        </w:rPr>
        <w:t>0</w:t>
      </w:r>
      <w:r w:rsidR="00B43DF2" w:rsidRPr="00F01879">
        <w:rPr>
          <w:rFonts w:ascii="Calibri" w:hAnsi="Calibri" w:cs="Calibri"/>
          <w:sz w:val="22"/>
          <w:szCs w:val="22"/>
        </w:rPr>
        <w:t xml:space="preserve">. </w:t>
      </w:r>
      <w:r w:rsidR="0008610C" w:rsidRPr="00F01879">
        <w:rPr>
          <w:rFonts w:ascii="Calibri" w:hAnsi="Calibri" w:cs="Calibri"/>
          <w:sz w:val="22"/>
          <w:szCs w:val="22"/>
        </w:rPr>
        <w:t>1</w:t>
      </w:r>
      <w:r w:rsidR="008B59C5">
        <w:rPr>
          <w:rFonts w:ascii="Calibri" w:hAnsi="Calibri" w:cs="Calibri"/>
          <w:sz w:val="22"/>
          <w:szCs w:val="22"/>
        </w:rPr>
        <w:t>1</w:t>
      </w:r>
      <w:r w:rsidR="0008610C" w:rsidRPr="00F01879">
        <w:rPr>
          <w:rFonts w:ascii="Calibri" w:hAnsi="Calibri" w:cs="Calibri"/>
          <w:sz w:val="22"/>
          <w:szCs w:val="22"/>
        </w:rPr>
        <w:t>. 202</w:t>
      </w:r>
      <w:r w:rsidR="008B59C5">
        <w:rPr>
          <w:rFonts w:ascii="Calibri" w:hAnsi="Calibri" w:cs="Calibri"/>
          <w:sz w:val="22"/>
          <w:szCs w:val="22"/>
        </w:rPr>
        <w:t>2</w:t>
      </w:r>
      <w:r w:rsidR="0008610C" w:rsidRPr="00F01879">
        <w:rPr>
          <w:rFonts w:ascii="Calibri" w:hAnsi="Calibri" w:cs="Calibri"/>
          <w:sz w:val="22"/>
          <w:szCs w:val="22"/>
        </w:rPr>
        <w:t>.</w:t>
      </w:r>
    </w:p>
    <w:p w14:paraId="519093A2" w14:textId="77777777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 bude prováděno na základě předaných výstupů a podepsaného předávacího protokolu objednatelem a dodavatelem. </w:t>
      </w:r>
    </w:p>
    <w:p w14:paraId="327C99D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2603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5A67DD63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DA4FB3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5C45F" w14:textId="77777777" w:rsidR="00D02859" w:rsidRPr="000A4A45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</w:t>
      </w:r>
      <w:r w:rsidRPr="000A4A45">
        <w:rPr>
          <w:rFonts w:asciiTheme="minorHAnsi" w:hAnsiTheme="minorHAnsi" w:cstheme="minorHAnsi"/>
          <w:sz w:val="22"/>
          <w:szCs w:val="22"/>
        </w:rPr>
        <w:t>1990 Sb., o cenách, v platném znění, a to ve výši:</w:t>
      </w:r>
    </w:p>
    <w:p w14:paraId="188B391F" w14:textId="77777777" w:rsidR="00D02859" w:rsidRPr="000A4A45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01B0E1D" w14:textId="77777777" w:rsidR="00D02859" w:rsidRPr="000A4A45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4A45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0A4A45">
        <w:rPr>
          <w:rFonts w:asciiTheme="minorHAnsi" w:hAnsiTheme="minorHAnsi" w:cstheme="minorHAnsi"/>
          <w:sz w:val="22"/>
          <w:szCs w:val="22"/>
        </w:rPr>
        <w:tab/>
      </w:r>
      <w:r w:rsidRPr="000A4A45">
        <w:rPr>
          <w:rFonts w:asciiTheme="minorHAnsi" w:hAnsiTheme="minorHAnsi" w:cstheme="minorHAnsi"/>
          <w:sz w:val="22"/>
          <w:szCs w:val="22"/>
        </w:rPr>
        <w:tab/>
      </w:r>
      <w:r w:rsidR="000A4A45" w:rsidRPr="000A4A45">
        <w:rPr>
          <w:rFonts w:asciiTheme="minorHAnsi" w:hAnsiTheme="minorHAnsi" w:cstheme="minorHAnsi"/>
          <w:sz w:val="22"/>
          <w:szCs w:val="22"/>
        </w:rPr>
        <w:tab/>
      </w:r>
      <w:r w:rsidR="000A4A45" w:rsidRPr="000A4A45">
        <w:rPr>
          <w:rFonts w:asciiTheme="minorHAnsi" w:hAnsiTheme="minorHAnsi" w:cstheme="minorHAnsi"/>
          <w:sz w:val="22"/>
          <w:szCs w:val="22"/>
        </w:rPr>
        <w:tab/>
      </w:r>
      <w:r w:rsidR="000A4A45" w:rsidRPr="000A4A45">
        <w:rPr>
          <w:rFonts w:asciiTheme="minorHAnsi" w:hAnsiTheme="minorHAnsi" w:cstheme="minorHAnsi"/>
          <w:sz w:val="22"/>
          <w:szCs w:val="22"/>
        </w:rPr>
        <w:tab/>
        <w:t xml:space="preserve">251 500 </w:t>
      </w:r>
      <w:r w:rsidRPr="000A4A45">
        <w:rPr>
          <w:rFonts w:asciiTheme="minorHAnsi" w:hAnsiTheme="minorHAnsi" w:cstheme="minorHAnsi"/>
          <w:sz w:val="22"/>
          <w:szCs w:val="22"/>
        </w:rPr>
        <w:t>Kč</w:t>
      </w:r>
    </w:p>
    <w:p w14:paraId="18F93CB0" w14:textId="77777777" w:rsidR="00D02859" w:rsidRPr="000A4A45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4A45">
        <w:rPr>
          <w:rFonts w:asciiTheme="minorHAnsi" w:hAnsiTheme="minorHAnsi" w:cstheme="minorHAnsi"/>
          <w:sz w:val="22"/>
          <w:szCs w:val="22"/>
        </w:rPr>
        <w:t>DPH 21 %</w:t>
      </w:r>
      <w:r w:rsidRPr="000A4A45">
        <w:rPr>
          <w:rFonts w:asciiTheme="minorHAnsi" w:hAnsiTheme="minorHAnsi" w:cstheme="minorHAnsi"/>
          <w:sz w:val="22"/>
          <w:szCs w:val="22"/>
        </w:rPr>
        <w:tab/>
      </w:r>
      <w:r w:rsidRPr="000A4A45">
        <w:rPr>
          <w:rFonts w:asciiTheme="minorHAnsi" w:hAnsiTheme="minorHAnsi" w:cstheme="minorHAnsi"/>
          <w:sz w:val="22"/>
          <w:szCs w:val="22"/>
        </w:rPr>
        <w:tab/>
      </w:r>
      <w:r w:rsidRPr="000A4A45">
        <w:rPr>
          <w:rFonts w:asciiTheme="minorHAnsi" w:hAnsiTheme="minorHAnsi" w:cstheme="minorHAnsi"/>
          <w:sz w:val="22"/>
          <w:szCs w:val="22"/>
        </w:rPr>
        <w:tab/>
      </w:r>
      <w:r w:rsidRPr="000A4A45">
        <w:rPr>
          <w:rFonts w:asciiTheme="minorHAnsi" w:hAnsiTheme="minorHAnsi" w:cstheme="minorHAnsi"/>
          <w:sz w:val="22"/>
          <w:szCs w:val="22"/>
        </w:rPr>
        <w:tab/>
      </w:r>
      <w:r w:rsidRPr="000A4A4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A4A45">
        <w:rPr>
          <w:rFonts w:asciiTheme="minorHAnsi" w:hAnsiTheme="minorHAnsi" w:cstheme="minorHAnsi"/>
          <w:sz w:val="22"/>
          <w:szCs w:val="22"/>
        </w:rPr>
        <w:tab/>
      </w:r>
      <w:r w:rsidR="000A4A45" w:rsidRPr="000A4A45">
        <w:rPr>
          <w:rFonts w:asciiTheme="minorHAnsi" w:hAnsiTheme="minorHAnsi" w:cstheme="minorHAnsi"/>
          <w:sz w:val="22"/>
          <w:szCs w:val="22"/>
        </w:rPr>
        <w:t xml:space="preserve">  52</w:t>
      </w:r>
      <w:proofErr w:type="gramEnd"/>
      <w:r w:rsidR="000A4A45" w:rsidRPr="000A4A45">
        <w:rPr>
          <w:rFonts w:asciiTheme="minorHAnsi" w:hAnsiTheme="minorHAnsi" w:cstheme="minorHAnsi"/>
          <w:sz w:val="22"/>
          <w:szCs w:val="22"/>
        </w:rPr>
        <w:t xml:space="preserve"> 815 </w:t>
      </w:r>
      <w:r w:rsidRPr="000A4A45">
        <w:rPr>
          <w:rFonts w:asciiTheme="minorHAnsi" w:hAnsiTheme="minorHAnsi" w:cstheme="minorHAnsi"/>
          <w:sz w:val="22"/>
          <w:szCs w:val="22"/>
        </w:rPr>
        <w:t>Kč</w:t>
      </w:r>
    </w:p>
    <w:p w14:paraId="2C99F0B9" w14:textId="77777777" w:rsidR="00D02859" w:rsidRPr="000A4A45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A4A45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0A4A45">
        <w:rPr>
          <w:rFonts w:asciiTheme="minorHAnsi" w:hAnsiTheme="minorHAnsi" w:cstheme="minorHAnsi"/>
          <w:sz w:val="22"/>
          <w:szCs w:val="22"/>
        </w:rPr>
        <w:tab/>
      </w:r>
      <w:r w:rsidRPr="000A4A4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A4A45" w:rsidRPr="000A4A45">
        <w:rPr>
          <w:rFonts w:asciiTheme="minorHAnsi" w:hAnsiTheme="minorHAnsi" w:cstheme="minorHAnsi"/>
          <w:sz w:val="22"/>
          <w:szCs w:val="22"/>
        </w:rPr>
        <w:tab/>
      </w:r>
      <w:r w:rsidRPr="000A4A45">
        <w:rPr>
          <w:rFonts w:asciiTheme="minorHAnsi" w:hAnsiTheme="minorHAnsi" w:cstheme="minorHAnsi"/>
          <w:sz w:val="22"/>
          <w:szCs w:val="22"/>
        </w:rPr>
        <w:tab/>
      </w:r>
      <w:r w:rsidR="000A4A45" w:rsidRPr="000A4A45">
        <w:rPr>
          <w:rFonts w:asciiTheme="minorHAnsi" w:hAnsiTheme="minorHAnsi" w:cstheme="minorHAnsi"/>
          <w:sz w:val="22"/>
          <w:szCs w:val="22"/>
        </w:rPr>
        <w:t xml:space="preserve">304 315 </w:t>
      </w:r>
      <w:r w:rsidRPr="000A4A45">
        <w:rPr>
          <w:rFonts w:asciiTheme="minorHAnsi" w:hAnsiTheme="minorHAnsi" w:cstheme="minorHAnsi"/>
          <w:sz w:val="22"/>
          <w:szCs w:val="22"/>
        </w:rPr>
        <w:t>Kč</w:t>
      </w:r>
    </w:p>
    <w:p w14:paraId="28B4B94F" w14:textId="77777777" w:rsidR="000A4A45" w:rsidRPr="000A4A45" w:rsidRDefault="000A4A45" w:rsidP="000A4A45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</w:rPr>
      </w:pPr>
      <w:r w:rsidRPr="000A4A45">
        <w:rPr>
          <w:rFonts w:asciiTheme="minorHAnsi" w:hAnsiTheme="minorHAnsi" w:cstheme="minorHAnsi"/>
        </w:rPr>
        <w:t>(slovy: tři-sta-čtyři-tisíce-tři-sta-patnáct-korun)</w:t>
      </w:r>
    </w:p>
    <w:p w14:paraId="3835C5D8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01F3C783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0039B07B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40340187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262B7447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6C188203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03408C1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po předání plnění a ukončení díla. </w:t>
      </w:r>
    </w:p>
    <w:p w14:paraId="5E4B8135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11A8BE34" w14:textId="77777777" w:rsidR="00D02859" w:rsidRPr="008B59C5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Platba bude provedena na základě faktur, které budou splňovat náležitosti daňového dokladu dle obecně platných předpisů a budou označeny textem: </w:t>
      </w:r>
      <w:r w:rsidRPr="008B59C5">
        <w:rPr>
          <w:rFonts w:asciiTheme="minorHAnsi" w:hAnsiTheme="minorHAnsi" w:cstheme="minorHAnsi"/>
          <w:sz w:val="22"/>
          <w:szCs w:val="22"/>
        </w:rPr>
        <w:t>„</w:t>
      </w:r>
      <w:r w:rsidR="008B59C5" w:rsidRPr="008B59C5">
        <w:rPr>
          <w:rFonts w:asciiTheme="minorHAnsi" w:hAnsiTheme="minorHAnsi" w:cstheme="minorHAnsi"/>
          <w:sz w:val="22"/>
          <w:szCs w:val="22"/>
        </w:rPr>
        <w:t xml:space="preserve">Projekt </w:t>
      </w:r>
      <w:r w:rsidR="008B59C5">
        <w:rPr>
          <w:rFonts w:asciiTheme="minorHAnsi" w:hAnsiTheme="minorHAnsi" w:cstheme="minorHAnsi"/>
          <w:sz w:val="22"/>
          <w:szCs w:val="22"/>
        </w:rPr>
        <w:t xml:space="preserve">Východní Morava – opravdová dovolená, č. projektu </w:t>
      </w:r>
      <w:r w:rsidR="008B59C5" w:rsidRPr="008B59C5">
        <w:rPr>
          <w:rFonts w:asciiTheme="minorHAnsi" w:hAnsiTheme="minorHAnsi" w:cstheme="minorHAnsi"/>
          <w:sz w:val="22"/>
          <w:szCs w:val="22"/>
        </w:rPr>
        <w:t>117D722001M01 byl realizován za přispění prostředků státního rozpočtu České republiky z programu Ministerstva pro místní rozvoj</w:t>
      </w:r>
      <w:r w:rsidRPr="008B59C5">
        <w:rPr>
          <w:rFonts w:asciiTheme="minorHAnsi" w:hAnsiTheme="minorHAnsi" w:cstheme="minorHAnsi"/>
          <w:sz w:val="22"/>
          <w:szCs w:val="22"/>
        </w:rPr>
        <w:t>“.</w:t>
      </w:r>
    </w:p>
    <w:p w14:paraId="1195833F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F868DD">
        <w:rPr>
          <w:rFonts w:asciiTheme="minorHAnsi" w:hAnsiTheme="minorHAnsi" w:cstheme="minorHAnsi"/>
          <w:sz w:val="22"/>
          <w:szCs w:val="22"/>
        </w:rPr>
        <w:t>30ti denní</w:t>
      </w:r>
      <w:proofErr w:type="gramEnd"/>
      <w:r w:rsidRPr="00F868DD">
        <w:rPr>
          <w:rFonts w:asciiTheme="minorHAnsi" w:hAnsiTheme="minorHAnsi" w:cstheme="minorHAnsi"/>
          <w:sz w:val="22"/>
          <w:szCs w:val="22"/>
        </w:rPr>
        <w:t xml:space="preserve"> lhůta splatnosti pak začne běžet doručením opravené faktury.</w:t>
      </w:r>
    </w:p>
    <w:p w14:paraId="2FD8BDC3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28F4AC52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838E6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4AFA92E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09E29C6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5598131B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621E945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zda-li</w:t>
      </w:r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1DFEDC94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5560CB7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7D69984C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57048B2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645C2905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E9E7F5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187A38A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2B99BFCC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445FC6B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2956E02D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4E2F0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138A80C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45937D7F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642404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76A81CFC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2A6CD6C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2C7935A4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410B8CC6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73246A9C" w14:textId="77777777" w:rsidR="00D02859" w:rsidRPr="008770F9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8770F9">
        <w:rPr>
          <w:rFonts w:asciiTheme="minorHAnsi" w:hAnsiTheme="minorHAnsi" w:cstheme="minorHAnsi"/>
          <w:b/>
        </w:rPr>
        <w:t>Ostatní ujednání</w:t>
      </w:r>
    </w:p>
    <w:p w14:paraId="571AC4FA" w14:textId="77777777" w:rsidR="00D02859" w:rsidRPr="008770F9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390390A6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Dodavatel se zavazuje archivovat veškeré doklady, které souvisí s realizací projektu a jeho financováním po dobu 10 let od proplacení závěrečné platby příjemci, tj. od odepsání z účtu poskytovatele dotace, nejméně však do konce roku 20</w:t>
      </w:r>
      <w:r w:rsidR="00165AB8" w:rsidRPr="008770F9">
        <w:rPr>
          <w:rFonts w:asciiTheme="minorHAnsi" w:hAnsiTheme="minorHAnsi" w:cstheme="minorHAnsi"/>
        </w:rPr>
        <w:t>3</w:t>
      </w:r>
      <w:r w:rsidR="00F0055C">
        <w:rPr>
          <w:rFonts w:asciiTheme="minorHAnsi" w:hAnsiTheme="minorHAnsi" w:cstheme="minorHAnsi"/>
        </w:rPr>
        <w:t>1</w:t>
      </w:r>
      <w:r w:rsidRPr="008770F9">
        <w:rPr>
          <w:rFonts w:asciiTheme="minorHAnsi" w:hAnsiTheme="minorHAnsi" w:cstheme="minorHAnsi"/>
        </w:rPr>
        <w:t>.</w:t>
      </w:r>
    </w:p>
    <w:p w14:paraId="58D1045F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65A1A912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05DFFB59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7CBA36B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ED1B27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DB9659D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C7C09B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D8D3E2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5E95DFBD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36B54ED2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649D9D1D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DA13EAD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7DEE1DD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32FC3E70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11F42D7A" w14:textId="77777777" w:rsidR="00D02859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5F814C2D" w14:textId="77777777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7E5456A6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048D2BA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36CF3C6B" w14:textId="27B40ABC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  <w:t xml:space="preserve">V Praze </w:t>
      </w:r>
      <w:r w:rsidRPr="00F868DD">
        <w:rPr>
          <w:rFonts w:asciiTheme="minorHAnsi" w:hAnsiTheme="minorHAnsi" w:cstheme="minorHAnsi"/>
        </w:rPr>
        <w:t xml:space="preserve">dne </w:t>
      </w:r>
      <w:r w:rsidR="00640DB3">
        <w:rPr>
          <w:rFonts w:asciiTheme="minorHAnsi" w:hAnsiTheme="minorHAnsi" w:cstheme="minorHAnsi"/>
        </w:rPr>
        <w:t>3. 6. 2022</w:t>
      </w:r>
    </w:p>
    <w:p w14:paraId="474D9D8D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7A20B6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E9C5ECF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FEE16B8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BEA83D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1ED161DF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1A45E7C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>Ing. Ladislav Klika</w:t>
      </w:r>
    </w:p>
    <w:p w14:paraId="79C996E8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ab/>
        <w:t>Předseda představenstva</w:t>
      </w:r>
    </w:p>
    <w:p w14:paraId="45AF36A5" w14:textId="77777777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1515EA">
        <w:rPr>
          <w:rFonts w:asciiTheme="minorHAnsi" w:hAnsiTheme="minorHAnsi" w:cstheme="minorHAnsi"/>
        </w:rPr>
        <w:t>MindBridge Consulting a.s.</w:t>
      </w:r>
    </w:p>
    <w:p w14:paraId="6DD0353A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796D161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FEB51E1" w14:textId="77777777" w:rsidR="000A4A45" w:rsidRDefault="000A4A45">
      <w:pPr>
        <w:spacing w:after="160" w:line="259" w:lineRule="auto"/>
        <w:rPr>
          <w:rFonts w:asciiTheme="minorHAnsi" w:hAnsiTheme="minorHAnsi" w:cstheme="minorHAnsi"/>
          <w:color w:val="FFFFFF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br w:type="page"/>
      </w:r>
    </w:p>
    <w:p w14:paraId="21B0DDD6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93B1DF5" w14:textId="77777777" w:rsidR="008B59C5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  <w:r w:rsidRPr="000A4A45">
        <w:rPr>
          <w:rFonts w:asciiTheme="minorHAnsi" w:hAnsiTheme="minorHAnsi" w:cstheme="minorHAnsi"/>
        </w:rPr>
        <w:t xml:space="preserve">Příloha č. 1 – podrobný popis </w:t>
      </w:r>
      <w:r w:rsidR="00E44A5B" w:rsidRPr="000A4A45">
        <w:rPr>
          <w:rFonts w:asciiTheme="minorHAnsi" w:hAnsiTheme="minorHAnsi" w:cstheme="minorHAnsi"/>
        </w:rPr>
        <w:t xml:space="preserve">předmětu </w:t>
      </w:r>
      <w:r w:rsidRPr="000A4A45">
        <w:rPr>
          <w:rFonts w:asciiTheme="minorHAnsi" w:hAnsiTheme="minorHAnsi" w:cstheme="minorHAnsi"/>
        </w:rPr>
        <w:t>díla</w:t>
      </w:r>
      <w:r>
        <w:rPr>
          <w:rFonts w:asciiTheme="minorHAnsi" w:hAnsiTheme="minorHAnsi" w:cstheme="minorHAnsi"/>
        </w:rPr>
        <w:t xml:space="preserve"> </w:t>
      </w:r>
    </w:p>
    <w:p w14:paraId="0BF8F0DC" w14:textId="77777777" w:rsidR="008B59C5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683CEBE1" w14:textId="77777777" w:rsidR="000A4A45" w:rsidRPr="0019021D" w:rsidRDefault="000A4A45" w:rsidP="000A4A45">
      <w:pPr>
        <w:jc w:val="both"/>
        <w:rPr>
          <w:rFonts w:cs="Calibri"/>
        </w:rPr>
      </w:pPr>
    </w:p>
    <w:p w14:paraId="04320D47" w14:textId="77777777" w:rsidR="000A4A45" w:rsidRPr="00640DB3" w:rsidRDefault="000A4A45" w:rsidP="000A4A45">
      <w:pPr>
        <w:jc w:val="both"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 xml:space="preserve">Dotazování respondentů se uskuteční v souladu se stanovanými pravidly dle ZD, případně dle projektu realizovaného pro CzT. Maximální soulad dotazníku s probíhajícím šetřením pro CzT umožní při udělení souhlasu CzT analyzovat nejen projektovaných 1600 rozhovorů stanovených v ZD, ale přinese i možnost sloučit s rozhovory realizovanými pro CzT za dané období a tím vzorek navýšit. </w:t>
      </w:r>
    </w:p>
    <w:p w14:paraId="0F341DE9" w14:textId="77777777" w:rsidR="000A4A45" w:rsidRPr="00640DB3" w:rsidRDefault="000A4A45" w:rsidP="000A4A45">
      <w:pPr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Průzkum bude realizován metodou CAPI.</w:t>
      </w:r>
    </w:p>
    <w:p w14:paraId="5D6C2133" w14:textId="77777777" w:rsidR="000A4A45" w:rsidRPr="00640DB3" w:rsidRDefault="000A4A45" w:rsidP="000A4A45">
      <w:pPr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Cílovou osobou jsou domácí návštěvníci (ve věku 18+) čtyř turistických oblastí, a to:</w:t>
      </w:r>
    </w:p>
    <w:p w14:paraId="18428C27" w14:textId="77777777" w:rsidR="000A4A45" w:rsidRPr="00640DB3" w:rsidRDefault="000A4A45" w:rsidP="000A4A45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Zlínsko-Luhačovicko,</w:t>
      </w:r>
    </w:p>
    <w:p w14:paraId="4C0779DA" w14:textId="77777777" w:rsidR="000A4A45" w:rsidRPr="00640DB3" w:rsidRDefault="000A4A45" w:rsidP="000A4A45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Kroměřížsko,</w:t>
      </w:r>
    </w:p>
    <w:p w14:paraId="55DA7730" w14:textId="77777777" w:rsidR="000A4A45" w:rsidRPr="00640DB3" w:rsidRDefault="000A4A45" w:rsidP="000A4A45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Slovácko,</w:t>
      </w:r>
    </w:p>
    <w:p w14:paraId="391B41DB" w14:textId="77777777" w:rsidR="000A4A45" w:rsidRPr="00640DB3" w:rsidRDefault="000A4A45" w:rsidP="000A4A45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Valašsko.</w:t>
      </w:r>
    </w:p>
    <w:p w14:paraId="65BA4B18" w14:textId="77777777" w:rsidR="000A4A45" w:rsidRPr="00640DB3" w:rsidRDefault="000A4A45" w:rsidP="000A4A45">
      <w:pPr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 xml:space="preserve">V každé turistické oblasti se bude realizovat n=200 rozhovorů v letní sezóně (LS, červen až srpen) a n=200 rozhovorů mimo sezónu (MS, září až listopad). Celkově tak bude v rámci průzkumu realizováno nejméně n=1600 rozhovorů s domácími návštěvníky turistických oblastí. </w:t>
      </w:r>
    </w:p>
    <w:p w14:paraId="36DFBE12" w14:textId="77777777" w:rsidR="000A4A45" w:rsidRPr="00640DB3" w:rsidRDefault="000A4A45" w:rsidP="000A4A45">
      <w:pPr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V každé turistické oblasti jsou navržena jako místa dotazování, následující lokality:</w:t>
      </w:r>
    </w:p>
    <w:p w14:paraId="408B9706" w14:textId="77777777" w:rsidR="000A4A45" w:rsidRPr="00640DB3" w:rsidRDefault="000A4A45" w:rsidP="000A4A45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TO Zlínsko-Luhačovicko (Zlín, Luhačovice),</w:t>
      </w:r>
    </w:p>
    <w:p w14:paraId="462D9CE4" w14:textId="77777777" w:rsidR="000A4A45" w:rsidRPr="00640DB3" w:rsidRDefault="000A4A45" w:rsidP="000A4A45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TO Kroměřížsko (Kroměříž, Holešov),</w:t>
      </w:r>
    </w:p>
    <w:p w14:paraId="5EE8BD41" w14:textId="77777777" w:rsidR="000A4A45" w:rsidRPr="00640DB3" w:rsidRDefault="000A4A45" w:rsidP="000A4A45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TO Slovácko (Uherské Hradiště, Uherský Brod, Buchlovice),</w:t>
      </w:r>
    </w:p>
    <w:p w14:paraId="21B14C12" w14:textId="77777777" w:rsidR="000A4A45" w:rsidRPr="00640DB3" w:rsidRDefault="000A4A45" w:rsidP="000A4A45">
      <w:pPr>
        <w:pStyle w:val="Odstavecseseznamem"/>
        <w:numPr>
          <w:ilvl w:val="0"/>
          <w:numId w:val="16"/>
        </w:numPr>
        <w:spacing w:after="200" w:line="276" w:lineRule="auto"/>
        <w:contextualSpacing/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TO Valašsko (Rožnov, Velké Karlovice).</w:t>
      </w:r>
    </w:p>
    <w:p w14:paraId="29BFFFC5" w14:textId="77777777" w:rsidR="000A4A45" w:rsidRPr="00640DB3" w:rsidRDefault="000A4A45" w:rsidP="000A4A45">
      <w:pPr>
        <w:rPr>
          <w:rFonts w:asciiTheme="minorHAnsi" w:hAnsiTheme="minorHAnsi" w:cstheme="minorHAnsi"/>
          <w:iCs/>
          <w:sz w:val="20"/>
        </w:rPr>
      </w:pPr>
      <w:r w:rsidRPr="00640DB3">
        <w:rPr>
          <w:rFonts w:asciiTheme="minorHAnsi" w:hAnsiTheme="minorHAnsi" w:cstheme="minorHAnsi"/>
          <w:iCs/>
          <w:sz w:val="20"/>
        </w:rPr>
        <w:t>Pro dotazování budou uplatněna některá pravidla, která zajišťují, aby výběrový vzorek nebyl zkreslen větším zastoupením respondentů z hromadných skupin návštěvníků. Metodicky tak bude stanoven maximální možný počet osob, které budou moci dotazovat v rámci konkrétního auta / autobusu / vlaku. V rámci jednoho osobního vozu může být dotazován pouze jeden člen posádky, přičemž primárně se bude jednat o řidiče. V případě autobusu (tzn. vozidel přepravujících více než 8 osob včetně řidiče), bude možné dotazovat nejvýše čtyři (pozn.: jak je stanoveno v ZD) pasažéry, bez vzájemného partnerského / rodinného vztahu.</w:t>
      </w:r>
    </w:p>
    <w:p w14:paraId="45C3E901" w14:textId="77777777" w:rsidR="000A4A45" w:rsidRPr="00640DB3" w:rsidRDefault="000A4A45" w:rsidP="000A4A45">
      <w:pPr>
        <w:rPr>
          <w:rFonts w:asciiTheme="minorHAnsi" w:hAnsiTheme="minorHAnsi" w:cstheme="minorHAnsi"/>
          <w:iCs/>
          <w:sz w:val="20"/>
        </w:rPr>
      </w:pPr>
    </w:p>
    <w:p w14:paraId="07CEAD4C" w14:textId="77777777" w:rsidR="000A4A45" w:rsidRPr="00640DB3" w:rsidRDefault="000A4A45" w:rsidP="000A4A45">
      <w:pPr>
        <w:rPr>
          <w:rFonts w:asciiTheme="minorHAnsi" w:hAnsiTheme="minorHAnsi" w:cstheme="minorHAnsi"/>
          <w:b/>
          <w:iCs/>
          <w:sz w:val="20"/>
        </w:rPr>
      </w:pPr>
      <w:r w:rsidRPr="00640DB3">
        <w:rPr>
          <w:rFonts w:asciiTheme="minorHAnsi" w:hAnsiTheme="minorHAnsi" w:cstheme="minorHAnsi"/>
          <w:b/>
          <w:iCs/>
          <w:sz w:val="20"/>
        </w:rPr>
        <w:t>Návrh Harmonogramu</w:t>
      </w:r>
    </w:p>
    <w:p w14:paraId="1EDAFF99" w14:textId="77777777" w:rsidR="000A4A45" w:rsidRDefault="000A4A45" w:rsidP="000A4A45">
      <w:pPr>
        <w:rPr>
          <w:rFonts w:ascii="Tahoma" w:hAnsi="Tahoma" w:cs="Tahoma"/>
          <w:iCs/>
          <w:sz w:val="20"/>
        </w:rPr>
      </w:pPr>
      <w:r w:rsidRPr="0059170C">
        <w:rPr>
          <w:noProof/>
        </w:rPr>
        <w:drawing>
          <wp:inline distT="0" distB="0" distL="0" distR="0" wp14:anchorId="528C52E5" wp14:editId="6C54EB83">
            <wp:extent cx="5759450" cy="2167426"/>
            <wp:effectExtent l="0" t="0" r="0" b="444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6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A45" w:rsidSect="00E31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4BBA" w14:textId="77777777" w:rsidR="007A700C" w:rsidRDefault="007A700C">
      <w:r>
        <w:separator/>
      </w:r>
    </w:p>
  </w:endnote>
  <w:endnote w:type="continuationSeparator" w:id="0">
    <w:p w14:paraId="0FA732C1" w14:textId="77777777" w:rsidR="007A700C" w:rsidRDefault="007A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9BBF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475A">
      <w:rPr>
        <w:noProof/>
      </w:rPr>
      <w:t>1</w:t>
    </w:r>
    <w:r>
      <w:fldChar w:fldCharType="end"/>
    </w:r>
  </w:p>
  <w:p w14:paraId="185DDB09" w14:textId="77777777" w:rsidR="00726A96" w:rsidRDefault="00C43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B251" w14:textId="77777777" w:rsidR="007A700C" w:rsidRDefault="007A700C">
      <w:r>
        <w:separator/>
      </w:r>
    </w:p>
  </w:footnote>
  <w:footnote w:type="continuationSeparator" w:id="0">
    <w:p w14:paraId="2DC49171" w14:textId="77777777" w:rsidR="007A700C" w:rsidRDefault="007A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B5DF" w14:textId="77777777" w:rsidR="001C57E6" w:rsidRDefault="001C57E6" w:rsidP="001C57E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017A1" wp14:editId="546745AB">
          <wp:simplePos x="0" y="0"/>
          <wp:positionH relativeFrom="column">
            <wp:posOffset>4822190</wp:posOffset>
          </wp:positionH>
          <wp:positionV relativeFrom="paragraph">
            <wp:posOffset>-61595</wp:posOffset>
          </wp:positionV>
          <wp:extent cx="907415" cy="51562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54" b="21326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E88438" wp14:editId="2B251CAE">
          <wp:extent cx="1555750" cy="615950"/>
          <wp:effectExtent l="0" t="0" r="6350" b="0"/>
          <wp:docPr id="1" name="Obrázek 1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2F4EB" w14:textId="77777777" w:rsidR="001C57E6" w:rsidRPr="001C57E6" w:rsidRDefault="001C57E6" w:rsidP="001C57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B21B78"/>
    <w:multiLevelType w:val="hybridMultilevel"/>
    <w:tmpl w:val="1366819A"/>
    <w:lvl w:ilvl="0" w:tplc="C188087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45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087237">
    <w:abstractNumId w:val="6"/>
  </w:num>
  <w:num w:numId="3" w16cid:durableId="287704081">
    <w:abstractNumId w:val="11"/>
  </w:num>
  <w:num w:numId="4" w16cid:durableId="1105343468">
    <w:abstractNumId w:val="3"/>
  </w:num>
  <w:num w:numId="5" w16cid:durableId="1296180383">
    <w:abstractNumId w:val="7"/>
  </w:num>
  <w:num w:numId="6" w16cid:durableId="1001931723">
    <w:abstractNumId w:val="8"/>
  </w:num>
  <w:num w:numId="7" w16cid:durableId="81882177">
    <w:abstractNumId w:val="10"/>
  </w:num>
  <w:num w:numId="8" w16cid:durableId="1205405375">
    <w:abstractNumId w:val="5"/>
  </w:num>
  <w:num w:numId="9" w16cid:durableId="1989896799">
    <w:abstractNumId w:val="2"/>
  </w:num>
  <w:num w:numId="10" w16cid:durableId="231432008">
    <w:abstractNumId w:val="12"/>
  </w:num>
  <w:num w:numId="11" w16cid:durableId="268512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7076329">
    <w:abstractNumId w:val="1"/>
  </w:num>
  <w:num w:numId="13" w16cid:durableId="1692952621">
    <w:abstractNumId w:val="4"/>
  </w:num>
  <w:num w:numId="14" w16cid:durableId="497235492">
    <w:abstractNumId w:val="0"/>
  </w:num>
  <w:num w:numId="15" w16cid:durableId="86316947">
    <w:abstractNumId w:val="1"/>
  </w:num>
  <w:num w:numId="16" w16cid:durableId="1004430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63872"/>
    <w:rsid w:val="0008610C"/>
    <w:rsid w:val="000A4A45"/>
    <w:rsid w:val="000E7DC5"/>
    <w:rsid w:val="0010401B"/>
    <w:rsid w:val="0014270A"/>
    <w:rsid w:val="001515EA"/>
    <w:rsid w:val="00165AB8"/>
    <w:rsid w:val="001A0A6D"/>
    <w:rsid w:val="001C57E6"/>
    <w:rsid w:val="001C7FAA"/>
    <w:rsid w:val="0020475A"/>
    <w:rsid w:val="00234D97"/>
    <w:rsid w:val="002D3881"/>
    <w:rsid w:val="003B600C"/>
    <w:rsid w:val="003F0ECA"/>
    <w:rsid w:val="00415E74"/>
    <w:rsid w:val="00477F7E"/>
    <w:rsid w:val="004B5C9F"/>
    <w:rsid w:val="004E3F7E"/>
    <w:rsid w:val="004F1DDA"/>
    <w:rsid w:val="00500C4B"/>
    <w:rsid w:val="005439FE"/>
    <w:rsid w:val="005E79E4"/>
    <w:rsid w:val="006163E0"/>
    <w:rsid w:val="00632AC9"/>
    <w:rsid w:val="00640DB3"/>
    <w:rsid w:val="006563E8"/>
    <w:rsid w:val="006603B8"/>
    <w:rsid w:val="006630CC"/>
    <w:rsid w:val="006957EA"/>
    <w:rsid w:val="00783CB6"/>
    <w:rsid w:val="007A700C"/>
    <w:rsid w:val="00821A11"/>
    <w:rsid w:val="008770F9"/>
    <w:rsid w:val="008B59C5"/>
    <w:rsid w:val="008F2C94"/>
    <w:rsid w:val="008F74F3"/>
    <w:rsid w:val="00945686"/>
    <w:rsid w:val="0096406C"/>
    <w:rsid w:val="0097101C"/>
    <w:rsid w:val="0098402C"/>
    <w:rsid w:val="0099720F"/>
    <w:rsid w:val="009B3C53"/>
    <w:rsid w:val="009C3BD6"/>
    <w:rsid w:val="00A643D3"/>
    <w:rsid w:val="00A75CDB"/>
    <w:rsid w:val="00B26670"/>
    <w:rsid w:val="00B34C1B"/>
    <w:rsid w:val="00B35461"/>
    <w:rsid w:val="00B43DF2"/>
    <w:rsid w:val="00B60926"/>
    <w:rsid w:val="00B63C94"/>
    <w:rsid w:val="00BA5432"/>
    <w:rsid w:val="00BB4CE5"/>
    <w:rsid w:val="00BD7E6F"/>
    <w:rsid w:val="00C16117"/>
    <w:rsid w:val="00C434BE"/>
    <w:rsid w:val="00CC3F47"/>
    <w:rsid w:val="00CE05BE"/>
    <w:rsid w:val="00D02859"/>
    <w:rsid w:val="00D069D6"/>
    <w:rsid w:val="00D367A9"/>
    <w:rsid w:val="00DD3C76"/>
    <w:rsid w:val="00DE4029"/>
    <w:rsid w:val="00E00679"/>
    <w:rsid w:val="00E045E5"/>
    <w:rsid w:val="00E13B72"/>
    <w:rsid w:val="00E24195"/>
    <w:rsid w:val="00E44A5B"/>
    <w:rsid w:val="00E6275B"/>
    <w:rsid w:val="00F0055C"/>
    <w:rsid w:val="00F01879"/>
    <w:rsid w:val="00F134C8"/>
    <w:rsid w:val="00F4178A"/>
    <w:rsid w:val="00F622E8"/>
    <w:rsid w:val="00F868DD"/>
    <w:rsid w:val="00F94A4C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5F027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4A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aliases w:val="List Paragraph (Czech Tourism),Conclusion de partie,A-Odrážky1,Nad,Odstavec_muj,_Odstavec se seznamem,List Paragraph,Odstavec_muj1,Odstavec_muj2,Odstavec_muj3,Nad1,Odstavec_muj4,Nad2,List Paragraph2,Odstavec_muj5,Odstavec_muj6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Conclusion de partie Char,A-Odrážky1 Char,Nad Char,Odstavec_muj Char,_Odstavec se seznamem Char,List Paragraph Char,Odstavec_muj1 Char,Odstavec_muj2 Char,Odstavec_muj3 Char,Nad1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5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7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0A4A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1905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Veronika Krahulová</cp:lastModifiedBy>
  <cp:revision>3</cp:revision>
  <cp:lastPrinted>2022-05-11T08:26:00Z</cp:lastPrinted>
  <dcterms:created xsi:type="dcterms:W3CDTF">2022-06-02T20:09:00Z</dcterms:created>
  <dcterms:modified xsi:type="dcterms:W3CDTF">2022-06-10T09:06:00Z</dcterms:modified>
</cp:coreProperties>
</file>