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Smlouva o poskytování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pracovnělékařských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služeb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ve smyslu ustanovení § 53 zákona č. 373/2011 Sb., </w:t>
      </w:r>
      <w:r>
        <w:rPr>
          <w:rFonts w:ascii="Times New Roman" w:eastAsia="Times New Roman" w:hAnsi="Times New Roman" w:cs="Times New Roman"/>
          <w:color w:val="000000"/>
        </w:rPr>
        <w:br/>
        <w:t>o specifických zdravotních službách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dy6vkm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Smluvní strany: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</w:p>
    <w:p w:rsidR="00FC313E" w:rsidRDefault="00A748A5">
      <w:pPr>
        <w:widowControl/>
        <w:rPr>
          <w:rFonts w:ascii="Quattrocento Sans" w:eastAsia="Quattrocento Sans" w:hAnsi="Quattrocento Sans" w:cs="Quattrocento Sans"/>
          <w:b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G - centrum Tábor</w:t>
      </w:r>
    </w:p>
    <w:p w:rsidR="00FC313E" w:rsidRDefault="00A748A5">
      <w:pPr>
        <w:widowControl/>
        <w:shd w:val="clear" w:color="auto" w:fill="FFFFFF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Adresa provozovny: 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:rsidR="00FC313E" w:rsidRDefault="00A748A5">
      <w:pPr>
        <w:widowControl/>
        <w:shd w:val="clear" w:color="auto" w:fill="FFFFFF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</w:rPr>
        <w:t xml:space="preserve">Se sídlem: </w:t>
      </w:r>
      <w:r>
        <w:rPr>
          <w:rFonts w:ascii="Cambria" w:eastAsia="Cambria" w:hAnsi="Cambria" w:cs="Cambria"/>
          <w:color w:val="000000"/>
        </w:rPr>
        <w:t xml:space="preserve">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:rsidR="00FC313E" w:rsidRDefault="00A748A5">
      <w:pPr>
        <w:widowControl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Korespondenční adresa:</w:t>
      </w:r>
      <w:r>
        <w:rPr>
          <w:rFonts w:ascii="Cambria" w:eastAsia="Cambria" w:hAnsi="Cambria" w:cs="Cambria"/>
          <w:color w:val="000000"/>
        </w:rPr>
        <w:t xml:space="preserve"> 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:rsidR="00FC313E" w:rsidRDefault="00A748A5">
      <w:pPr>
        <w:widowControl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IČO: </w:t>
      </w:r>
      <w:r>
        <w:rPr>
          <w:rFonts w:ascii="Cambria" w:eastAsia="Cambria" w:hAnsi="Cambria" w:cs="Cambria"/>
          <w:color w:val="000000"/>
          <w:highlight w:val="white"/>
        </w:rPr>
        <w:t>67189393</w:t>
      </w:r>
    </w:p>
    <w:p w:rsidR="00FC313E" w:rsidRDefault="00A748A5">
      <w:pPr>
        <w:widowControl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Zastoupena: </w:t>
      </w:r>
      <w:r>
        <w:rPr>
          <w:rFonts w:ascii="Cambria" w:eastAsia="Cambria" w:hAnsi="Cambria" w:cs="Cambria"/>
          <w:color w:val="000000"/>
          <w:highlight w:val="white"/>
        </w:rPr>
        <w:t>PhDr. Jaroslavou Kotalíkovou, ředitelkou</w:t>
      </w:r>
    </w:p>
    <w:p w:rsidR="00FC313E" w:rsidRDefault="00A748A5">
      <w:pPr>
        <w:widowControl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Bankovní spojení: </w:t>
      </w:r>
      <w:proofErr w:type="spellStart"/>
      <w:r>
        <w:rPr>
          <w:rFonts w:ascii="Cambria" w:eastAsia="Cambria" w:hAnsi="Cambria" w:cs="Cambria"/>
        </w:rPr>
        <w:t>Raiffeisen</w:t>
      </w:r>
      <w:proofErr w:type="spellEnd"/>
      <w:r>
        <w:rPr>
          <w:rFonts w:ascii="Cambria" w:eastAsia="Cambria" w:hAnsi="Cambria" w:cs="Cambria"/>
        </w:rPr>
        <w:t xml:space="preserve"> BANK, č. </w:t>
      </w:r>
      <w:proofErr w:type="spellStart"/>
      <w:r>
        <w:rPr>
          <w:rFonts w:ascii="Cambria" w:eastAsia="Cambria" w:hAnsi="Cambria" w:cs="Cambria"/>
        </w:rPr>
        <w:t>ú.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 w:rsidR="005C111D">
        <w:rPr>
          <w:rFonts w:ascii="Cambria" w:eastAsia="Cambria" w:hAnsi="Cambria" w:cs="Cambria"/>
          <w:color w:val="000000"/>
        </w:rPr>
        <w:t>xxxxxxxxxxx</w:t>
      </w:r>
      <w:proofErr w:type="spellEnd"/>
    </w:p>
    <w:p w:rsidR="00FC313E" w:rsidRDefault="00A748A5">
      <w:pPr>
        <w:widowControl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Organizace zapsaná v obchodním rejstříku vedeném Krajským soudem v 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v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Českých Budějovicích, </w:t>
      </w:r>
      <w:proofErr w:type="gramStart"/>
      <w:r>
        <w:rPr>
          <w:rFonts w:ascii="Cambria" w:eastAsia="Cambria" w:hAnsi="Cambria" w:cs="Cambria"/>
          <w:color w:val="000000"/>
          <w:highlight w:val="white"/>
        </w:rPr>
        <w:t>Pr.120</w:t>
      </w:r>
      <w:proofErr w:type="gramEnd"/>
    </w:p>
    <w:p w:rsidR="00FC313E" w:rsidRDefault="00A748A5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ambria" w:eastAsia="Cambria" w:hAnsi="Cambria" w:cs="Cambria"/>
        </w:rPr>
        <w:t xml:space="preserve">Kontakt: </w:t>
      </w:r>
      <w:r w:rsidR="005C111D">
        <w:rPr>
          <w:rFonts w:ascii="Cambria" w:eastAsia="Cambria" w:hAnsi="Cambria" w:cs="Cambria"/>
          <w:color w:val="000000"/>
        </w:rPr>
        <w:t xml:space="preserve">tel: </w:t>
      </w:r>
      <w:proofErr w:type="spellStart"/>
      <w:proofErr w:type="gramStart"/>
      <w:r w:rsidR="005C111D">
        <w:rPr>
          <w:rFonts w:ascii="Cambria" w:eastAsia="Cambria" w:hAnsi="Cambria" w:cs="Cambria"/>
          <w:color w:val="000000"/>
        </w:rPr>
        <w:t>xxxxxxxxxxx</w:t>
      </w:r>
      <w:proofErr w:type="spellEnd"/>
      <w:r w:rsidR="005C111D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222222"/>
        </w:rPr>
        <w:t xml:space="preserve">, </w:t>
      </w:r>
      <w:r>
        <w:rPr>
          <w:rFonts w:ascii="Cambria" w:eastAsia="Cambria" w:hAnsi="Cambria" w:cs="Cambria"/>
          <w:color w:val="000000"/>
        </w:rPr>
        <w:t>mail</w:t>
      </w:r>
      <w:proofErr w:type="gramEnd"/>
      <w:r>
        <w:rPr>
          <w:rFonts w:ascii="Cambria" w:eastAsia="Cambria" w:hAnsi="Cambria" w:cs="Cambria"/>
          <w:color w:val="000000"/>
        </w:rPr>
        <w:t>: </w:t>
      </w:r>
      <w:proofErr w:type="spellStart"/>
      <w:r>
        <w:fldChar w:fldCharType="begin"/>
      </w:r>
      <w:r>
        <w:instrText xml:space="preserve"> HYPERLINK "mailto:g.centrum@centrum.cz" \h </w:instrText>
      </w:r>
      <w:r>
        <w:fldChar w:fldCharType="separate"/>
      </w:r>
      <w:r w:rsidR="005C111D">
        <w:rPr>
          <w:rFonts w:ascii="Cambria" w:eastAsia="Cambria" w:hAnsi="Cambria" w:cs="Cambria"/>
          <w:color w:val="1155CC"/>
          <w:u w:val="single"/>
        </w:rPr>
        <w:t>xxxxxxxxxxxxx</w:t>
      </w:r>
      <w:proofErr w:type="spellEnd"/>
      <w:r>
        <w:rPr>
          <w:rFonts w:ascii="Cambria" w:eastAsia="Cambria" w:hAnsi="Cambria" w:cs="Cambria"/>
          <w:color w:val="1155CC"/>
          <w:u w:val="single"/>
        </w:rPr>
        <w:fldChar w:fldCharType="end"/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(dále jen „zaměstnavatel“)</w:t>
      </w:r>
    </w:p>
    <w:p w:rsidR="00FC313E" w:rsidRDefault="00FC313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</w:t>
      </w:r>
    </w:p>
    <w:p w:rsidR="00FC313E" w:rsidRDefault="00FC313E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Všeobecný lékař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Prevent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s.r.o.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Sídlo společnosti: 1. máje 67, 281 63  Kozojedy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Korespondenční adresa: Vnoučkova 2008, 256 01 Benešov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Zastoupena: Ing. Tomášem Janovským, jednatelem 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IČ: </w:t>
      </w:r>
      <w:r>
        <w:rPr>
          <w:rFonts w:ascii="Times New Roman" w:eastAsia="Times New Roman" w:hAnsi="Times New Roman" w:cs="Times New Roman"/>
          <w:color w:val="000000"/>
        </w:rPr>
        <w:t xml:space="preserve">08617368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DIČ: CZ08617368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Bankovní spojení: MONETA Money Bank a.s.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Čís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lo účtu: </w:t>
      </w:r>
      <w:proofErr w:type="spellStart"/>
      <w:r w:rsidR="005C111D">
        <w:rPr>
          <w:rFonts w:ascii="Times New Roman" w:eastAsia="Times New Roman" w:hAnsi="Times New Roman" w:cs="Times New Roman"/>
          <w:color w:val="000000"/>
          <w:highlight w:val="white"/>
        </w:rPr>
        <w:t>xxxxxxxxxxx</w:t>
      </w:r>
      <w:proofErr w:type="spellEnd"/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Zapsána v obchodním rejstříku vedeném Městským soudem v Praze, oddíl C, vložka 322066</w:t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Kontakt: </w:t>
      </w:r>
      <w:proofErr w:type="spellStart"/>
      <w:r w:rsidR="005C111D">
        <w:rPr>
          <w:rFonts w:ascii="Times New Roman" w:eastAsia="Times New Roman" w:hAnsi="Times New Roman" w:cs="Times New Roman"/>
          <w:color w:val="000000"/>
          <w:highlight w:val="white"/>
        </w:rPr>
        <w:t>xxxxxxxxxxx</w:t>
      </w:r>
      <w:proofErr w:type="spellEnd"/>
      <w:r w:rsidR="005C111D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cz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tel: </w:t>
      </w:r>
      <w:r w:rsidR="005C111D">
        <w:rPr>
          <w:rFonts w:ascii="Times New Roman" w:eastAsia="Times New Roman" w:hAnsi="Times New Roman" w:cs="Times New Roman"/>
          <w:color w:val="000000"/>
        </w:rPr>
        <w:t>xxxxxxxxxxx</w:t>
      </w:r>
      <w:bookmarkStart w:id="3" w:name="_GoBack"/>
      <w:bookmarkEnd w:id="3"/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fldChar w:fldCharType="begin"/>
      </w:r>
      <w:r>
        <w:instrText xml:space="preserve"> HYPERLINK "http://www.vseobecnylekar.cz/"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highlight w:val="white"/>
          <w:u w:val="single"/>
        </w:rPr>
        <w:t>www.vseobecnylekar.cz</w:t>
      </w:r>
      <w:r>
        <w:rPr>
          <w:rFonts w:ascii="Times New Roman" w:eastAsia="Times New Roman" w:hAnsi="Times New Roman" w:cs="Times New Roman"/>
          <w:color w:val="000000"/>
          <w:highlight w:val="white"/>
          <w:u w:val="single"/>
        </w:rPr>
        <w:fldChar w:fldCharType="end"/>
      </w:r>
    </w:p>
    <w:p w:rsidR="00FC313E" w:rsidRDefault="00A748A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262626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(dále jen „poskytovatel“)</w:t>
      </w:r>
    </w:p>
    <w:p w:rsidR="00FC313E" w:rsidRDefault="00FC313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uzavírají níže uvedeného dne, měsíce a roku tuto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Smlouvu o poskytování </w:t>
      </w:r>
      <w:proofErr w:type="spellStart"/>
      <w:r>
        <w:rPr>
          <w:rFonts w:ascii="Times New Roman" w:eastAsia="Times New Roman" w:hAnsi="Times New Roman" w:cs="Times New Roman"/>
          <w:b/>
        </w:rPr>
        <w:t>pracovnělékařských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služeb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Předmět smlouvy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Předmětem této smlouvy je závazek poskytovatele zajišťovat pro zaměstnavatele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služby ve smyslu zákona č. 262/2006 Sb., zákoník práce, ve znění pozdějších předpisů, zákona č. 373/2011 Sb., o specifických zdravotních službách, ve znění pozdě</w:t>
      </w:r>
      <w:r>
        <w:rPr>
          <w:rFonts w:ascii="Times New Roman" w:eastAsia="Times New Roman" w:hAnsi="Times New Roman" w:cs="Times New Roman"/>
        </w:rPr>
        <w:t xml:space="preserve">jších předpisů a právních předpisů vydaných k jeho provedení a závazek zaměstnavatele poskytnout poskytovateli veškerou součinnost a uhradit za poskytnuté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služby (dále jen „PLS“) úhradu ve sjednané výši.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  <w:t>Poskytovatel tímto prohlašuje</w:t>
      </w:r>
      <w:r>
        <w:rPr>
          <w:rFonts w:ascii="Times New Roman" w:eastAsia="Times New Roman" w:hAnsi="Times New Roman" w:cs="Times New Roman"/>
        </w:rPr>
        <w:t>, že splňuje podmínky pro poskytování PLS ve smyslu ustanovení § 53, odst. 1 zákona o specifických zdravotních službách.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115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II.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Posudková péče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Poskytovatel je povinen vykonávat v rámci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 posudkovou péči, zejména hodnotit zdravotní stav uchazečů o zaměstnání u zaměstnavatele a zaměstnanců za účelem posouzení jejich zdravotní způsobilosti k práci.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-217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Zaměstnavatel bere na věd</w:t>
      </w:r>
      <w:r>
        <w:rPr>
          <w:rFonts w:ascii="Times New Roman" w:eastAsia="Times New Roman" w:hAnsi="Times New Roman" w:cs="Times New Roman"/>
        </w:rPr>
        <w:t xml:space="preserve">omí, že v případě odeslání zaměstnance nebo uchazeče o zaměstnání k lékařské prohlídce v rámci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 je povinen vybavit odesílaného zaměstnance nebo uchazeče o zaměstnání </w:t>
      </w:r>
      <w:r>
        <w:rPr>
          <w:rFonts w:ascii="Times New Roman" w:eastAsia="Times New Roman" w:hAnsi="Times New Roman" w:cs="Times New Roman"/>
          <w:b/>
        </w:rPr>
        <w:t xml:space="preserve">písemnou žádostí o provedení lékařské prohlídky </w:t>
      </w:r>
      <w:r>
        <w:rPr>
          <w:rFonts w:ascii="Times New Roman" w:eastAsia="Times New Roman" w:hAnsi="Times New Roman" w:cs="Times New Roman"/>
        </w:rPr>
        <w:t xml:space="preserve">s uvedením druhu </w:t>
      </w:r>
      <w:r>
        <w:rPr>
          <w:rFonts w:ascii="Times New Roman" w:eastAsia="Times New Roman" w:hAnsi="Times New Roman" w:cs="Times New Roman"/>
        </w:rPr>
        <w:t>práce, režimu práce a pracovních podmínek. Vzor písemné žádosti je nedílnou přílohou této smlouvy jako</w:t>
      </w:r>
      <w:r>
        <w:rPr>
          <w:rFonts w:ascii="Times New Roman" w:eastAsia="Times New Roman" w:hAnsi="Times New Roman" w:cs="Times New Roman"/>
          <w:b/>
        </w:rPr>
        <w:t xml:space="preserve"> příloha č. 1.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Poskytovatel se zavazuje poskytovat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služby na základě této smlouvy s veškerou profesionální péčí a podle obecně závazných</w:t>
      </w:r>
      <w:r>
        <w:rPr>
          <w:rFonts w:ascii="Times New Roman" w:eastAsia="Times New Roman" w:hAnsi="Times New Roman" w:cs="Times New Roman"/>
        </w:rPr>
        <w:t xml:space="preserve"> právních předpisů a této smlouvy. Poskytovatel se zavazuje vyhotovit lékařský posudek vždy tak, aby splňoval veškeré náležitosti vyplývající z obecně závazných právních předpisů.  Vzor posudku je nedílnou přílohou této smlouvy jako</w:t>
      </w:r>
      <w:r>
        <w:rPr>
          <w:rFonts w:ascii="Times New Roman" w:eastAsia="Times New Roman" w:hAnsi="Times New Roman" w:cs="Times New Roman"/>
          <w:b/>
        </w:rPr>
        <w:t xml:space="preserve"> příloha č. 2.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</w:t>
      </w:r>
      <w:r>
        <w:rPr>
          <w:rFonts w:ascii="Times New Roman" w:eastAsia="Times New Roman" w:hAnsi="Times New Roman" w:cs="Times New Roman"/>
        </w:rPr>
        <w:t>atel je povinen vydat lékařský posudek neprodleně, nejpozději však ve lhůtě 10</w:t>
      </w:r>
      <w:r>
        <w:rPr>
          <w:rFonts w:ascii="Times New Roman" w:eastAsia="Times New Roman" w:hAnsi="Times New Roman" w:cs="Times New Roman"/>
        </w:rPr>
        <w:t xml:space="preserve"> pracovních</w:t>
      </w:r>
      <w:r>
        <w:rPr>
          <w:rFonts w:ascii="Times New Roman" w:eastAsia="Times New Roman" w:hAnsi="Times New Roman" w:cs="Times New Roman"/>
        </w:rPr>
        <w:t xml:space="preserve"> dnů od obdržení žádosti o provedení lékařské prohlídky nebo, jedná-li se o lékařský posudek podle ustanovení § 43 odst. 1 b) a c) zákona č. 373/2011 Sb. do 45 pracovních dnů ode dne obdržení žádosti o provedení lékařské prohlídky. </w:t>
      </w:r>
      <w:r>
        <w:rPr>
          <w:rFonts w:ascii="Times New Roman" w:eastAsia="Times New Roman" w:hAnsi="Times New Roman" w:cs="Times New Roman"/>
        </w:rPr>
        <w:tab/>
        <w:t>Lhůty neběží do obdržen</w:t>
      </w:r>
      <w:r>
        <w:rPr>
          <w:rFonts w:ascii="Times New Roman" w:eastAsia="Times New Roman" w:hAnsi="Times New Roman" w:cs="Times New Roman"/>
        </w:rPr>
        <w:t xml:space="preserve">í posledního potřebného podkladu pro posouzení zdravotní způsobilosti nebo zdravotního stavu.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Pokud poskytovatel zjistí, že uchazeč o zaměstnání není zdravotně způsobilý k výkonu práce nebo je k výkonu práce způsobilý pouze s podmínkou, nebo odmítne-li s</w:t>
      </w:r>
      <w:r>
        <w:rPr>
          <w:rFonts w:ascii="Times New Roman" w:eastAsia="Times New Roman" w:hAnsi="Times New Roman" w:cs="Times New Roman"/>
        </w:rPr>
        <w:t>e uchazeč podrobit lékařské prohlídce, poskytovatel je povinen o tom neprodleně informovat zaměstnavatele, a to písemně bez zbytečného odkladu po zjištění rozhodné skutečnosti poskytovatelem.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348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Pokud poskytovatel zjistí, že zaměstnanec dlouhodobě pozbyl způsobilost konat dále dosavadní práci nebo je k výkonu práce způsobilý pouze s podmínkou, nebo odmítne-li se uchazeč podrobit lékařské prohlídce, poskytovatel je povinen o tom neprodleně informov</w:t>
      </w:r>
      <w:r>
        <w:rPr>
          <w:rFonts w:ascii="Times New Roman" w:eastAsia="Times New Roman" w:hAnsi="Times New Roman" w:cs="Times New Roman"/>
        </w:rPr>
        <w:t>at zaměstnavatele, a to písemně bez zbytečného odkladu po zjištění rozhodné skutečnosti poskytovatelem.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je povinen informovat zaměstnance o možném vlivu faktorů pracovních podmínek na zdraví, a to se znalostí vývoje jeho zdravotního stavu.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oskytovatel je oprávněn poskytovat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služby podle této smlouvy i prostřednictvím třetí osoby v ordinacích, které jsou nebo budou zveřejněny na webových </w:t>
      </w:r>
      <w:proofErr w:type="gramStart"/>
      <w:r>
        <w:rPr>
          <w:rFonts w:ascii="Times New Roman" w:eastAsia="Times New Roman" w:hAnsi="Times New Roman" w:cs="Times New Roman"/>
        </w:rPr>
        <w:t>stránkách</w:t>
      </w:r>
      <w:proofErr w:type="gramEnd"/>
      <w:r>
        <w:rPr>
          <w:rFonts w:ascii="Times New Roman" w:eastAsia="Times New Roman" w:hAnsi="Times New Roman" w:cs="Times New Roman"/>
        </w:rPr>
        <w:t> </w:t>
      </w:r>
      <w:hyperlink r:id="rId8">
        <w:r>
          <w:rPr>
            <w:rFonts w:ascii="Times New Roman" w:eastAsia="Times New Roman" w:hAnsi="Times New Roman" w:cs="Times New Roman"/>
            <w:color w:val="4285F4"/>
            <w:u w:val="single"/>
          </w:rPr>
          <w:t>www.vseobecnylekar.cz</w:t>
        </w:r>
      </w:hyperlink>
      <w:r>
        <w:rPr>
          <w:rFonts w:ascii="Times New Roman" w:eastAsia="Times New Roman" w:hAnsi="Times New Roman" w:cs="Times New Roman"/>
          <w:color w:val="000000"/>
        </w:rPr>
        <w:t>,  a to v</w:t>
      </w:r>
      <w:r>
        <w:rPr>
          <w:rFonts w:ascii="Times New Roman" w:eastAsia="Times New Roman" w:hAnsi="Times New Roman" w:cs="Times New Roman"/>
          <w:color w:val="000000"/>
        </w:rPr>
        <w:t> ordinačních hodinách těchto ordinací.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III.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Povinnosti zaměstnavatele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 xml:space="preserve">Zaměstnavatel je povinen poskytovateli nebo jeho pověřeným zaměstnancům  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poskytnout veškeré informace potřebné k zajištění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služeb, zejména předat </w:t>
      </w:r>
      <w:r>
        <w:rPr>
          <w:rFonts w:ascii="Times New Roman" w:eastAsia="Times New Roman" w:hAnsi="Times New Roman" w:cs="Times New Roman"/>
          <w:b/>
        </w:rPr>
        <w:t>aktualizovaný seznam zaměstnanců a jejich pracovního zařazení s uvedením pracoviště a rozhodnutí orgánu ochrany veřejného zdraví o kategorizaci prací,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umožnit vstup na každé pracoviště a sdělit poskytovateli nebo jeho pověřeným zaměstnancům informace potře</w:t>
      </w:r>
      <w:r>
        <w:rPr>
          <w:rFonts w:ascii="Times New Roman" w:eastAsia="Times New Roman" w:hAnsi="Times New Roman" w:cs="Times New Roman"/>
        </w:rPr>
        <w:t xml:space="preserve">bné k hodnocení a prevenci rizik možného ohrožení </w:t>
      </w:r>
      <w:r>
        <w:rPr>
          <w:rFonts w:ascii="Times New Roman" w:eastAsia="Times New Roman" w:hAnsi="Times New Roman" w:cs="Times New Roman"/>
        </w:rPr>
        <w:lastRenderedPageBreak/>
        <w:t xml:space="preserve">života nebo zdraví na pracovišti, včetně výsledků měření faktorů pracovních podmínek, 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umožnit vstup na pracoviště, kde zaměstnanec nebo bývalý zaměstnanec pracuje nebo pracoval za podmínek, jejichž vlivem </w:t>
      </w:r>
      <w:r>
        <w:rPr>
          <w:rFonts w:ascii="Times New Roman" w:eastAsia="Times New Roman" w:hAnsi="Times New Roman" w:cs="Times New Roman"/>
        </w:rPr>
        <w:t>posuzovaná nemoc z povolání vznikla, a to za účelem zjištění dalších skutečností nebo provedení klinického testu, popřípadě odebrání vzorku materiálu nebo pořízení audiovizuálního záznamu potřebného k posouzení nemoci z povolání,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předložit technickou dokum</w:t>
      </w:r>
      <w:r>
        <w:rPr>
          <w:rFonts w:ascii="Times New Roman" w:eastAsia="Times New Roman" w:hAnsi="Times New Roman" w:cs="Times New Roman"/>
        </w:rPr>
        <w:t xml:space="preserve">entaci zařízení, 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sdělit veškeré další informace rozhodné pro ochranu z</w:t>
      </w:r>
      <w:r>
        <w:rPr>
          <w:rFonts w:ascii="Times New Roman" w:eastAsia="Times New Roman" w:hAnsi="Times New Roman" w:cs="Times New Roman"/>
          <w:highlight w:val="white"/>
        </w:rPr>
        <w:t>draví při práci, a jemu známé nebo podezřelé skutečnosti související s ochranou zdraví při práci,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předložit do dvou dní od podpisu smlouvy seznam zaměstnanců a do sedmi dní před vstupní</w:t>
      </w:r>
      <w:r>
        <w:rPr>
          <w:rFonts w:ascii="Times New Roman" w:eastAsia="Times New Roman" w:hAnsi="Times New Roman" w:cs="Times New Roman"/>
          <w:highlight w:val="white"/>
        </w:rPr>
        <w:t xml:space="preserve"> prohlídkou </w:t>
      </w:r>
      <w:r>
        <w:rPr>
          <w:rFonts w:ascii="Times New Roman" w:eastAsia="Times New Roman" w:hAnsi="Times New Roman" w:cs="Times New Roman"/>
          <w:b/>
          <w:highlight w:val="white"/>
        </w:rPr>
        <w:t>Rozhodnutí krajské hygienické stanice - kategorizace práce,</w:t>
      </w:r>
    </w:p>
    <w:p w:rsidR="00FC313E" w:rsidRDefault="00A748A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highlight w:val="white"/>
        </w:rPr>
        <w:t xml:space="preserve">Upozornit svého současného či budoucího zaměstnance před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pracovnělékařskou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prohlídkou prováděnou na základě této smlouvy na to, že při prohlídce je povinen předložit výpis ze své zdrav</w:t>
      </w:r>
      <w:r>
        <w:rPr>
          <w:rFonts w:ascii="Times New Roman" w:eastAsia="Times New Roman" w:hAnsi="Times New Roman" w:cs="Times New Roman"/>
          <w:highlight w:val="white"/>
        </w:rPr>
        <w:t>otní dokumentace vedené jeho registrujícím lékařem - poskytovatelem zdravotních služeb v oboru všeobecné praktické lékařství.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  <w:t>Zaměstnavatel je povinen na žádost poskytovatele zajistit měření, popřípadě expertizy, a to za účelem analýzy pracovních podm</w:t>
      </w:r>
      <w:r>
        <w:rPr>
          <w:rFonts w:ascii="Times New Roman" w:eastAsia="Times New Roman" w:hAnsi="Times New Roman" w:cs="Times New Roman"/>
        </w:rPr>
        <w:t xml:space="preserve">ínek, pracovního prostředí a odezvy organismu zaměstnanců, včetně výsledků kategorizace zdravotních rizik, pokud má podezření, že došlo k takové změně pracovních podmínek, která negativně ovlivňuje nebo by mohla ovlivnit zdraví zaměstnanců. 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Zaměstnavatel je povinen písemně informovat poskytovatele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 o každé delší pracovní neschopnosti svého zaměstnance (delší než 8 týdnů), aby před jeho opětovným zařazením na původní pracovní místo mohla být v odůvodněných případech ev</w:t>
      </w:r>
      <w:r>
        <w:rPr>
          <w:rFonts w:ascii="Times New Roman" w:eastAsia="Times New Roman" w:hAnsi="Times New Roman" w:cs="Times New Roman"/>
        </w:rPr>
        <w:t>entuálně přehodnocena jeho zdravotní způsobilost k práci. Zaměstnavatel je dále povinen písemně informovat poskytovatele bez zbytečného odkladu o každém pracovním úrazu zaměstnance.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</w:rPr>
        <w:tab/>
        <w:t>Zaměstnavatel je povinen písemně vyzvat poskytovatele k provedení pra</w:t>
      </w:r>
      <w:r>
        <w:rPr>
          <w:rFonts w:ascii="Times New Roman" w:eastAsia="Times New Roman" w:hAnsi="Times New Roman" w:cs="Times New Roman"/>
        </w:rPr>
        <w:t>videlného dohledu, a to 2 měsíce dopředu před dnem konání dohledu.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 </w:t>
      </w:r>
      <w:r>
        <w:rPr>
          <w:rFonts w:ascii="Times New Roman" w:eastAsia="Times New Roman" w:hAnsi="Times New Roman" w:cs="Times New Roman"/>
        </w:rPr>
        <w:tab/>
        <w:t xml:space="preserve">Zaměstnavatel souhlasí s tím, aby zaměstnanec převzal od poskytovatele svůj lékařský posudek o zdravotní způsobilosti k práci určený pro zaměstnavatele, a zplnomocňuje každého </w:t>
      </w:r>
      <w:r>
        <w:rPr>
          <w:rFonts w:ascii="Times New Roman" w:eastAsia="Times New Roman" w:hAnsi="Times New Roman" w:cs="Times New Roman"/>
        </w:rPr>
        <w:t xml:space="preserve">zaměstnance již podpisem této smlouvy k převzetí tohoto lékařského posudku.    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Povinnosti poskytovatele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 xml:space="preserve">Poskytovatel je v rámci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 povinen: 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hodnotit vlivy pracovní činnosti, pracovního prostředí a pracovních podmínek na zdraví zaměstnanců,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</w:rPr>
        <w:t>vykonávat pravidelný dohled na všech pracovištích zaměstnavatele a nad pracemi vykonávanými zaměstnanci, a to nejméně jedenkrát za kalendářní rok, a to po p</w:t>
      </w:r>
      <w:r>
        <w:rPr>
          <w:rFonts w:ascii="Times New Roman" w:eastAsia="Times New Roman" w:hAnsi="Times New Roman" w:cs="Times New Roman"/>
        </w:rPr>
        <w:t xml:space="preserve">ředchozí písemné výzvě zaslané ze strany zaměstnavatele poskytovateli, a to 2 měsíce před dnem konání dohledu. O provedení dohledu ze strany poskytovatele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 bude proveden písemný záznam ve dvou vyhotoveních uložených u každé smluvní</w:t>
      </w:r>
      <w:r>
        <w:rPr>
          <w:rFonts w:ascii="Times New Roman" w:eastAsia="Times New Roman" w:hAnsi="Times New Roman" w:cs="Times New Roman"/>
        </w:rPr>
        <w:t xml:space="preserve"> strany, 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informovat zaměstnavatele o možném vlivu faktorů pracovních podmínek na zdravotní stav zaměstnanců,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neprodleně oznámit zjištění závažných nebo opakujících se skutečností negativně ovlivňujících bezpečnost a ochranu zdraví při práci,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 žádost zam</w:t>
      </w:r>
      <w:r>
        <w:rPr>
          <w:rFonts w:ascii="Times New Roman" w:eastAsia="Times New Roman" w:hAnsi="Times New Roman" w:cs="Times New Roman"/>
        </w:rPr>
        <w:t>ěstnavatele poskytnout konzultace a poradenství zaměřené na ochranu zdraví při práci a ochranu před pracovními úrazy a nemocemi z povolání a školení zaměstnanců v poskytování první pomoci</w:t>
      </w:r>
    </w:p>
    <w:p w:rsidR="00FC313E" w:rsidRDefault="00A748A5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spolupracovat se zaměstnavatelem v oblasti bezpečnosti a ochrany zdr</w:t>
      </w:r>
      <w:r>
        <w:rPr>
          <w:rFonts w:ascii="Times New Roman" w:eastAsia="Times New Roman" w:hAnsi="Times New Roman" w:cs="Times New Roman"/>
        </w:rPr>
        <w:t xml:space="preserve">aví při práci (BOZP). 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Prohlášení zaměstnavatele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Zaměstnavatel bere na vědomí, že poskytovatel je povinen podat podnět kontrolním orgánům v oblasti BOZP ke zjednání nápravy nad dodržováním povinností v oblasti BOZP, pokud zjistí, že zaměstnavatel nepostupuje v souladu s výsledky lékařských posudků, nebo </w:t>
      </w:r>
      <w:r>
        <w:rPr>
          <w:rFonts w:ascii="Times New Roman" w:eastAsia="Times New Roman" w:hAnsi="Times New Roman" w:cs="Times New Roman"/>
        </w:rPr>
        <w:t>přes opakované upozornění neplní povinnosti v oblasti BOZP při práci stanovené jinými právními předpisy.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  <w:b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Místo a doba výkonu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pracovnělékařských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služeb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</w:rPr>
        <w:t xml:space="preserve">Posudková péče a hodnocení zdravotního stavu uchazečů o zaměstnání a zaměstnanců v souladu s čl. </w:t>
      </w:r>
      <w:r>
        <w:rPr>
          <w:rFonts w:ascii="Times New Roman" w:eastAsia="Times New Roman" w:hAnsi="Times New Roman" w:cs="Times New Roman"/>
        </w:rPr>
        <w:t xml:space="preserve">II. této smlouvy bude prováděno zejména v ordinaci poskytovatele zdravotních služeb </w:t>
      </w:r>
      <w:r>
        <w:rPr>
          <w:rFonts w:ascii="Times New Roman" w:eastAsia="Times New Roman" w:hAnsi="Times New Roman" w:cs="Times New Roman"/>
          <w:b/>
        </w:rPr>
        <w:t>Všeobecný lékař Jih s.r.o. na adrese Staré Město 453, 373 65 Dolní Bukovsko</w:t>
      </w:r>
      <w:r>
        <w:rPr>
          <w:rFonts w:ascii="Times New Roman" w:eastAsia="Times New Roman" w:hAnsi="Times New Roman" w:cs="Times New Roman"/>
        </w:rPr>
        <w:t xml:space="preserve"> v ordinačních hodinách této ordinace.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Times New Roman" w:eastAsia="Times New Roman" w:hAnsi="Times New Roman" w:cs="Times New Roman"/>
          <w:highlight w:val="white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highlight w:val="white"/>
        </w:rPr>
        <w:tab/>
        <w:t xml:space="preserve"> 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VII.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Úhrada za poskytování PLS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Úhrady za poskytování PLS v rozsahu nehrazeném z veřejného zdravotního pojištění - zejména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prohlídky zaměstnanců včetně posudkových závěrů, poradenská činnost, dohled na zdravotní vlivy práce a pracovního prostředí na zdraví zaměstnanců - </w:t>
      </w:r>
      <w:r>
        <w:rPr>
          <w:rFonts w:ascii="Times New Roman" w:eastAsia="Times New Roman" w:hAnsi="Times New Roman" w:cs="Times New Roman"/>
        </w:rPr>
        <w:t xml:space="preserve">budou uhrazeny zaměstnavatelem takto: </w:t>
      </w:r>
      <w:r>
        <w:rPr>
          <w:rFonts w:ascii="Times New Roman" w:eastAsia="Times New Roman" w:hAnsi="Times New Roman" w:cs="Times New Roman"/>
          <w:b/>
        </w:rPr>
        <w:t xml:space="preserve">Smluvní strany sjednávají úhradu za poskytované služby a jednotlivé úkony ve výši uvedené v příloze č. 3. této smlouvy. 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Zaměstnavatel uhradí poskytovateli případné náklady za odborná vyšetření, pokud nastane alespoň jedna z těchto dvou situací:</w:t>
      </w:r>
    </w:p>
    <w:p w:rsidR="00FC313E" w:rsidRDefault="00A74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potřeba odborného vyšetření vyplývá z obecně závazného právního předpisu nebo</w:t>
      </w:r>
    </w:p>
    <w:p w:rsidR="00FC313E" w:rsidRDefault="00A74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</w:rPr>
        <w:t xml:space="preserve">provedení odborného vyšetření je podle poskytovatele </w:t>
      </w:r>
      <w:r>
        <w:rPr>
          <w:rFonts w:ascii="Times New Roman" w:eastAsia="Times New Roman" w:hAnsi="Times New Roman" w:cs="Times New Roman"/>
        </w:rPr>
        <w:t>nezbytně nutné k posouzení zdravotní způsobilosti zaměstnance k práci a zaměstnavatel zároveň odsouhlasil náklady na provedení takového vyšetření před vysláním zaměstnance na toto vyšetření.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Úhrada bude zaměstnavateli vyúčtována poskytovatelem vždy k 15. dni následujícího kalendářního měsíce a je splatná převodem na účet poskytovatele do 21 dnů ode dne doručení účetního dokladu - faktury zaměstnavateli. Nedílnou přílohou vyúčtování je i rozpis</w:t>
      </w:r>
      <w:r>
        <w:rPr>
          <w:rFonts w:ascii="Times New Roman" w:eastAsia="Times New Roman" w:hAnsi="Times New Roman" w:cs="Times New Roman"/>
        </w:rPr>
        <w:t xml:space="preserve"> jednotlivých položek a přehled provedených úkonů PLS vykonaných v příslušném kalendářním měsíci, za který je účtováno.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VIII.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Doba trvání smlouvy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 xml:space="preserve">Tato smlouva se uzavírá na dobu neurčitou, s účinností od </w:t>
      </w:r>
      <w:r>
        <w:rPr>
          <w:rFonts w:ascii="Times New Roman" w:eastAsia="Times New Roman" w:hAnsi="Times New Roman" w:cs="Times New Roman"/>
          <w:b/>
        </w:rPr>
        <w:t>1. 9. 2022</w:t>
      </w:r>
      <w:r>
        <w:rPr>
          <w:rFonts w:ascii="Times New Roman" w:eastAsia="Times New Roman" w:hAnsi="Times New Roman" w:cs="Times New Roman"/>
        </w:rPr>
        <w:t>.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Smlouvu je možné ukončit písemnou dohodou smluvních stran. Kterákoli smluvní strana je oprávněna smlouvu ukončit písemnou výpovědí s dvouměsíční výpovědní dobou. Výpovědní doba počíná běžet prvním dnem kalendářního měsíce následujícího po měsíci, ve kterém</w:t>
      </w:r>
      <w:r>
        <w:rPr>
          <w:rFonts w:ascii="Times New Roman" w:eastAsia="Times New Roman" w:hAnsi="Times New Roman" w:cs="Times New Roman"/>
        </w:rPr>
        <w:t xml:space="preserve"> byla výpověď doručena druhé smluvní straně. 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IX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Ochrana osobních údajů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Nedílnou součástí poskytování služeb podle této smlouvy je zpracování osobních údajů zaměstnanců Zaměstnavatele (dále jen „Zaměstnanci“). Obě smluvní strany se zavazují osobní údaje Zaměstnanců (dále jen „Osobní údaje“) zpracovávat v souladu s </w:t>
      </w:r>
      <w:r>
        <w:rPr>
          <w:rFonts w:ascii="Times New Roman" w:eastAsia="Times New Roman" w:hAnsi="Times New Roman" w:cs="Times New Roman"/>
        </w:rPr>
        <w:t>Nařízením Ev</w:t>
      </w:r>
      <w:r>
        <w:rPr>
          <w:rFonts w:ascii="Times New Roman" w:eastAsia="Times New Roman" w:hAnsi="Times New Roman" w:cs="Times New Roman"/>
        </w:rPr>
        <w:t xml:space="preserve">ropského parlamentu a Rady EU č. 2016/679 ze dne 27. 4. 2016 o ochraně fyzických osob v souvislosti se zpracováním osobních údajů a o volném pohybu těchto údajů a o zrušení směrnice 95/46/ES (dále jen „GDPR“), jakož i se </w:t>
      </w:r>
      <w:r>
        <w:rPr>
          <w:rFonts w:ascii="Times New Roman" w:eastAsia="Times New Roman" w:hAnsi="Times New Roman" w:cs="Times New Roman"/>
          <w:color w:val="000000"/>
        </w:rPr>
        <w:t>zákonem č. 110/2019 Sb., o zpracová</w:t>
      </w:r>
      <w:r>
        <w:rPr>
          <w:rFonts w:ascii="Times New Roman" w:eastAsia="Times New Roman" w:hAnsi="Times New Roman" w:cs="Times New Roman"/>
          <w:color w:val="000000"/>
        </w:rPr>
        <w:t>ní osobních údajů a dodržovat tyto předpisy při plnění této smlouvy. Poskytovatel je kromě toho povinen dodržovat předpisy o vedení zdravotnické dokumentace (ustanovení § 52 – 69b zákona č. 372/2011 o zdravotních službách a vyhláška č. 98/2012 o zdravotnic</w:t>
      </w:r>
      <w:r>
        <w:rPr>
          <w:rFonts w:ascii="Times New Roman" w:eastAsia="Times New Roman" w:hAnsi="Times New Roman" w:cs="Times New Roman"/>
          <w:color w:val="000000"/>
        </w:rPr>
        <w:t>ké dokumentaci).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A748A5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V souvislosti s plněním této smlouvy má poskytovatel zejména tyto povinnosti: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Poskytovatel zajistí, aby předpisy uvedené v odstavci 1 dodržovali všichni jeho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zaměstnanci a zaváže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své zaměstnance, kteří se mohou dostat do styku s Osobními údaji, k mlčenlivosti ohledně těchto Osobních údajů.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Poskytovatel bude Osobní údaje zpracovávat </w:t>
      </w:r>
      <w:r>
        <w:rPr>
          <w:rFonts w:ascii="Times New Roman" w:eastAsia="Times New Roman" w:hAnsi="Times New Roman" w:cs="Times New Roman"/>
          <w:color w:val="000000"/>
        </w:rPr>
        <w:t xml:space="preserve">jen pro účely plnění této smlouvy a svých povinností stanovených obecně závaznými právními předpisy, a to zejména předpisy o vedení zdravotnické dokumentace, které jsou zmíněny v odstavci 1 (dále jen „Předpisy o vedení ZD“). 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Poskytovatel přijme vhodná tec</w:t>
      </w:r>
      <w:r>
        <w:rPr>
          <w:rFonts w:ascii="Times New Roman" w:eastAsia="Times New Roman" w:hAnsi="Times New Roman" w:cs="Times New Roman"/>
          <w:color w:val="000000"/>
        </w:rPr>
        <w:t>hnická a organizační opatření, aby zajistil úroveň zabezpečení Osobních údajů ve smyslu čl. 32 GDPR.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skočení poskytování služeb podle této smlouvy poskytovatel Osobní údaje podle rozhodnutí zaměstnavatele buď vymaže, nebo je předá zaměstnavateli či osob</w:t>
      </w:r>
      <w:r>
        <w:rPr>
          <w:rFonts w:ascii="Times New Roman" w:eastAsia="Times New Roman" w:hAnsi="Times New Roman" w:cs="Times New Roman"/>
          <w:color w:val="000000"/>
        </w:rPr>
        <w:t>ě určené zaměstnavatelem.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Poskytovatel je povinen vést záznamy o všech kategoriích činností zpracování ve smyslu čl. 30 GDPR. 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567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313E" w:rsidRDefault="00A748A5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Smluvní strany budou spolupracovat při plnění svých povinností podle </w:t>
      </w:r>
      <w:r>
        <w:rPr>
          <w:rFonts w:ascii="Times New Roman" w:eastAsia="Times New Roman" w:hAnsi="Times New Roman" w:cs="Times New Roman"/>
        </w:rPr>
        <w:t xml:space="preserve">GDPR a </w:t>
      </w:r>
      <w:r>
        <w:rPr>
          <w:rFonts w:ascii="Times New Roman" w:eastAsia="Times New Roman" w:hAnsi="Times New Roman" w:cs="Times New Roman"/>
          <w:color w:val="000000"/>
        </w:rPr>
        <w:t>zákona č. 110/2019 Sb., o zpracování osobních údajů</w:t>
      </w:r>
      <w:r>
        <w:rPr>
          <w:rFonts w:ascii="Times New Roman" w:eastAsia="Times New Roman" w:hAnsi="Times New Roman" w:cs="Times New Roman"/>
          <w:color w:val="000000"/>
        </w:rPr>
        <w:t>. V souvislosti s tím budou platit tato pravidla: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Pokud jedna smluvní strana obdrží jakoukoliv stížnost, oznámení nebo sdělení Úřadu pro ochranu osobních údajů, které se týká Osobních údajů, bez zbytečného odkladu postoupí tuto stížnost, oznámení nebo sděl</w:t>
      </w:r>
      <w:r>
        <w:rPr>
          <w:rFonts w:ascii="Times New Roman" w:eastAsia="Times New Roman" w:hAnsi="Times New Roman" w:cs="Times New Roman"/>
          <w:color w:val="000000"/>
        </w:rPr>
        <w:t>ení druhé straně.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Každá smluvní strana řádně a bezodkladně zodpoví veškeré oprávněné dotazy subjektů Osobních údajů související se zpracováním Osobních údajů.</w:t>
      </w:r>
    </w:p>
    <w:p w:rsidR="00FC313E" w:rsidRDefault="00A748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Každá smluvní strana poskytne druhé smluvní straně informace o tom, jakým způsobem zpracovává Osobní údaje a plní z toho vyplývající povinnosti.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A748A5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Bez ohledu na výše uvedená ujednání bude poskytovatel vždy dodržovat Předpisy o vedení ZD.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X.</w:t>
      </w: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Ostatní ujednání 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>Zaměstnavatel se zavazuje seznámit své zaměstnance s podmínkami této smlouvy, jakož i s jejich povinností podrobit se lékařským prohlídkám v rámci PSL u poskytovatele. Smluvní strany jsou povinny zachovávat mlčenlivost vůči třetím ne</w:t>
      </w:r>
      <w:r>
        <w:rPr>
          <w:rFonts w:ascii="Times New Roman" w:eastAsia="Times New Roman" w:hAnsi="Times New Roman" w:cs="Times New Roman"/>
        </w:rPr>
        <w:t>zúčastněným osobám o všech skutečnostech, o nichž se dozví v souvislosti s plněním této smlouvy.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  <w:t xml:space="preserve">Smlouva nabývá platnosti a účinnosti </w:t>
      </w:r>
      <w:r>
        <w:rPr>
          <w:rFonts w:ascii="Times New Roman" w:eastAsia="Times New Roman" w:hAnsi="Times New Roman" w:cs="Times New Roman"/>
          <w:b/>
        </w:rPr>
        <w:t>dnem podpisu smluvních stran</w:t>
      </w:r>
      <w:r>
        <w:rPr>
          <w:rFonts w:ascii="Times New Roman" w:eastAsia="Times New Roman" w:hAnsi="Times New Roman" w:cs="Times New Roman"/>
        </w:rPr>
        <w:t>. Smlouva je vyhotovena ve dvou vyhotoveních, z nichž každá smluvní strana obdrží po jedn</w:t>
      </w:r>
      <w:r>
        <w:rPr>
          <w:rFonts w:ascii="Times New Roman" w:eastAsia="Times New Roman" w:hAnsi="Times New Roman" w:cs="Times New Roman"/>
        </w:rPr>
        <w:t>om. Změna smlouvy je možná pouze písemným dodatkem odsouhlaseným a podepsaným smluvními stranami.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ab/>
        <w:t xml:space="preserve">Smluvní strany prohlašují, že si smlouvy přečetly, že smlouva je výrazem jejich svobodné a vážné vůle, na důkaz čehož připojují vlastnoruční podpisy. 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 ………….. dne …………..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A748A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poskytovatele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za zaměstnavatele</w:t>
      </w: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FC313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--------------------------------------------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-------------------------------------------- 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62626"/>
          <w:highlight w:val="white"/>
        </w:rPr>
        <w:t xml:space="preserve">Všeobecný lékař </w:t>
      </w:r>
      <w:proofErr w:type="spellStart"/>
      <w:r>
        <w:rPr>
          <w:rFonts w:ascii="Times New Roman" w:eastAsia="Times New Roman" w:hAnsi="Times New Roman" w:cs="Times New Roman"/>
          <w:b/>
          <w:color w:val="262626"/>
          <w:highlight w:val="white"/>
        </w:rPr>
        <w:t>Prevent</w:t>
      </w:r>
      <w:proofErr w:type="spellEnd"/>
      <w:r>
        <w:rPr>
          <w:rFonts w:ascii="Times New Roman" w:eastAsia="Times New Roman" w:hAnsi="Times New Roman" w:cs="Times New Roman"/>
          <w:b/>
          <w:color w:val="262626"/>
          <w:highlight w:val="white"/>
        </w:rPr>
        <w:t xml:space="preserve"> s.r.o.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G - centrum Tábor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Ing. Tomáš Janovský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Cambria" w:eastAsia="Cambria" w:hAnsi="Cambria" w:cs="Cambria"/>
          <w:color w:val="000000"/>
          <w:highlight w:val="white"/>
        </w:rPr>
        <w:t>PhDr. Jaroslava Kotalíková, ředitelka</w:t>
      </w:r>
    </w:p>
    <w:p w:rsidR="00FC313E" w:rsidRDefault="00FC31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rPr>
          <w:rFonts w:ascii="Times New Roman" w:eastAsia="Times New Roman" w:hAnsi="Times New Roman" w:cs="Times New Roman"/>
        </w:rPr>
      </w:pPr>
    </w:p>
    <w:p w:rsidR="00FC313E" w:rsidRDefault="00FC313E">
      <w:pPr>
        <w:widowControl/>
        <w:rPr>
          <w:rFonts w:ascii="Times New Roman" w:eastAsia="Times New Roman" w:hAnsi="Times New Roman" w:cs="Times New Roman"/>
        </w:rPr>
      </w:pP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Přílohy:</w:t>
      </w:r>
    </w:p>
    <w:p w:rsidR="00FC313E" w:rsidRDefault="00A748A5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Příloha č. 1: Žádost o provedení </w:t>
      </w:r>
      <w:proofErr w:type="spellStart"/>
      <w:r>
        <w:rPr>
          <w:rFonts w:ascii="Times New Roman" w:eastAsia="Times New Roman" w:hAnsi="Times New Roman" w:cs="Times New Roman"/>
        </w:rPr>
        <w:t>pracovnělékařské</w:t>
      </w:r>
      <w:proofErr w:type="spellEnd"/>
      <w:r>
        <w:rPr>
          <w:rFonts w:ascii="Times New Roman" w:eastAsia="Times New Roman" w:hAnsi="Times New Roman" w:cs="Times New Roman"/>
        </w:rPr>
        <w:t xml:space="preserve"> prohlídky a posouzení zdravotní způsobilosti k práci</w:t>
      </w: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 č. 2: Lékařský posudek o zdravotní způsobilosti k práci</w:t>
      </w: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Příloha č. 3: Ceník </w:t>
      </w:r>
      <w:proofErr w:type="spellStart"/>
      <w:r>
        <w:rPr>
          <w:rFonts w:ascii="Times New Roman" w:eastAsia="Times New Roman" w:hAnsi="Times New Roman" w:cs="Times New Roman"/>
        </w:rPr>
        <w:t>pracovnělékařských</w:t>
      </w:r>
      <w:proofErr w:type="spellEnd"/>
      <w:r>
        <w:rPr>
          <w:rFonts w:ascii="Times New Roman" w:eastAsia="Times New Roman" w:hAnsi="Times New Roman" w:cs="Times New Roman"/>
        </w:rPr>
        <w:t xml:space="preserve"> služeb</w:t>
      </w:r>
      <w:r>
        <w:br w:type="page"/>
      </w:r>
    </w:p>
    <w:p w:rsidR="00FC313E" w:rsidRDefault="00FC313E">
      <w:pPr>
        <w:widowControl/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cs-CZ" w:bidi="ar-SA"/>
        </w:rPr>
        <w:drawing>
          <wp:inline distT="114300" distB="114300" distL="114300" distR="114300">
            <wp:extent cx="6121090" cy="9563100"/>
            <wp:effectExtent l="0" t="0" r="0" b="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090" cy="956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cs-CZ" w:bidi="ar-SA"/>
        </w:rPr>
        <w:lastRenderedPageBreak/>
        <w:drawing>
          <wp:inline distT="114300" distB="114300" distL="114300" distR="114300">
            <wp:extent cx="6256082" cy="5331777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6082" cy="5331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cs-CZ" w:bidi="ar-SA"/>
        </w:rPr>
        <w:drawing>
          <wp:inline distT="114300" distB="114300" distL="114300" distR="114300">
            <wp:extent cx="6286183" cy="4056836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183" cy="4056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FC313E" w:rsidRDefault="00FC313E">
      <w:pPr>
        <w:widowControl/>
        <w:rPr>
          <w:rFonts w:ascii="Times New Roman" w:eastAsia="Times New Roman" w:hAnsi="Times New Roman" w:cs="Times New Roman"/>
        </w:rPr>
      </w:pPr>
    </w:p>
    <w:p w:rsidR="00FC313E" w:rsidRDefault="00A748A5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cs-CZ" w:bidi="ar-SA"/>
        </w:rPr>
        <w:drawing>
          <wp:inline distT="114300" distB="114300" distL="114300" distR="114300">
            <wp:extent cx="6123940" cy="5969000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596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313E" w:rsidRDefault="00FC313E">
      <w:pPr>
        <w:widowControl/>
        <w:rPr>
          <w:rFonts w:ascii="Times New Roman" w:eastAsia="Times New Roman" w:hAnsi="Times New Roman" w:cs="Times New Roman"/>
        </w:rPr>
      </w:pPr>
    </w:p>
    <w:sectPr w:rsidR="00FC313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6" w:right="1133" w:bottom="566" w:left="1133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A5" w:rsidRDefault="00A748A5">
      <w:r>
        <w:separator/>
      </w:r>
    </w:p>
  </w:endnote>
  <w:endnote w:type="continuationSeparator" w:id="0">
    <w:p w:rsidR="00A748A5" w:rsidRDefault="00A7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nionPro-Regular">
    <w:panose1 w:val="00000000000000000000"/>
    <w:charset w:val="00"/>
    <w:family w:val="roman"/>
    <w:notTrueType/>
    <w:pitch w:val="default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Default="00A74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5C111D">
      <w:rPr>
        <w:sz w:val="16"/>
        <w:szCs w:val="16"/>
      </w:rPr>
      <w:fldChar w:fldCharType="separate"/>
    </w:r>
    <w:r w:rsidR="005C111D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:rsidR="00FC313E" w:rsidRDefault="00FC3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Default="00A74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5C111D">
      <w:rPr>
        <w:sz w:val="16"/>
        <w:szCs w:val="16"/>
      </w:rPr>
      <w:fldChar w:fldCharType="separate"/>
    </w:r>
    <w:r w:rsidR="005C111D"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  <w:p w:rsidR="00FC313E" w:rsidRDefault="00FC3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Default="00A748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end"/>
    </w:r>
  </w:p>
  <w:p w:rsidR="00FC313E" w:rsidRDefault="00FC3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A5" w:rsidRDefault="00A748A5">
      <w:r>
        <w:separator/>
      </w:r>
    </w:p>
  </w:footnote>
  <w:footnote w:type="continuationSeparator" w:id="0">
    <w:p w:rsidR="00A748A5" w:rsidRDefault="00A7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Default="00FC313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13E" w:rsidRDefault="00FC313E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645"/>
    <w:multiLevelType w:val="multilevel"/>
    <w:tmpl w:val="6F56B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734"/>
    <w:multiLevelType w:val="multilevel"/>
    <w:tmpl w:val="A610464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6A7FB8"/>
    <w:multiLevelType w:val="multilevel"/>
    <w:tmpl w:val="F884A35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E54337"/>
    <w:multiLevelType w:val="multilevel"/>
    <w:tmpl w:val="9078C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B5"/>
    <w:multiLevelType w:val="multilevel"/>
    <w:tmpl w:val="616E42B2"/>
    <w:lvl w:ilvl="0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663B24"/>
    <w:multiLevelType w:val="multilevel"/>
    <w:tmpl w:val="291CA45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3E"/>
    <w:rsid w:val="005C111D"/>
    <w:rsid w:val="00A748A5"/>
    <w:rsid w:val="00F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1D9F"/>
  <w15:docId w15:val="{774FF4FC-9180-482A-805F-849E22B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NSimSun" w:cs="Arial"/>
      <w:lang w:eastAsia="zh-CN" w:bidi="hi-IN"/>
    </w:rPr>
  </w:style>
  <w:style w:type="paragraph" w:styleId="Nadpis1">
    <w:name w:val="heading 1"/>
    <w:basedOn w:val="Normln"/>
    <w:next w:val="LO-normal"/>
    <w:uiPriority w:val="9"/>
    <w:qFormat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</w:rPr>
  </w:style>
  <w:style w:type="paragraph" w:styleId="Nadpis5">
    <w:name w:val="heading 5"/>
    <w:basedOn w:val="Normln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ormln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Cambria" w:eastAsia="Cambria" w:hAnsi="Cambria" w:cs="Cambria"/>
      <w:color w:val="0000FF"/>
      <w:highlight w:val="white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  <w:rPr>
      <w:rFonts w:ascii="Cambria" w:eastAsia="Cambria" w:hAnsi="Cambria" w:cs="Cambria"/>
      <w:color w:val="262626"/>
      <w:highlight w:val="white"/>
      <w:u w:val="single"/>
    </w:rPr>
  </w:style>
  <w:style w:type="character" w:customStyle="1" w:styleId="ListLabel3">
    <w:name w:val="ListLabel 3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4">
    <w:name w:val="ListLabel 4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character" w:customStyle="1" w:styleId="ListLabel5">
    <w:name w:val="ListLabel 5"/>
    <w:qFormat/>
    <w:rPr>
      <w:rFonts w:ascii="Cambria" w:eastAsia="Cambria" w:hAnsi="Cambria" w:cs="Cambria"/>
      <w:color w:val="0000FF"/>
      <w:sz w:val="24"/>
      <w:szCs w:val="24"/>
      <w:highlight w:val="white"/>
      <w:u w:val="single"/>
    </w:rPr>
  </w:style>
  <w:style w:type="character" w:customStyle="1" w:styleId="ListLabel6">
    <w:name w:val="ListLabel 6"/>
    <w:qFormat/>
    <w:rPr>
      <w:rFonts w:ascii="Cambria" w:eastAsia="Cambria" w:hAnsi="Cambria" w:cs="Cambria"/>
      <w:color w:val="262626"/>
      <w:sz w:val="24"/>
      <w:szCs w:val="24"/>
      <w:highlight w:val="white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7F1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19"/>
    <w:rPr>
      <w:rFonts w:ascii="Segoe UI" w:eastAsia="NSimSun" w:hAnsi="Segoe UI" w:cs="Mangal"/>
      <w:sz w:val="18"/>
      <w:szCs w:val="16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A03BFD"/>
    <w:pPr>
      <w:widowControl/>
      <w:spacing w:after="200"/>
    </w:pPr>
    <w:rPr>
      <w:rFonts w:ascii="Times New Roman" w:eastAsia="Cambria" w:hAnsi="Times New Roman" w:cs="Times New Roman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A03BFD"/>
    <w:rPr>
      <w:rFonts w:ascii="Times New Roman" w:eastAsia="Cambria" w:hAnsi="Times New Roman" w:cs="Times New Roman"/>
      <w:color w:val="auto"/>
      <w:sz w:val="20"/>
      <w:szCs w:val="20"/>
      <w:lang w:eastAsia="en-US"/>
    </w:rPr>
  </w:style>
  <w:style w:type="character" w:styleId="Znakapoznpodarou">
    <w:name w:val="footnote reference"/>
    <w:semiHidden/>
    <w:unhideWhenUsed/>
    <w:rsid w:val="00A03BFD"/>
    <w:rPr>
      <w:vertAlign w:val="superscript"/>
    </w:rPr>
  </w:style>
  <w:style w:type="paragraph" w:customStyle="1" w:styleId="poznamky-podcaroutext">
    <w:name w:val="poznamky-podcarou (text)"/>
    <w:basedOn w:val="Normln"/>
    <w:uiPriority w:val="99"/>
    <w:rsid w:val="00A03BFD"/>
    <w:pPr>
      <w:tabs>
        <w:tab w:val="left" w:pos="283"/>
      </w:tabs>
      <w:autoSpaceDE w:val="0"/>
      <w:autoSpaceDN w:val="0"/>
      <w:adjustRightInd w:val="0"/>
      <w:spacing w:line="192" w:lineRule="atLeast"/>
      <w:ind w:left="283" w:hanging="283"/>
      <w:jc w:val="both"/>
      <w:textAlignment w:val="center"/>
    </w:pPr>
    <w:rPr>
      <w:rFonts w:ascii="MinionPro-Regular" w:eastAsia="Cambria" w:hAnsi="MinionPro-Regular" w:cs="MinionPro-Regular"/>
      <w:color w:val="000000"/>
      <w:sz w:val="16"/>
      <w:szCs w:val="16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7D3217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8D2ED6"/>
    <w:rPr>
      <w:color w:val="0000FF"/>
      <w:u w:val="single"/>
    </w:rPr>
  </w:style>
  <w:style w:type="character" w:customStyle="1" w:styleId="gmaildefault">
    <w:name w:val="gmail_default"/>
    <w:basedOn w:val="Standardnpsmoodstavce"/>
    <w:rsid w:val="0020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becnylekar.cz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QBjOik9d4t9P3lkE3A1/mOZAg==">AMUW2mW2Bjo7mqPioAoykl1gk/JJEhkn1ewt3zDoRjXoQi7FBXRX1PmvAy/+Fq89Illqe70+hrblWwbqfv5jOSm+ln/x8D5Vmtv2RfLgyRuciXqSD8lTcUvhQsCSwXq+gHvREVmu+uRrtBT6maGWqatRhmsFaGH+ybrZ2H47MaC5DoW7rdQTGr4fbajPH2sATfZkUP203Csm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2160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Vlaďka Ptáčková</cp:lastModifiedBy>
  <cp:revision>2</cp:revision>
  <dcterms:created xsi:type="dcterms:W3CDTF">2020-01-27T11:10:00Z</dcterms:created>
  <dcterms:modified xsi:type="dcterms:W3CDTF">2022-07-15T09:07:00Z</dcterms:modified>
</cp:coreProperties>
</file>