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3A" w:rsidRDefault="000F54AC">
      <w:pPr>
        <w:spacing w:after="1052" w:line="259" w:lineRule="auto"/>
        <w:ind w:left="6373" w:firstLine="0"/>
        <w:jc w:val="left"/>
      </w:pPr>
      <w:bookmarkStart w:id="0" w:name="_GoBack"/>
      <w:bookmarkEnd w:id="0"/>
      <w:r>
        <w:rPr>
          <w:rFonts w:ascii="Arial" w:eastAsia="Arial" w:hAnsi="Arial" w:cs="Arial"/>
          <w:color w:val="006600"/>
          <w:sz w:val="16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006600"/>
          <w:sz w:val="16"/>
        </w:rPr>
        <w:t xml:space="preserve"> </w:t>
      </w:r>
    </w:p>
    <w:p w:rsidR="004B0A3A" w:rsidRDefault="000F54AC">
      <w:pPr>
        <w:spacing w:after="0" w:line="259" w:lineRule="auto"/>
        <w:ind w:left="2842" w:firstLine="0"/>
        <w:jc w:val="left"/>
      </w:pPr>
      <w:r>
        <w:rPr>
          <w:b/>
          <w:sz w:val="28"/>
        </w:rPr>
        <w:t xml:space="preserve">Žádost o obchodní tajemství </w:t>
      </w:r>
    </w:p>
    <w:p w:rsidR="004B0A3A" w:rsidRDefault="000F54AC">
      <w:pPr>
        <w:spacing w:after="46" w:line="259" w:lineRule="auto"/>
        <w:ind w:lef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4B0A3A" w:rsidRDefault="000F54AC">
      <w:pPr>
        <w:ind w:left="-5" w:right="1407"/>
      </w:pPr>
      <w:r>
        <w:t xml:space="preserve">Vážení, </w:t>
      </w:r>
    </w:p>
    <w:p w:rsidR="004B0A3A" w:rsidRDefault="000F54AC">
      <w:pPr>
        <w:spacing w:after="23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ind w:left="-5" w:right="14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3703904</wp:posOffset>
                </wp:positionH>
                <wp:positionV relativeFrom="paragraph">
                  <wp:posOffset>489915</wp:posOffset>
                </wp:positionV>
                <wp:extent cx="32004" cy="175260"/>
                <wp:effectExtent l="0" t="0" r="0" b="0"/>
                <wp:wrapNone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175260"/>
                          <a:chOff x="0" y="0"/>
                          <a:chExt cx="32004" cy="175260"/>
                        </a:xfrm>
                      </wpg:grpSpPr>
                      <wps:wsp>
                        <wps:cNvPr id="2015" name="Shape 2015"/>
                        <wps:cNvSpPr/>
                        <wps:spPr>
                          <a:xfrm>
                            <a:off x="0" y="0"/>
                            <a:ext cx="320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7526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6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" style="width:2.51999pt;height:13.8pt;position:absolute;z-index:-2147483557;mso-position-horizontal-relative:text;mso-position-horizontal:absolute;margin-left:291.646pt;mso-position-vertical-relative:text;margin-top:38.576pt;" coordsize="320,1752">
                <v:shape id="Shape 2016" style="position:absolute;width:320;height:1752;left:0;top:0;" coordsize="32004,175260" path="m0,0l32004,0l32004,175260l0,175260l0,0">
                  <v:stroke weight="0pt" endcap="flat" joinstyle="round" on="false" color="#000000" opacity="0"/>
                  <v:fill on="true" color="#f4f6fa"/>
                </v:shape>
              </v:group>
            </w:pict>
          </mc:Fallback>
        </mc:AlternateContent>
      </w:r>
      <w:r>
        <w:t xml:space="preserve">veškeré v naší nabídce uvedené informace o jednotkové ceně, bonusu či slevě, případně informace, které by mohly být použity k </w:t>
      </w:r>
      <w:r>
        <w:t xml:space="preserve">výpočtu jednotkových cen léčivých přípravků, jejichž dodávky požadujete v zadávacím řízení na veřejnou zakázku s </w:t>
      </w:r>
      <w:proofErr w:type="gramStart"/>
      <w:r>
        <w:t>názvem ,, Psychiatrická</w:t>
      </w:r>
      <w:proofErr w:type="gramEnd"/>
      <w:r>
        <w:t xml:space="preserve"> nemocnice Bohnice  – LP s účinnou látkou </w:t>
      </w:r>
      <w:proofErr w:type="spellStart"/>
      <w:r>
        <w:t>olanzapin</w:t>
      </w:r>
      <w:proofErr w:type="spellEnd"/>
      <w:r>
        <w:t>, část B</w:t>
      </w:r>
      <w:r>
        <w:rPr>
          <w:rFonts w:ascii="Arial" w:eastAsia="Arial" w:hAnsi="Arial" w:cs="Arial"/>
          <w:color w:val="335786"/>
          <w:sz w:val="18"/>
        </w:rPr>
        <w:t xml:space="preserve"> </w:t>
      </w:r>
      <w:r>
        <w:t xml:space="preserve">“, jsou: </w:t>
      </w:r>
    </w:p>
    <w:p w:rsidR="004B0A3A" w:rsidRDefault="000F54AC">
      <w:pPr>
        <w:spacing w:after="22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ind w:left="-5" w:right="1407"/>
      </w:pPr>
      <w:r>
        <w:t>Uvedené informace o jednotkové ceně, bonusu či s</w:t>
      </w:r>
      <w:r>
        <w:t xml:space="preserve">levě, případně informace, které by mohly být použity k výpočtu jednotkových cen léčivých přípravků, jejichž dodávky požadujete v zadávacím řízení </w:t>
      </w:r>
    </w:p>
    <w:p w:rsidR="004B0A3A" w:rsidRDefault="000F54AC">
      <w:pPr>
        <w:spacing w:after="23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numPr>
          <w:ilvl w:val="0"/>
          <w:numId w:val="1"/>
        </w:numPr>
        <w:ind w:right="1407" w:hanging="360"/>
      </w:pPr>
      <w:r>
        <w:t>konkurenčně významné – informace vypovídá o cenové politice naší společnosti a její případná znalost ze str</w:t>
      </w:r>
      <w:r>
        <w:t xml:space="preserve">any konkurence je způsobilá významně negativně ovlivnit naši obchodní činnost např. tím, že by umožňovala konkurenci přizpůsobit svoji cenovou politiku tak, aby byla konkurenčně zajímavější pro odběratele; </w:t>
      </w:r>
    </w:p>
    <w:p w:rsidR="004B0A3A" w:rsidRDefault="000F54AC">
      <w:pPr>
        <w:numPr>
          <w:ilvl w:val="0"/>
          <w:numId w:val="1"/>
        </w:numPr>
        <w:ind w:right="1407" w:hanging="360"/>
      </w:pPr>
      <w:r>
        <w:t>určitelné – informace o ceně konkrétního výrobku,</w:t>
      </w:r>
      <w:r>
        <w:t xml:space="preserve"> o slevě, výše anebo způsobu určení bonusu či konkrétní obchodní výhody je sama o sobě určitá a konkrétní; </w:t>
      </w:r>
    </w:p>
    <w:p w:rsidR="004B0A3A" w:rsidRDefault="000F54AC">
      <w:pPr>
        <w:numPr>
          <w:ilvl w:val="0"/>
          <w:numId w:val="1"/>
        </w:numPr>
        <w:ind w:right="1407" w:hanging="360"/>
      </w:pPr>
      <w:r>
        <w:t>ocenitelné - informace mají tržní hodnotu a jsou ocenitelné, a to např. přes určení výše škody, která nám může vzniknout, dojde-li ke zveřejnění uve</w:t>
      </w:r>
      <w:r>
        <w:t xml:space="preserve">dených informací; </w:t>
      </w:r>
    </w:p>
    <w:p w:rsidR="004B0A3A" w:rsidRDefault="000F54AC">
      <w:pPr>
        <w:numPr>
          <w:ilvl w:val="0"/>
          <w:numId w:val="1"/>
        </w:numPr>
        <w:ind w:right="140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269240</wp:posOffset>
                </wp:positionV>
                <wp:extent cx="6673926" cy="1074572"/>
                <wp:effectExtent l="0" t="0" r="0" b="0"/>
                <wp:wrapTopAndBottom/>
                <wp:docPr id="1650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926" cy="1074572"/>
                          <a:chOff x="0" y="0"/>
                          <a:chExt cx="6673926" cy="1074572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30" y="0"/>
                            <a:ext cx="1995170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4047363" y="273860"/>
                            <a:ext cx="18771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6600"/>
                                  <w:sz w:val="16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460492" y="273860"/>
                            <a:ext cx="161386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6600"/>
                                  <w:sz w:val="16"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47363" y="5091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59" y="666701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9" y="726137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59" y="78617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879725" y="9058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A3A" w:rsidRDefault="000F54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831850"/>
                            <a:ext cx="5715001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635">
                                <a:moveTo>
                                  <a:pt x="0" y="0"/>
                                </a:moveTo>
                                <a:lnTo>
                                  <a:pt x="5715001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0" style="width:525.506pt;height:84.6119pt;position:absolute;mso-position-horizontal-relative:page;mso-position-horizontal:absolute;margin-left:70.9pt;mso-position-vertical-relative:page;margin-top:21.2pt;" coordsize="66739,10745">
                <v:shape id="Picture 69" style="position:absolute;width:19951;height:7048;left:241;top:0;" filled="f">
                  <v:imagedata r:id="rId6"/>
                </v:shape>
                <v:rect id="Rectangle 70" style="position:absolute;width:18771;height:1514;left:40473;top:2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6600"/>
                            <w:sz w:val="16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72" style="position:absolute;width:16138;height:1514;left:54604;top:2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6600"/>
                            <w:sz w:val="16"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75" style="position:absolute;width:518;height:2079;left:40473;top:5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185;height:745;left:5;top: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85;height:745;left:5;top:7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377;height:1514;left:5;top:7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506;height:2243;left:28797;top: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" style="position:absolute;width:57150;height:6;left:0;top:8318;" coordsize="5715001,635" path="m0,0l5715001,635">
                  <v:stroke weight="1.5pt" endcap="flat" joinstyle="round" on="true" color="#0066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nejsou běžně v obchodních kruzích dostupné – informaci naše společnost veřejně nešíří a nesdílí z </w:t>
      </w:r>
      <w:r>
        <w:t xml:space="preserve">důvodu její konkurenční významnosti a citlivosti, je předmětem konkrétního smluvního vztahu anebo jednání o smluvním vztahu a v obchodních kruzích proto tuto informaci nelze volně zjistit; </w:t>
      </w:r>
    </w:p>
    <w:p w:rsidR="004B0A3A" w:rsidRDefault="000F54AC">
      <w:pPr>
        <w:numPr>
          <w:ilvl w:val="0"/>
          <w:numId w:val="1"/>
        </w:numPr>
        <w:ind w:right="1407" w:hanging="360"/>
      </w:pPr>
      <w:r>
        <w:t>souvisejí s naším závodem – informace se týkají našich podnikatels</w:t>
      </w:r>
      <w:r>
        <w:t xml:space="preserve">kých aktivit, neboť souvisejí s distribucí léčivých přípravků a naší obchodní strategií, a proto souvisejí s naším závodem; a </w:t>
      </w:r>
    </w:p>
    <w:p w:rsidR="004B0A3A" w:rsidRDefault="000F54AC">
      <w:pPr>
        <w:numPr>
          <w:ilvl w:val="0"/>
          <w:numId w:val="1"/>
        </w:numPr>
        <w:spacing w:after="212"/>
        <w:ind w:right="1407" w:hanging="360"/>
      </w:pPr>
      <w:r>
        <w:t>naše společnost náležitým způsobem zajišťuje utajení těchto informací – činíme přiměřená opatření za účelem utajení této informac</w:t>
      </w:r>
      <w:r>
        <w:t xml:space="preserve">e např. závazkem k jejímu utajení tím, komu je informace zpřístupněna. </w:t>
      </w:r>
    </w:p>
    <w:p w:rsidR="004B0A3A" w:rsidRDefault="000F54AC">
      <w:pPr>
        <w:ind w:left="-5" w:right="1407"/>
      </w:pPr>
      <w:r>
        <w:t>Z toho důvodu, prosím, považujte námi poskytnuté informace o jednotkových cenách a způsobu jejich výpočtu v tomto zadávacím řízení za obchodní tajemství ve smyslu ustanovení § 504 záko</w:t>
      </w:r>
      <w:r>
        <w:t xml:space="preserve">na č. 89/2012 Sb., občanského zákoníku, a za důvěrné ve smyslu ustanovení § 218 zákona č. 134/2016 Sb., o zadávání veřejných zakázek, ve znění pozdějších předpisů. </w:t>
      </w:r>
    </w:p>
    <w:p w:rsidR="004B0A3A" w:rsidRDefault="000F54AC">
      <w:pPr>
        <w:spacing w:after="0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ind w:left="-5" w:right="1407"/>
      </w:pPr>
      <w:r>
        <w:lastRenderedPageBreak/>
        <w:t xml:space="preserve">Žádáme Vás, abyste informace o jednotkových cenách, případně informace, které by mohly být použity k výpočtu jednotkových cen, nezveřejňovali v registru smluv. </w:t>
      </w:r>
    </w:p>
    <w:p w:rsidR="004B0A3A" w:rsidRDefault="000F54AC">
      <w:pPr>
        <w:spacing w:after="22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ind w:left="-5" w:right="1407"/>
      </w:pPr>
      <w:r>
        <w:t xml:space="preserve">Děkujeme Vám. </w:t>
      </w:r>
    </w:p>
    <w:p w:rsidR="004B0A3A" w:rsidRDefault="000F54AC">
      <w:pPr>
        <w:spacing w:after="0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ind w:left="-5" w:right="1407"/>
      </w:pPr>
      <w:r>
        <w:t xml:space="preserve">S pozdravem </w:t>
      </w:r>
    </w:p>
    <w:p w:rsidR="004B0A3A" w:rsidRDefault="000F54AC">
      <w:pPr>
        <w:spacing w:after="21" w:line="259" w:lineRule="auto"/>
        <w:ind w:left="0" w:firstLine="0"/>
        <w:jc w:val="left"/>
      </w:pPr>
      <w:r>
        <w:t xml:space="preserve"> </w:t>
      </w:r>
    </w:p>
    <w:p w:rsidR="004B0A3A" w:rsidRDefault="000F54AC">
      <w:pPr>
        <w:tabs>
          <w:tab w:val="center" w:pos="2178"/>
          <w:tab w:val="center" w:pos="4249"/>
          <w:tab w:val="center" w:pos="4957"/>
          <w:tab w:val="center" w:pos="70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  </w:t>
      </w:r>
    </w:p>
    <w:p w:rsidR="004B0A3A" w:rsidRDefault="000F54AC">
      <w:pPr>
        <w:spacing w:after="401"/>
        <w:ind w:left="718" w:right="1593"/>
      </w:pPr>
      <w:r>
        <w:t xml:space="preserve">     PharmDr. Jiří </w:t>
      </w:r>
      <w:proofErr w:type="spellStart"/>
      <w:r>
        <w:t>Korta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Ing. Ondřej Moravec předseda představenstva </w:t>
      </w:r>
      <w:r>
        <w:tab/>
        <w:t xml:space="preserve">               </w:t>
      </w:r>
      <w:r>
        <w:tab/>
        <w:t xml:space="preserve"> </w:t>
      </w:r>
      <w:r>
        <w:tab/>
        <w:t xml:space="preserve">     člen představenstva</w:t>
      </w:r>
      <w:r>
        <w:rPr>
          <w:rFonts w:ascii="Tahoma" w:eastAsia="Tahoma" w:hAnsi="Tahoma" w:cs="Tahoma"/>
          <w:sz w:val="20"/>
        </w:rPr>
        <w:t xml:space="preserve"> </w:t>
      </w:r>
    </w:p>
    <w:p w:rsidR="004B0A3A" w:rsidRDefault="000F54AC">
      <w:pPr>
        <w:spacing w:after="0" w:line="263" w:lineRule="auto"/>
        <w:ind w:left="0" w:right="31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-558</wp:posOffset>
                </wp:positionH>
                <wp:positionV relativeFrom="paragraph">
                  <wp:posOffset>-90668</wp:posOffset>
                </wp:positionV>
                <wp:extent cx="5829301" cy="583565"/>
                <wp:effectExtent l="0" t="0" r="0" b="0"/>
                <wp:wrapNone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1" cy="583565"/>
                          <a:chOff x="0" y="0"/>
                          <a:chExt cx="5829301" cy="5835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083310" cy="583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829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1">
                                <a:moveTo>
                                  <a:pt x="0" y="0"/>
                                </a:moveTo>
                                <a:lnTo>
                                  <a:pt x="582930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459pt;height:45.95pt;position:absolute;z-index:-2147483648;mso-position-horizontal-relative:text;mso-position-horizontal:absolute;margin-left:-0.0439987pt;mso-position-vertical-relative:text;margin-top:-7.13928pt;" coordsize="58293,5835">
                <v:shape id="Picture 7" style="position:absolute;width:10833;height:5835;left:46863;top:0;" filled="f">
                  <v:imagedata r:id="rId8"/>
                </v:shape>
                <v:shape id="Shape 8" style="position:absolute;width:58293;height:0;left:0;top:0;" coordsize="5829301,0" path="m0,0l5829301,0">
                  <v:stroke weight="1.5pt" endcap="flat" joinstyle="round" on="true" color="#0066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 xml:space="preserve">     </w:t>
      </w:r>
      <w:r>
        <w:rPr>
          <w:rFonts w:ascii="Arial" w:eastAsia="Arial" w:hAnsi="Arial" w:cs="Arial"/>
          <w:b/>
          <w:sz w:val="16"/>
        </w:rPr>
        <w:t>PHARMOS, a.s.</w:t>
      </w:r>
      <w:r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4"/>
        </w:rPr>
        <w:t xml:space="preserve"> se sídlem Těšínská 1349/296, 716 00 Ostrava-Radvanice, </w:t>
      </w:r>
      <w:r>
        <w:rPr>
          <w:rFonts w:ascii="Arial" w:eastAsia="Arial" w:hAnsi="Arial" w:cs="Arial"/>
          <w:b/>
          <w:sz w:val="14"/>
        </w:rPr>
        <w:t>IČO</w:t>
      </w:r>
      <w:r>
        <w:rPr>
          <w:rFonts w:ascii="Arial" w:eastAsia="Arial" w:hAnsi="Arial" w:cs="Arial"/>
          <w:sz w:val="14"/>
        </w:rPr>
        <w:t xml:space="preserve">: </w:t>
      </w:r>
      <w:proofErr w:type="gramStart"/>
      <w:r>
        <w:rPr>
          <w:rFonts w:ascii="Arial" w:eastAsia="Arial" w:hAnsi="Arial" w:cs="Arial"/>
          <w:sz w:val="14"/>
        </w:rPr>
        <w:t xml:space="preserve">19010290,  </w:t>
      </w:r>
      <w:r>
        <w:rPr>
          <w:rFonts w:ascii="Arial" w:eastAsia="Arial" w:hAnsi="Arial" w:cs="Arial"/>
          <w:b/>
          <w:sz w:val="14"/>
        </w:rPr>
        <w:t>DIČ</w:t>
      </w:r>
      <w:proofErr w:type="gramEnd"/>
      <w:r>
        <w:rPr>
          <w:rFonts w:ascii="Arial" w:eastAsia="Arial" w:hAnsi="Arial" w:cs="Arial"/>
          <w:sz w:val="14"/>
        </w:rPr>
        <w:t xml:space="preserve">: </w:t>
      </w:r>
      <w:proofErr w:type="gramStart"/>
      <w:r>
        <w:rPr>
          <w:rFonts w:ascii="Arial" w:eastAsia="Arial" w:hAnsi="Arial" w:cs="Arial"/>
          <w:sz w:val="14"/>
        </w:rPr>
        <w:t>CZ19010290,                         Zapsána</w:t>
      </w:r>
      <w:proofErr w:type="gramEnd"/>
      <w:r>
        <w:rPr>
          <w:rFonts w:ascii="Arial" w:eastAsia="Arial" w:hAnsi="Arial" w:cs="Arial"/>
          <w:sz w:val="14"/>
        </w:rPr>
        <w:t xml:space="preserve"> v obchodním re</w:t>
      </w:r>
      <w:r>
        <w:rPr>
          <w:rFonts w:ascii="Arial" w:eastAsia="Arial" w:hAnsi="Arial" w:cs="Arial"/>
          <w:sz w:val="14"/>
        </w:rPr>
        <w:t xml:space="preserve">jstříku vedeném Krajským soudem v Ostravě, oddíl B, vložka 188, </w:t>
      </w:r>
      <w:r>
        <w:rPr>
          <w:rFonts w:ascii="Arial" w:eastAsia="Arial" w:hAnsi="Arial" w:cs="Arial"/>
          <w:b/>
          <w:color w:val="006600"/>
          <w:sz w:val="14"/>
        </w:rPr>
        <w:t xml:space="preserve">                       </w:t>
      </w:r>
      <w:hyperlink r:id="rId9">
        <w:r>
          <w:rPr>
            <w:rFonts w:ascii="Arial" w:eastAsia="Arial" w:hAnsi="Arial" w:cs="Arial"/>
            <w:b/>
            <w:color w:val="006600"/>
            <w:sz w:val="14"/>
          </w:rPr>
          <w:t xml:space="preserve">  </w:t>
        </w:r>
      </w:hyperlink>
      <w:hyperlink r:id="rId10">
        <w:r>
          <w:rPr>
            <w:rFonts w:ascii="Arial" w:eastAsia="Arial" w:hAnsi="Arial" w:cs="Arial"/>
            <w:b/>
            <w:color w:val="006600"/>
            <w:sz w:val="14"/>
            <w:u w:val="single" w:color="006600"/>
          </w:rPr>
          <w:t>www.pharmos.cz</w:t>
        </w:r>
      </w:hyperlink>
      <w:hyperlink r:id="rId11">
        <w:r>
          <w:rPr>
            <w:rFonts w:ascii="Arial" w:eastAsia="Arial" w:hAnsi="Arial" w:cs="Arial"/>
            <w:b/>
            <w:color w:val="006600"/>
            <w:sz w:val="14"/>
          </w:rPr>
          <w:t xml:space="preserve">, </w:t>
        </w:r>
      </w:hyperlink>
      <w:r>
        <w:rPr>
          <w:rFonts w:ascii="Arial" w:eastAsia="Arial" w:hAnsi="Arial" w:cs="Arial"/>
          <w:b/>
          <w:sz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</w:rPr>
        <w:t xml:space="preserve">tel:  </w:t>
      </w:r>
      <w:r>
        <w:rPr>
          <w:rFonts w:ascii="Arial" w:eastAsia="Arial" w:hAnsi="Arial" w:cs="Arial"/>
          <w:sz w:val="14"/>
        </w:rPr>
        <w:t>597 575 211</w:t>
      </w:r>
      <w:proofErr w:type="gramEnd"/>
      <w:r>
        <w:rPr>
          <w:rFonts w:ascii="Arial" w:eastAsia="Arial" w:hAnsi="Arial" w:cs="Arial"/>
          <w:b/>
          <w:sz w:val="14"/>
        </w:rPr>
        <w:t>,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fax: </w:t>
      </w:r>
      <w:r>
        <w:rPr>
          <w:rFonts w:ascii="Arial" w:eastAsia="Arial" w:hAnsi="Arial" w:cs="Arial"/>
          <w:sz w:val="14"/>
        </w:rPr>
        <w:t xml:space="preserve"> 597 575 261</w:t>
      </w:r>
      <w:r>
        <w:rPr>
          <w:rFonts w:ascii="Arial" w:eastAsia="Arial" w:hAnsi="Arial" w:cs="Arial"/>
          <w:b/>
          <w:sz w:val="14"/>
        </w:rPr>
        <w:t xml:space="preserve">,  e-mail:  </w:t>
      </w:r>
      <w:r>
        <w:rPr>
          <w:rFonts w:ascii="Arial" w:eastAsia="Arial" w:hAnsi="Arial" w:cs="Arial"/>
          <w:b/>
          <w:color w:val="006600"/>
          <w:sz w:val="14"/>
          <w:u w:val="single" w:color="006600"/>
        </w:rPr>
        <w:t>info@pharmos.cz</w:t>
      </w:r>
      <w:r>
        <w:rPr>
          <w:rFonts w:ascii="Arial" w:eastAsia="Arial" w:hAnsi="Arial" w:cs="Arial"/>
          <w:sz w:val="14"/>
        </w:rPr>
        <w:t xml:space="preserve"> </w:t>
      </w:r>
    </w:p>
    <w:p w:rsidR="004B0A3A" w:rsidRDefault="000F54AC">
      <w:pPr>
        <w:spacing w:after="14" w:line="259" w:lineRule="auto"/>
        <w:ind w:left="4534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:rsidR="004B0A3A" w:rsidRDefault="000F54AC">
      <w:pPr>
        <w:spacing w:after="0" w:line="259" w:lineRule="auto"/>
        <w:ind w:left="0" w:right="-22" w:firstLine="0"/>
        <w:jc w:val="right"/>
      </w:pPr>
      <w:r>
        <w:rPr>
          <w:rFonts w:ascii="Arial" w:eastAsia="Arial" w:hAnsi="Arial" w:cs="Arial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B0A3A" w:rsidRDefault="000F54AC">
      <w:pPr>
        <w:spacing w:after="0" w:line="234" w:lineRule="auto"/>
        <w:ind w:left="4534" w:right="1484" w:hanging="4414"/>
        <w:jc w:val="left"/>
      </w:pPr>
      <w:r>
        <w:rPr>
          <w:rFonts w:ascii="Arial" w:eastAsia="Arial" w:hAnsi="Arial" w:cs="Arial"/>
          <w:sz w:val="10"/>
        </w:rPr>
        <w:t xml:space="preserve">                                        </w:t>
      </w:r>
      <w:r>
        <w:rPr>
          <w:rFonts w:ascii="Arial" w:eastAsia="Arial" w:hAnsi="Arial" w:cs="Arial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Držitel Certifikátu ISO 9001:20</w:t>
      </w:r>
      <w:r>
        <w:rPr>
          <w:rFonts w:ascii="Arial" w:eastAsia="Arial" w:hAnsi="Arial" w:cs="Arial"/>
          <w:sz w:val="10"/>
        </w:rPr>
        <w:t xml:space="preserve">08                                                                                                  </w:t>
      </w:r>
    </w:p>
    <w:sectPr w:rsidR="004B0A3A">
      <w:pgSz w:w="11906" w:h="16838"/>
      <w:pgMar w:top="1440" w:right="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72B"/>
    <w:multiLevelType w:val="hybridMultilevel"/>
    <w:tmpl w:val="655C0CD0"/>
    <w:lvl w:ilvl="0" w:tplc="EFA2E41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63F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0F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072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CB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2A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EC2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42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A"/>
    <w:rsid w:val="000F54AC"/>
    <w:rsid w:val="004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D0F5-22CC-41C3-B62F-37C13355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://www.pharmos.cz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pharm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o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3184</Characters>
  <Application>Microsoft Office Word</Application>
  <DocSecurity>0</DocSecurity>
  <Lines>26</Lines>
  <Paragraphs>7</Paragraphs>
  <ScaleCrop>false</ScaleCrop>
  <Company>Psychiatrická nemocnice Bohnice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jana.czapkova</dc:creator>
  <cp:keywords/>
  <cp:lastModifiedBy>tjarolimova</cp:lastModifiedBy>
  <cp:revision>2</cp:revision>
  <dcterms:created xsi:type="dcterms:W3CDTF">2022-07-15T08:46:00Z</dcterms:created>
  <dcterms:modified xsi:type="dcterms:W3CDTF">2022-07-15T08:46:00Z</dcterms:modified>
</cp:coreProperties>
</file>