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69E63CCA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26066E">
        <w:rPr>
          <w:rFonts w:ascii="Arial" w:hAnsi="Arial" w:cs="Arial"/>
          <w:b/>
          <w:color w:val="auto"/>
          <w:sz w:val="24"/>
          <w:szCs w:val="24"/>
        </w:rPr>
        <w:t>4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022744A5" w14:textId="461C1B44" w:rsidR="00133D39" w:rsidRDefault="0061182C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7328F0D5" w14:textId="22DFF6BE" w:rsidR="0061182C" w:rsidRDefault="0061182C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3C0A53E6" w14:textId="244A54AE" w:rsidR="0061182C" w:rsidRPr="00133D39" w:rsidRDefault="0061182C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UniCredit</w:t>
            </w:r>
            <w:proofErr w:type="spellEnd"/>
            <w:r>
              <w:rPr>
                <w:sz w:val="22"/>
                <w:szCs w:val="22"/>
              </w:rPr>
              <w:t xml:space="preserve">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</w:t>
            </w:r>
            <w:proofErr w:type="spellStart"/>
            <w:r>
              <w:rPr>
                <w:sz w:val="22"/>
                <w:szCs w:val="22"/>
              </w:rPr>
              <w:t>Reitingerová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1269FC7" w14:textId="69AB2BC6" w:rsidR="0061182C" w:rsidRDefault="0061182C" w:rsidP="0008191E">
            <w:pPr>
              <w:tabs>
                <w:tab w:val="left" w:pos="12768"/>
              </w:tabs>
              <w:ind w:left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14:paraId="06193867" w14:textId="5503F9F4" w:rsidR="0061182C" w:rsidRDefault="0061182C" w:rsidP="0008191E">
            <w:pPr>
              <w:tabs>
                <w:tab w:val="left" w:pos="12768"/>
              </w:tabs>
              <w:ind w:left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14:paraId="13F801E1" w14:textId="7B397E80" w:rsidR="00DB7CC4" w:rsidRPr="00C45BAF" w:rsidRDefault="0061182C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08191E"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UniCredit</w:t>
            </w:r>
            <w:proofErr w:type="spellEnd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4008A0DA" w:rsidR="0008191E" w:rsidRPr="0008191E" w:rsidRDefault="0061182C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proofErr w:type="spellEnd"/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9EAF7C7" w:rsidR="001F582E" w:rsidRPr="00C8774B" w:rsidRDefault="00732AE7" w:rsidP="00732AE7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732AE7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GAC | Neformální Rada pro všeobecné záležitosti</w:t>
            </w:r>
            <w:r w:rsidRPr="00732AE7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732AE7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732AE7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732AE7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1022C" w14:textId="77777777" w:rsidR="008352D2" w:rsidRPr="008352D2" w:rsidRDefault="008352D2" w:rsidP="00835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Neomezená konzumace teplých a studených nápojů pro vedoucí delegací a delegáty po dobu 1/2dne, tj. dopolední / dopolední (jednotka 1 účastník)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100</w:t>
            </w:r>
          </w:p>
          <w:p w14:paraId="57ED0D8D" w14:textId="77777777" w:rsidR="008352D2" w:rsidRPr="008352D2" w:rsidRDefault="008352D2" w:rsidP="00835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Neomezená konzumace teplých a studených nápojů pro ostatní personál a novináře po dobu 1/2dne, tj. dopolední / dopolední (jednotka 1 účastník)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443</w:t>
            </w:r>
          </w:p>
          <w:p w14:paraId="3C2DC393" w14:textId="77777777" w:rsidR="008352D2" w:rsidRPr="008352D2" w:rsidRDefault="008352D2" w:rsidP="00835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proofErr w:type="spellStart"/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>Coffee</w:t>
            </w:r>
            <w:proofErr w:type="spellEnd"/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>break</w:t>
            </w:r>
            <w:proofErr w:type="spellEnd"/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VIP pro vedoucí delegací (jednotka 1 účastník)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100</w:t>
            </w:r>
          </w:p>
          <w:p w14:paraId="42B4A0B7" w14:textId="6556D4F3" w:rsidR="008352D2" w:rsidRPr="008352D2" w:rsidRDefault="008352D2" w:rsidP="00835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Servírovaný oběd pro </w:t>
            </w:r>
            <w:r w:rsidR="00B22A1C">
              <w:rPr>
                <w:rFonts w:ascii="Arial" w:hAnsi="Arial" w:cs="Arial"/>
                <w:sz w:val="22"/>
                <w:szCs w:val="22"/>
                <w:lang w:eastAsia="en-US"/>
              </w:rPr>
              <w:t>vedoucí delegací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(jednotka 1 účastník)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65</w:t>
            </w:r>
          </w:p>
          <w:p w14:paraId="26865CCE" w14:textId="77777777" w:rsidR="008352D2" w:rsidRPr="008352D2" w:rsidRDefault="008352D2" w:rsidP="00835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Bufetový oběd C - pro ostatní personál a novináře (jednotka 1 účastník)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443</w:t>
            </w:r>
          </w:p>
          <w:p w14:paraId="0BA319E4" w14:textId="77777777" w:rsidR="008352D2" w:rsidRPr="008352D2" w:rsidRDefault="008352D2" w:rsidP="00835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Zajištění cateringového mobiliáře a inventáře (jednotka 1 účastník)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473</w:t>
            </w:r>
          </w:p>
          <w:p w14:paraId="4DDD62E7" w14:textId="0B24E525" w:rsidR="0090735B" w:rsidRPr="008352D2" w:rsidRDefault="008352D2" w:rsidP="008352D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>•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Zajištění odborného a pomocného personálu (jednotka 1 obslužný/pomocný personál)</w:t>
            </w:r>
            <w:r w:rsidRPr="008352D2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48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0042332E" w:rsidR="00DB7CC4" w:rsidRPr="008D0CF8" w:rsidRDefault="00732AE7" w:rsidP="00732AE7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15. 7. 2022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4D8F7E78" w:rsidR="008D0CF8" w:rsidRPr="008D0CF8" w:rsidRDefault="00732AE7" w:rsidP="0090735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15. 7. 2022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6221A4" w:rsidRPr="00C45BAF" w14:paraId="21501EA5" w14:textId="77777777" w:rsidTr="0013770B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6221A4" w:rsidRDefault="006221A4" w:rsidP="006221A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6221A4" w:rsidRDefault="006221A4" w:rsidP="006221A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0AFAB" w14:textId="6B9E3B40" w:rsidR="006221A4" w:rsidRPr="006221A4" w:rsidRDefault="006221A4" w:rsidP="006221A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21A4">
              <w:rPr>
                <w:rFonts w:ascii="Arial" w:hAnsi="Arial" w:cs="Arial"/>
                <w:sz w:val="22"/>
                <w:szCs w:val="22"/>
                <w:lang w:eastAsia="en-US"/>
              </w:rPr>
              <w:t>575 835,00 Kč</w:t>
            </w:r>
          </w:p>
        </w:tc>
      </w:tr>
      <w:tr w:rsidR="006221A4" w:rsidRPr="00C45BAF" w14:paraId="444E618D" w14:textId="77777777" w:rsidTr="0013770B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6221A4" w:rsidRPr="00C45BAF" w:rsidRDefault="006221A4" w:rsidP="006221A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6221A4" w:rsidRDefault="006221A4" w:rsidP="006221A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8FEA9" w14:textId="208B98DB" w:rsidR="006221A4" w:rsidRPr="006221A4" w:rsidRDefault="006221A4" w:rsidP="006221A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21A4">
              <w:rPr>
                <w:rFonts w:ascii="Arial" w:hAnsi="Arial" w:cs="Arial"/>
                <w:sz w:val="22"/>
                <w:szCs w:val="22"/>
                <w:lang w:eastAsia="en-US"/>
              </w:rPr>
              <w:t>656 045,50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6B262AB5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proofErr w:type="gramStart"/>
      <w:r w:rsidR="00710FBC">
        <w:rPr>
          <w:rFonts w:ascii="Arial" w:hAnsi="Arial" w:cs="Arial"/>
          <w:sz w:val="22"/>
          <w:szCs w:val="22"/>
        </w:rPr>
        <w:t>14.7.2022</w:t>
      </w:r>
      <w:proofErr w:type="gramEnd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61777EF" w:rsidR="00DE4E72" w:rsidRDefault="00710FBC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</w:t>
      </w:r>
      <w:proofErr w:type="spellStart"/>
      <w:r>
        <w:rPr>
          <w:rFonts w:ascii="Arial" w:hAnsi="Arial"/>
          <w:sz w:val="22"/>
          <w:szCs w:val="22"/>
        </w:rPr>
        <w:t>Krutilová</w:t>
      </w:r>
      <w:proofErr w:type="spell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Jan Šmelhaus</w:t>
      </w:r>
      <w:bookmarkStart w:id="0" w:name="_GoBack"/>
      <w:bookmarkEnd w:id="0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C296" w14:textId="77777777" w:rsidR="00BB4764" w:rsidRDefault="00BB4764" w:rsidP="004852F1">
      <w:r>
        <w:separator/>
      </w:r>
    </w:p>
  </w:endnote>
  <w:endnote w:type="continuationSeparator" w:id="0">
    <w:p w14:paraId="32D3F1A7" w14:textId="77777777" w:rsidR="00BB4764" w:rsidRDefault="00BB4764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40BB4C0E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710FBC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710FBC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23A8D" w14:textId="77777777" w:rsidR="00BB4764" w:rsidRDefault="00BB4764" w:rsidP="004852F1">
      <w:r>
        <w:separator/>
      </w:r>
    </w:p>
  </w:footnote>
  <w:footnote w:type="continuationSeparator" w:id="0">
    <w:p w14:paraId="752F15BA" w14:textId="77777777" w:rsidR="00BB4764" w:rsidRDefault="00BB4764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66E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68B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82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1A4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0FBC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2AE7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2D2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2F29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2A1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2F86-7088-4BE8-A6A3-327ABD21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134</TotalTime>
  <Pages>3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Hlobilová Vendula</cp:lastModifiedBy>
  <cp:revision>16</cp:revision>
  <cp:lastPrinted>2022-03-17T17:07:00Z</cp:lastPrinted>
  <dcterms:created xsi:type="dcterms:W3CDTF">2022-06-02T13:31:00Z</dcterms:created>
  <dcterms:modified xsi:type="dcterms:W3CDTF">2022-07-14T11:49:00Z</dcterms:modified>
</cp:coreProperties>
</file>