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22"/>
        <w:gridCol w:w="160"/>
      </w:tblGrid>
      <w:tr w:rsidR="006D7F3F" w14:paraId="7F3E4970" w14:textId="77777777" w:rsidTr="00F5483A">
        <w:trPr>
          <w:trHeight w:val="84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</w:tcPr>
          <w:p w14:paraId="0894932D" w14:textId="77777777" w:rsidR="006D7F3F" w:rsidRDefault="006D7F3F" w:rsidP="006D7F3F">
            <w:pPr>
              <w:pStyle w:val="Osloven"/>
              <w:ind w:left="-1487" w:right="657"/>
            </w:pPr>
          </w:p>
        </w:tc>
        <w:tc>
          <w:tcPr>
            <w:tcW w:w="3922" w:type="dxa"/>
          </w:tcPr>
          <w:p w14:paraId="46DECB30" w14:textId="77777777" w:rsidR="006D7F3F" w:rsidRPr="00671C6A" w:rsidRDefault="006D7F3F" w:rsidP="006D7F3F"/>
        </w:tc>
        <w:tc>
          <w:tcPr>
            <w:tcW w:w="158" w:type="dxa"/>
            <w:tcBorders>
              <w:top w:val="single" w:sz="4" w:space="0" w:color="auto"/>
              <w:right w:val="single" w:sz="4" w:space="0" w:color="auto"/>
            </w:tcBorders>
          </w:tcPr>
          <w:p w14:paraId="6C25BFDC" w14:textId="77777777" w:rsidR="006D7F3F" w:rsidRDefault="006D7F3F" w:rsidP="006D7F3F">
            <w:pPr>
              <w:pStyle w:val="Osloven"/>
            </w:pPr>
          </w:p>
        </w:tc>
      </w:tr>
      <w:tr w:rsidR="006D7F3F" w14:paraId="6FC5A87D" w14:textId="77777777" w:rsidTr="00F5483A">
        <w:trPr>
          <w:trHeight w:val="1071"/>
        </w:trPr>
        <w:tc>
          <w:tcPr>
            <w:tcW w:w="158" w:type="dxa"/>
          </w:tcPr>
          <w:p w14:paraId="13944AE5" w14:textId="77777777" w:rsidR="006D7F3F" w:rsidRDefault="006D7F3F" w:rsidP="006D7F3F">
            <w:pPr>
              <w:pStyle w:val="Osloven"/>
            </w:pPr>
          </w:p>
        </w:tc>
        <w:tc>
          <w:tcPr>
            <w:tcW w:w="3922" w:type="dxa"/>
          </w:tcPr>
          <w:p w14:paraId="42759CC2" w14:textId="77777777" w:rsidR="00375485" w:rsidRDefault="00973581" w:rsidP="00375485">
            <w:r>
              <w:tab/>
            </w:r>
            <w:r w:rsidR="00375485">
              <w:t xml:space="preserve">Ing. arch. Miroslav </w:t>
            </w:r>
            <w:proofErr w:type="gramStart"/>
            <w:r w:rsidR="00375485">
              <w:t xml:space="preserve">Míka - </w:t>
            </w:r>
            <w:proofErr w:type="spellStart"/>
            <w:r w:rsidR="00375485">
              <w:t>Markant</w:t>
            </w:r>
            <w:proofErr w:type="spellEnd"/>
            <w:proofErr w:type="gramEnd"/>
          </w:p>
          <w:p w14:paraId="51859FA5" w14:textId="77777777" w:rsidR="00375485" w:rsidRDefault="00375485" w:rsidP="00375485">
            <w:r>
              <w:tab/>
            </w:r>
            <w:r>
              <w:t>Ruská 124/15</w:t>
            </w:r>
          </w:p>
          <w:p w14:paraId="350B9984" w14:textId="38207DC4" w:rsidR="00375485" w:rsidRDefault="00375485" w:rsidP="00375485">
            <w:r>
              <w:t>353 01 Mariánské Lázně</w:t>
            </w:r>
          </w:p>
          <w:p w14:paraId="54CAAA02" w14:textId="77777777" w:rsidR="00375485" w:rsidRDefault="00375485" w:rsidP="00375485">
            <w:r>
              <w:t>IČO: 10337075</w:t>
            </w:r>
          </w:p>
          <w:p w14:paraId="7279E431" w14:textId="60F4623D" w:rsidR="00275113" w:rsidRPr="00671C6A" w:rsidRDefault="00275113" w:rsidP="00BD0A9D"/>
        </w:tc>
        <w:tc>
          <w:tcPr>
            <w:tcW w:w="158" w:type="dxa"/>
          </w:tcPr>
          <w:p w14:paraId="4934203D" w14:textId="77777777" w:rsidR="006D7F3F" w:rsidRDefault="006D7F3F" w:rsidP="006D7F3F">
            <w:pPr>
              <w:pStyle w:val="Osloven"/>
            </w:pPr>
          </w:p>
        </w:tc>
      </w:tr>
      <w:tr w:rsidR="00D55DC4" w14:paraId="1FBEE824" w14:textId="77777777" w:rsidTr="00F5483A">
        <w:trPr>
          <w:trHeight w:val="102"/>
        </w:trPr>
        <w:tc>
          <w:tcPr>
            <w:tcW w:w="158" w:type="dxa"/>
            <w:tcBorders>
              <w:left w:val="single" w:sz="4" w:space="0" w:color="auto"/>
              <w:bottom w:val="single" w:sz="4" w:space="0" w:color="auto"/>
            </w:tcBorders>
          </w:tcPr>
          <w:p w14:paraId="0CDDA592" w14:textId="77777777" w:rsidR="00D55DC4" w:rsidRDefault="00D55DC4">
            <w:pPr>
              <w:pStyle w:val="Osloven"/>
            </w:pPr>
          </w:p>
        </w:tc>
        <w:tc>
          <w:tcPr>
            <w:tcW w:w="3922" w:type="dxa"/>
          </w:tcPr>
          <w:p w14:paraId="2E2583B8" w14:textId="77777777" w:rsidR="00D55DC4" w:rsidRDefault="00D55DC4">
            <w:pPr>
              <w:pStyle w:val="Osloven"/>
            </w:pPr>
          </w:p>
        </w:tc>
        <w:tc>
          <w:tcPr>
            <w:tcW w:w="158" w:type="dxa"/>
            <w:tcBorders>
              <w:bottom w:val="single" w:sz="4" w:space="0" w:color="auto"/>
              <w:right w:val="single" w:sz="4" w:space="0" w:color="auto"/>
            </w:tcBorders>
          </w:tcPr>
          <w:p w14:paraId="703AEDBA" w14:textId="77777777" w:rsidR="00D55DC4" w:rsidRDefault="00D55DC4">
            <w:pPr>
              <w:pStyle w:val="Osloven"/>
            </w:pPr>
          </w:p>
        </w:tc>
      </w:tr>
    </w:tbl>
    <w:p w14:paraId="79DC7262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259"/>
        <w:gridCol w:w="3411"/>
        <w:gridCol w:w="2279"/>
      </w:tblGrid>
      <w:tr w:rsidR="00D55DC4" w14:paraId="02DFD434" w14:textId="77777777" w:rsidTr="004D4FD3">
        <w:trPr>
          <w:cantSplit/>
          <w:trHeight w:val="263"/>
          <w:jc w:val="center"/>
        </w:trPr>
        <w:tc>
          <w:tcPr>
            <w:tcW w:w="1560" w:type="dxa"/>
            <w:vAlign w:val="center"/>
          </w:tcPr>
          <w:p w14:paraId="191D1A7B" w14:textId="77777777" w:rsidR="00D55DC4" w:rsidRDefault="00D55DC4" w:rsidP="004D4FD3">
            <w:pPr>
              <w:pStyle w:val="Osloven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0C8DA459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3411" w:type="dxa"/>
            <w:vAlign w:val="center"/>
          </w:tcPr>
          <w:p w14:paraId="30E69EA2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1A607E73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AF7642" w14:paraId="0E2B6B0D" w14:textId="77777777" w:rsidTr="004D4FD3">
        <w:trPr>
          <w:cantSplit/>
          <w:jc w:val="center"/>
        </w:trPr>
        <w:tc>
          <w:tcPr>
            <w:tcW w:w="1560" w:type="dxa"/>
            <w:vAlign w:val="center"/>
          </w:tcPr>
          <w:p w14:paraId="5FDC7ADF" w14:textId="77777777" w:rsidR="00AF7642" w:rsidRDefault="00AF7642" w:rsidP="003348E9">
            <w:pPr>
              <w:jc w:val="center"/>
            </w:pPr>
          </w:p>
        </w:tc>
        <w:tc>
          <w:tcPr>
            <w:tcW w:w="2259" w:type="dxa"/>
            <w:vAlign w:val="center"/>
          </w:tcPr>
          <w:p w14:paraId="2862AEC2" w14:textId="66BFE0E0" w:rsidR="00AF7642" w:rsidRPr="008C05F6" w:rsidRDefault="009C23AE" w:rsidP="00F5483A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proofErr w:type="spellStart"/>
            <w:r w:rsidRPr="009C23AE">
              <w:t>IaD</w:t>
            </w:r>
            <w:proofErr w:type="spellEnd"/>
            <w:r w:rsidRPr="009C23AE">
              <w:t>/22/1213/SP</w:t>
            </w:r>
          </w:p>
        </w:tc>
        <w:tc>
          <w:tcPr>
            <w:tcW w:w="3411" w:type="dxa"/>
            <w:vAlign w:val="center"/>
          </w:tcPr>
          <w:p w14:paraId="6CD7089D" w14:textId="77777777" w:rsidR="00AF7642" w:rsidRPr="008C05F6" w:rsidRDefault="000B52C7" w:rsidP="00F566BB">
            <w:pPr>
              <w:jc w:val="center"/>
            </w:pPr>
            <w:r w:rsidRPr="008C05F6">
              <w:t xml:space="preserve">Ing. </w:t>
            </w:r>
            <w:r w:rsidR="00F566BB" w:rsidRPr="008C05F6">
              <w:t>Stanislav Pajer</w:t>
            </w:r>
            <w:r w:rsidRPr="008C05F6">
              <w:t xml:space="preserve"> / </w:t>
            </w:r>
            <w:r w:rsidR="004D4FD3">
              <w:t xml:space="preserve">354 922 </w:t>
            </w:r>
            <w:r w:rsidR="00F566BB" w:rsidRPr="008C05F6">
              <w:t>158</w:t>
            </w:r>
          </w:p>
        </w:tc>
        <w:tc>
          <w:tcPr>
            <w:tcW w:w="2279" w:type="dxa"/>
            <w:vAlign w:val="center"/>
          </w:tcPr>
          <w:p w14:paraId="10725B76" w14:textId="49FBE257" w:rsidR="00AF7642" w:rsidRPr="008C05F6" w:rsidRDefault="009C23AE" w:rsidP="008C05F6">
            <w:pPr>
              <w:jc w:val="center"/>
            </w:pPr>
            <w:r>
              <w:t>21.6</w:t>
            </w:r>
            <w:r w:rsidR="00BA63A2">
              <w:t>.2022</w:t>
            </w:r>
          </w:p>
        </w:tc>
      </w:tr>
    </w:tbl>
    <w:p w14:paraId="32B69981" w14:textId="77777777" w:rsidR="00D55DC4" w:rsidRDefault="00D55DC4">
      <w:pPr>
        <w:jc w:val="both"/>
        <w:rPr>
          <w:sz w:val="22"/>
        </w:rPr>
      </w:pPr>
    </w:p>
    <w:p w14:paraId="222BC427" w14:textId="77777777" w:rsidR="00D55DC4" w:rsidRPr="009249DE" w:rsidRDefault="00D55DC4">
      <w:pPr>
        <w:rPr>
          <w:sz w:val="16"/>
          <w:szCs w:val="16"/>
        </w:rPr>
      </w:pPr>
    </w:p>
    <w:p w14:paraId="0410E14A" w14:textId="6B442FD6" w:rsidR="00AF7642" w:rsidRPr="00275113" w:rsidRDefault="004D4FD3" w:rsidP="009C23AE">
      <w:pPr>
        <w:ind w:left="284"/>
        <w:jc w:val="center"/>
        <w:rPr>
          <w:b/>
          <w:sz w:val="24"/>
          <w:szCs w:val="24"/>
        </w:rPr>
      </w:pPr>
      <w:r w:rsidRPr="00275113">
        <w:rPr>
          <w:b/>
          <w:sz w:val="24"/>
          <w:szCs w:val="24"/>
        </w:rPr>
        <w:t xml:space="preserve">Objednávka – </w:t>
      </w:r>
      <w:r w:rsidR="009C23AE">
        <w:rPr>
          <w:b/>
          <w:sz w:val="24"/>
          <w:szCs w:val="24"/>
        </w:rPr>
        <w:t>Zpracování projektové dokumentace pro akci „</w:t>
      </w:r>
      <w:r w:rsidR="009C23AE" w:rsidRPr="009C23AE">
        <w:rPr>
          <w:b/>
          <w:sz w:val="24"/>
          <w:szCs w:val="24"/>
        </w:rPr>
        <w:t>Zahrádkářská kolonie</w:t>
      </w:r>
      <w:r w:rsidR="009C23AE">
        <w:rPr>
          <w:b/>
          <w:sz w:val="24"/>
          <w:szCs w:val="24"/>
        </w:rPr>
        <w:t xml:space="preserve"> – Rybízovna 2“</w:t>
      </w:r>
    </w:p>
    <w:p w14:paraId="169F948C" w14:textId="77777777" w:rsidR="00AF7642" w:rsidRDefault="00AF7642" w:rsidP="00AF7642">
      <w:pPr>
        <w:jc w:val="both"/>
        <w:rPr>
          <w:sz w:val="22"/>
        </w:rPr>
      </w:pPr>
    </w:p>
    <w:p w14:paraId="03128F56" w14:textId="5F0D4BD9" w:rsidR="000A3319" w:rsidRPr="008E7D15" w:rsidRDefault="004D4FD3" w:rsidP="00AF7642">
      <w:pPr>
        <w:rPr>
          <w:sz w:val="22"/>
        </w:rPr>
      </w:pPr>
      <w:r>
        <w:rPr>
          <w:sz w:val="22"/>
        </w:rPr>
        <w:t xml:space="preserve">Objednáváme u </w:t>
      </w:r>
      <w:r w:rsidR="009C23AE" w:rsidRPr="009C23AE">
        <w:rPr>
          <w:sz w:val="22"/>
        </w:rPr>
        <w:t>Zpracování projektové dokumentace pro akci „Zahrádkářská kolonie – Rybízovna 2</w:t>
      </w:r>
      <w:r w:rsidR="009C23AE">
        <w:rPr>
          <w:sz w:val="22"/>
        </w:rPr>
        <w:t xml:space="preserve">“ </w:t>
      </w:r>
      <w:r>
        <w:rPr>
          <w:sz w:val="22"/>
        </w:rPr>
        <w:t>dle vaší nabídky</w:t>
      </w:r>
      <w:r w:rsidRPr="008E7D15">
        <w:rPr>
          <w:sz w:val="22"/>
        </w:rPr>
        <w:t xml:space="preserve"> </w:t>
      </w:r>
      <w:r w:rsidRPr="00F5483A">
        <w:rPr>
          <w:sz w:val="22"/>
        </w:rPr>
        <w:t xml:space="preserve">ze </w:t>
      </w:r>
      <w:r w:rsidR="009C23AE">
        <w:rPr>
          <w:sz w:val="22"/>
        </w:rPr>
        <w:t>21.6.2022</w:t>
      </w:r>
      <w:r w:rsidR="00F5483A" w:rsidRPr="00F5483A">
        <w:rPr>
          <w:sz w:val="22"/>
        </w:rPr>
        <w:t>.</w:t>
      </w:r>
      <w:r w:rsidR="00A81CE6" w:rsidRPr="00F5483A">
        <w:rPr>
          <w:sz w:val="22"/>
        </w:rPr>
        <w:t xml:space="preserve"> </w:t>
      </w:r>
    </w:p>
    <w:p w14:paraId="7A118CDD" w14:textId="77777777" w:rsidR="00A81CE6" w:rsidRPr="008E7D15" w:rsidRDefault="00A81CE6" w:rsidP="00AD08B6">
      <w:pPr>
        <w:pStyle w:val="Nadpis2"/>
        <w:numPr>
          <w:ilvl w:val="0"/>
          <w:numId w:val="10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8E7D15">
        <w:rPr>
          <w:b/>
          <w:sz w:val="24"/>
          <w:szCs w:val="24"/>
        </w:rPr>
        <w:t>Předmět plnění objednávky</w:t>
      </w:r>
    </w:p>
    <w:p w14:paraId="3E3E8403" w14:textId="5DC90845" w:rsidR="009C23AE" w:rsidRDefault="009C23AE" w:rsidP="00BD0A9D">
      <w:pPr>
        <w:pStyle w:val="Nadpis2"/>
        <w:spacing w:before="120" w:after="120" w:line="276" w:lineRule="auto"/>
        <w:jc w:val="both"/>
        <w:rPr>
          <w:sz w:val="22"/>
        </w:rPr>
      </w:pPr>
      <w:r w:rsidRPr="009C23AE">
        <w:rPr>
          <w:sz w:val="22"/>
        </w:rPr>
        <w:t>Zpracování projektové dokumentace pro akci „Zahrádkářská kolonie – Rybízovna 2</w:t>
      </w:r>
      <w:r>
        <w:rPr>
          <w:sz w:val="22"/>
        </w:rPr>
        <w:t>“ dle vaší nabídky</w:t>
      </w:r>
      <w:r w:rsidRPr="008E7D15">
        <w:rPr>
          <w:sz w:val="22"/>
        </w:rPr>
        <w:t xml:space="preserve"> </w:t>
      </w:r>
      <w:r w:rsidRPr="00F5483A">
        <w:rPr>
          <w:sz w:val="22"/>
        </w:rPr>
        <w:t xml:space="preserve">ze </w:t>
      </w:r>
      <w:r>
        <w:rPr>
          <w:sz w:val="22"/>
        </w:rPr>
        <w:t>21.6.2022</w:t>
      </w:r>
      <w:r w:rsidRPr="00F5483A">
        <w:rPr>
          <w:sz w:val="22"/>
        </w:rPr>
        <w:t xml:space="preserve">. </w:t>
      </w:r>
    </w:p>
    <w:p w14:paraId="148DBBBF" w14:textId="77777777" w:rsidR="009C23AE" w:rsidRPr="009C23AE" w:rsidRDefault="009C23AE" w:rsidP="009C23AE">
      <w:pPr>
        <w:pStyle w:val="Nadpis2"/>
        <w:spacing w:before="120" w:after="120" w:line="276" w:lineRule="auto"/>
        <w:jc w:val="both"/>
        <w:rPr>
          <w:sz w:val="22"/>
        </w:rPr>
      </w:pPr>
      <w:r w:rsidRPr="009C23AE">
        <w:rPr>
          <w:sz w:val="22"/>
        </w:rPr>
        <w:t>Dílo se sestává z těchto základních částí:</w:t>
      </w:r>
    </w:p>
    <w:p w14:paraId="367C94B3" w14:textId="77777777" w:rsidR="009C23AE" w:rsidRDefault="009C23AE" w:rsidP="009C23AE">
      <w:pPr>
        <w:pStyle w:val="Nadpis2"/>
        <w:numPr>
          <w:ilvl w:val="1"/>
          <w:numId w:val="10"/>
        </w:numPr>
        <w:spacing w:line="260" w:lineRule="exact"/>
        <w:jc w:val="both"/>
        <w:rPr>
          <w:bCs/>
          <w:sz w:val="22"/>
          <w:szCs w:val="22"/>
        </w:rPr>
      </w:pPr>
      <w:bookmarkStart w:id="0" w:name="_Ref450197736"/>
      <w:r w:rsidRPr="009C23AE">
        <w:rPr>
          <w:bCs/>
          <w:sz w:val="22"/>
          <w:szCs w:val="22"/>
        </w:rPr>
        <w:t xml:space="preserve">Zabezpečení vstupních podkladů </w:t>
      </w:r>
    </w:p>
    <w:p w14:paraId="2FAE733E" w14:textId="77777777" w:rsidR="009C23AE" w:rsidRDefault="009C23AE" w:rsidP="009C23AE">
      <w:pPr>
        <w:pStyle w:val="Nadpis2"/>
        <w:numPr>
          <w:ilvl w:val="2"/>
          <w:numId w:val="10"/>
        </w:numPr>
        <w:spacing w:line="260" w:lineRule="exact"/>
        <w:jc w:val="both"/>
        <w:rPr>
          <w:bCs/>
          <w:sz w:val="22"/>
          <w:szCs w:val="22"/>
        </w:rPr>
      </w:pPr>
      <w:r w:rsidRPr="009C23AE">
        <w:rPr>
          <w:bCs/>
          <w:sz w:val="22"/>
          <w:szCs w:val="22"/>
        </w:rPr>
        <w:t xml:space="preserve"> provedení geodetického zaměření stavby </w:t>
      </w:r>
    </w:p>
    <w:p w14:paraId="03917E17" w14:textId="77777777" w:rsidR="009C23AE" w:rsidRDefault="009C23AE" w:rsidP="009C23AE">
      <w:pPr>
        <w:pStyle w:val="Nadpis2"/>
        <w:numPr>
          <w:ilvl w:val="2"/>
          <w:numId w:val="10"/>
        </w:numPr>
        <w:spacing w:line="260" w:lineRule="exac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Zajištění vyjádření správců k existenci sítí </w:t>
      </w:r>
    </w:p>
    <w:p w14:paraId="1C6858F1" w14:textId="3AD1D963" w:rsidR="009C23AE" w:rsidRPr="009C23AE" w:rsidRDefault="009C23AE" w:rsidP="009C23AE">
      <w:pPr>
        <w:pStyle w:val="Nadpis2"/>
        <w:numPr>
          <w:ilvl w:val="2"/>
          <w:numId w:val="10"/>
        </w:numPr>
        <w:spacing w:line="260" w:lineRule="exac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Hydrogeologická rekognoskace terénu pro umístění studny</w:t>
      </w:r>
    </w:p>
    <w:p w14:paraId="6A28E51F" w14:textId="77777777" w:rsidR="009C23AE" w:rsidRPr="009C23AE" w:rsidRDefault="009C23AE" w:rsidP="009C23AE">
      <w:pPr>
        <w:pStyle w:val="Nadpis2"/>
        <w:numPr>
          <w:ilvl w:val="1"/>
          <w:numId w:val="10"/>
        </w:numPr>
        <w:spacing w:line="260" w:lineRule="exact"/>
        <w:jc w:val="both"/>
        <w:rPr>
          <w:bCs/>
          <w:sz w:val="22"/>
          <w:szCs w:val="22"/>
        </w:rPr>
      </w:pPr>
      <w:r w:rsidRPr="009C23AE">
        <w:rPr>
          <w:bCs/>
          <w:sz w:val="22"/>
          <w:szCs w:val="22"/>
        </w:rPr>
        <w:t>Vypracování projektové dokumentace ve stupni studie</w:t>
      </w:r>
    </w:p>
    <w:p w14:paraId="3DEAD2B8" w14:textId="58A2CD46" w:rsidR="009C23AE" w:rsidRPr="009C23AE" w:rsidRDefault="009C23AE" w:rsidP="009C23AE">
      <w:pPr>
        <w:pStyle w:val="Nadpis2"/>
        <w:numPr>
          <w:ilvl w:val="1"/>
          <w:numId w:val="10"/>
        </w:numPr>
        <w:spacing w:line="260" w:lineRule="exact"/>
        <w:jc w:val="both"/>
        <w:rPr>
          <w:bCs/>
          <w:sz w:val="22"/>
          <w:szCs w:val="22"/>
        </w:rPr>
      </w:pPr>
      <w:r w:rsidRPr="009C23AE">
        <w:rPr>
          <w:bCs/>
          <w:sz w:val="22"/>
          <w:szCs w:val="22"/>
        </w:rPr>
        <w:t xml:space="preserve">Vypracování projektové dokumentace pro dělení parcel – včetně </w:t>
      </w:r>
      <w:r>
        <w:rPr>
          <w:bCs/>
          <w:sz w:val="22"/>
          <w:szCs w:val="22"/>
        </w:rPr>
        <w:t>vyjádření</w:t>
      </w:r>
      <w:r w:rsidRPr="009C23AE">
        <w:rPr>
          <w:bCs/>
          <w:sz w:val="22"/>
          <w:szCs w:val="22"/>
        </w:rPr>
        <w:t xml:space="preserve"> o souladu s územním plánem.  </w:t>
      </w:r>
    </w:p>
    <w:p w14:paraId="74A2AB5E" w14:textId="77777777" w:rsidR="009C23AE" w:rsidRPr="009C23AE" w:rsidRDefault="009C23AE" w:rsidP="009C23AE">
      <w:pPr>
        <w:pStyle w:val="Nadpis2"/>
        <w:numPr>
          <w:ilvl w:val="1"/>
          <w:numId w:val="10"/>
        </w:numPr>
        <w:spacing w:line="260" w:lineRule="exact"/>
        <w:jc w:val="both"/>
        <w:rPr>
          <w:bCs/>
          <w:sz w:val="22"/>
          <w:szCs w:val="22"/>
        </w:rPr>
      </w:pPr>
      <w:r w:rsidRPr="009C23AE">
        <w:rPr>
          <w:bCs/>
          <w:sz w:val="22"/>
          <w:szCs w:val="22"/>
        </w:rPr>
        <w:t>Zhotovitel bude vykonávat inženýrskou činnost spočívající:</w:t>
      </w:r>
    </w:p>
    <w:p w14:paraId="1F951CC7" w14:textId="77777777" w:rsidR="009C23AE" w:rsidRPr="009C23AE" w:rsidRDefault="009C23AE" w:rsidP="008D540C">
      <w:pPr>
        <w:pStyle w:val="Nadpis2"/>
        <w:numPr>
          <w:ilvl w:val="2"/>
          <w:numId w:val="12"/>
        </w:numPr>
        <w:spacing w:line="260" w:lineRule="exact"/>
        <w:jc w:val="both"/>
        <w:rPr>
          <w:bCs/>
          <w:sz w:val="22"/>
          <w:szCs w:val="22"/>
        </w:rPr>
      </w:pPr>
      <w:r w:rsidRPr="009C23AE">
        <w:rPr>
          <w:bCs/>
          <w:sz w:val="22"/>
          <w:szCs w:val="22"/>
        </w:rPr>
        <w:t>v obstarání pravomocných rozhodnutí nebo souhlasů, stanovisek a vyjádření příslušných orgánů státní správy a správců inženýrských sítí dle stavebního zákona a jejich zapracování do projektové dokumentace</w:t>
      </w:r>
    </w:p>
    <w:p w14:paraId="367DB9DD" w14:textId="2C74B6EE" w:rsidR="009C23AE" w:rsidRPr="009C23AE" w:rsidRDefault="008D540C" w:rsidP="008D540C">
      <w:pPr>
        <w:pStyle w:val="Nadpis2"/>
        <w:numPr>
          <w:ilvl w:val="2"/>
          <w:numId w:val="12"/>
        </w:numPr>
        <w:spacing w:line="260" w:lineRule="exac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 p</w:t>
      </w:r>
      <w:r w:rsidR="009C23AE" w:rsidRPr="009C23AE">
        <w:rPr>
          <w:bCs/>
          <w:sz w:val="22"/>
          <w:szCs w:val="22"/>
        </w:rPr>
        <w:t>říprav</w:t>
      </w:r>
      <w:r>
        <w:rPr>
          <w:bCs/>
          <w:sz w:val="22"/>
          <w:szCs w:val="22"/>
        </w:rPr>
        <w:t>ě</w:t>
      </w:r>
      <w:r w:rsidR="009C23AE" w:rsidRPr="009C23AE">
        <w:rPr>
          <w:bCs/>
          <w:sz w:val="22"/>
          <w:szCs w:val="22"/>
        </w:rPr>
        <w:t xml:space="preserve"> podkladů pro umístění studny a vodoprávního povolení pro subdodavatele této části.</w:t>
      </w:r>
    </w:p>
    <w:p w14:paraId="6B733DBD" w14:textId="14B51E68" w:rsidR="009C23AE" w:rsidRPr="009C23AE" w:rsidRDefault="009C23AE" w:rsidP="008D540C">
      <w:pPr>
        <w:pStyle w:val="Nadpis2"/>
        <w:spacing w:before="12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</w:t>
      </w:r>
      <w:r w:rsidRPr="009C23AE">
        <w:rPr>
          <w:bCs/>
          <w:sz w:val="22"/>
          <w:szCs w:val="22"/>
        </w:rPr>
        <w:t>oučástí ceny Díla</w:t>
      </w:r>
      <w:r>
        <w:rPr>
          <w:bCs/>
          <w:sz w:val="22"/>
          <w:szCs w:val="22"/>
        </w:rPr>
        <w:t xml:space="preserve"> je </w:t>
      </w:r>
      <w:r w:rsidRPr="009C23AE">
        <w:rPr>
          <w:bCs/>
          <w:sz w:val="22"/>
          <w:szCs w:val="22"/>
        </w:rPr>
        <w:t>účast na jednáních a další úkony v rámci přípravy území</w:t>
      </w:r>
      <w:r>
        <w:rPr>
          <w:bCs/>
          <w:sz w:val="22"/>
          <w:szCs w:val="22"/>
        </w:rPr>
        <w:t xml:space="preserve"> a dále z</w:t>
      </w:r>
      <w:r w:rsidRPr="009C23AE">
        <w:rPr>
          <w:bCs/>
          <w:sz w:val="22"/>
          <w:szCs w:val="22"/>
        </w:rPr>
        <w:t>ajištění veškeré dokumentace potřebné pro projednání dokumentace se všemi účastníky územního řízení</w:t>
      </w:r>
      <w:bookmarkEnd w:id="0"/>
      <w:r>
        <w:rPr>
          <w:bCs/>
          <w:sz w:val="22"/>
          <w:szCs w:val="22"/>
        </w:rPr>
        <w:t>.</w:t>
      </w:r>
    </w:p>
    <w:p w14:paraId="1939AA78" w14:textId="77777777" w:rsidR="009C23AE" w:rsidRPr="009C23AE" w:rsidRDefault="009C23AE" w:rsidP="009C23AE"/>
    <w:p w14:paraId="101BFCD5" w14:textId="77777777" w:rsidR="00964BCD" w:rsidRPr="00776FFE" w:rsidRDefault="00A81CE6" w:rsidP="009249DE">
      <w:pPr>
        <w:pStyle w:val="Nadpis2"/>
        <w:numPr>
          <w:ilvl w:val="0"/>
          <w:numId w:val="10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8E7D15">
        <w:rPr>
          <w:b/>
          <w:sz w:val="24"/>
          <w:szCs w:val="24"/>
        </w:rPr>
        <w:t>Cena</w:t>
      </w:r>
    </w:p>
    <w:p w14:paraId="29991630" w14:textId="77777777" w:rsidR="009C23AE" w:rsidRPr="009C23AE" w:rsidRDefault="009C23AE" w:rsidP="009C23AE">
      <w:pPr>
        <w:pStyle w:val="Nadpis2"/>
        <w:numPr>
          <w:ilvl w:val="1"/>
          <w:numId w:val="10"/>
        </w:numPr>
        <w:spacing w:line="360" w:lineRule="auto"/>
        <w:ind w:left="788" w:hanging="431"/>
        <w:jc w:val="both"/>
        <w:rPr>
          <w:bCs/>
          <w:sz w:val="22"/>
          <w:szCs w:val="22"/>
        </w:rPr>
      </w:pPr>
      <w:r w:rsidRPr="009C23AE">
        <w:rPr>
          <w:bCs/>
          <w:sz w:val="22"/>
          <w:szCs w:val="22"/>
        </w:rPr>
        <w:t>Cena Díla je stanovena v souladu s obecně závaznými právními předpisy a je oběma smluvními stranami dohodnuta ve výši:</w:t>
      </w:r>
    </w:p>
    <w:p w14:paraId="70F4FB7D" w14:textId="0FD2E176" w:rsidR="009C23AE" w:rsidRPr="009C23AE" w:rsidRDefault="009C23AE" w:rsidP="009C23AE">
      <w:pPr>
        <w:tabs>
          <w:tab w:val="left" w:pos="4678"/>
          <w:tab w:val="right" w:pos="6804"/>
        </w:tabs>
        <w:ind w:left="1276"/>
        <w:rPr>
          <w:b/>
          <w:sz w:val="22"/>
          <w:szCs w:val="22"/>
        </w:rPr>
      </w:pPr>
      <w:r w:rsidRPr="009C23AE">
        <w:rPr>
          <w:sz w:val="22"/>
          <w:szCs w:val="22"/>
        </w:rPr>
        <w:t>cena celkem bez DPH</w:t>
      </w:r>
      <w:r w:rsidRPr="009C23AE">
        <w:rPr>
          <w:sz w:val="22"/>
          <w:szCs w:val="22"/>
        </w:rPr>
        <w:tab/>
      </w:r>
      <w:r w:rsidRPr="009C23AE">
        <w:rPr>
          <w:sz w:val="22"/>
          <w:szCs w:val="22"/>
        </w:rPr>
        <w:tab/>
      </w:r>
      <w:r w:rsidRPr="009C23AE">
        <w:rPr>
          <w:b/>
          <w:sz w:val="22"/>
          <w:szCs w:val="22"/>
        </w:rPr>
        <w:t>83 872,</w:t>
      </w:r>
      <w:r>
        <w:rPr>
          <w:b/>
          <w:sz w:val="22"/>
          <w:szCs w:val="22"/>
        </w:rPr>
        <w:t>00</w:t>
      </w:r>
      <w:r w:rsidRPr="009C23AE">
        <w:rPr>
          <w:b/>
          <w:color w:val="FF0000"/>
          <w:sz w:val="22"/>
          <w:szCs w:val="22"/>
        </w:rPr>
        <w:tab/>
      </w:r>
      <w:r w:rsidRPr="009C23AE">
        <w:rPr>
          <w:b/>
          <w:bCs/>
          <w:sz w:val="22"/>
          <w:szCs w:val="22"/>
        </w:rPr>
        <w:t>Kč</w:t>
      </w:r>
    </w:p>
    <w:p w14:paraId="0160D244" w14:textId="77777777" w:rsidR="009C23AE" w:rsidRPr="009C23AE" w:rsidRDefault="009C23AE" w:rsidP="009C23AE">
      <w:pPr>
        <w:tabs>
          <w:tab w:val="left" w:pos="4678"/>
          <w:tab w:val="right" w:pos="6804"/>
        </w:tabs>
        <w:ind w:left="1276"/>
        <w:rPr>
          <w:sz w:val="22"/>
          <w:szCs w:val="22"/>
        </w:rPr>
      </w:pPr>
      <w:r w:rsidRPr="009C23AE">
        <w:rPr>
          <w:sz w:val="22"/>
          <w:szCs w:val="22"/>
        </w:rPr>
        <w:t>sazba DPH</w:t>
      </w:r>
      <w:r w:rsidRPr="009C23AE">
        <w:rPr>
          <w:sz w:val="22"/>
          <w:szCs w:val="22"/>
        </w:rPr>
        <w:tab/>
      </w:r>
      <w:r w:rsidRPr="009C23AE">
        <w:rPr>
          <w:sz w:val="22"/>
          <w:szCs w:val="22"/>
        </w:rPr>
        <w:tab/>
        <w:t xml:space="preserve">                      </w:t>
      </w:r>
      <w:r w:rsidRPr="009C23AE">
        <w:rPr>
          <w:b/>
          <w:sz w:val="22"/>
          <w:szCs w:val="22"/>
        </w:rPr>
        <w:t>21</w:t>
      </w:r>
      <w:r w:rsidRPr="009C23AE">
        <w:rPr>
          <w:sz w:val="22"/>
          <w:szCs w:val="22"/>
        </w:rPr>
        <w:tab/>
      </w:r>
      <w:r w:rsidRPr="009C23AE">
        <w:rPr>
          <w:b/>
          <w:bCs/>
          <w:sz w:val="22"/>
          <w:szCs w:val="22"/>
        </w:rPr>
        <w:t>%</w:t>
      </w:r>
    </w:p>
    <w:p w14:paraId="7A6F24E2" w14:textId="1B2B8D34" w:rsidR="009C23AE" w:rsidRPr="009C23AE" w:rsidRDefault="009C23AE" w:rsidP="009C23AE">
      <w:pPr>
        <w:tabs>
          <w:tab w:val="left" w:pos="4678"/>
          <w:tab w:val="right" w:pos="6804"/>
        </w:tabs>
        <w:ind w:left="1276"/>
        <w:rPr>
          <w:b/>
          <w:bCs/>
          <w:sz w:val="22"/>
          <w:szCs w:val="22"/>
        </w:rPr>
      </w:pPr>
      <w:r w:rsidRPr="009C23AE">
        <w:rPr>
          <w:sz w:val="22"/>
          <w:szCs w:val="22"/>
        </w:rPr>
        <w:t>výše DPH</w:t>
      </w:r>
      <w:r w:rsidRPr="009C23AE">
        <w:rPr>
          <w:b/>
          <w:bCs/>
          <w:sz w:val="22"/>
          <w:szCs w:val="22"/>
        </w:rPr>
        <w:tab/>
      </w:r>
      <w:r w:rsidRPr="009C23AE">
        <w:rPr>
          <w:b/>
          <w:bCs/>
          <w:sz w:val="22"/>
          <w:szCs w:val="22"/>
        </w:rPr>
        <w:tab/>
        <w:t>17 613,</w:t>
      </w:r>
      <w:r>
        <w:rPr>
          <w:b/>
          <w:bCs/>
          <w:sz w:val="22"/>
          <w:szCs w:val="22"/>
        </w:rPr>
        <w:t>00</w:t>
      </w:r>
      <w:r w:rsidRPr="009C23AE">
        <w:rPr>
          <w:b/>
          <w:bCs/>
          <w:sz w:val="22"/>
          <w:szCs w:val="22"/>
        </w:rPr>
        <w:tab/>
        <w:t>Kč</w:t>
      </w:r>
    </w:p>
    <w:p w14:paraId="14E6FC6C" w14:textId="2128B3F5" w:rsidR="009C23AE" w:rsidRPr="009C23AE" w:rsidRDefault="009C23AE" w:rsidP="009C23AE">
      <w:pPr>
        <w:tabs>
          <w:tab w:val="left" w:pos="4678"/>
          <w:tab w:val="right" w:pos="6804"/>
        </w:tabs>
        <w:ind w:left="1276"/>
        <w:rPr>
          <w:b/>
          <w:sz w:val="22"/>
          <w:szCs w:val="22"/>
        </w:rPr>
      </w:pPr>
      <w:r w:rsidRPr="009C23AE">
        <w:rPr>
          <w:sz w:val="22"/>
          <w:szCs w:val="22"/>
        </w:rPr>
        <w:t>cena celkem včetně DPH</w:t>
      </w:r>
      <w:r w:rsidRPr="009C23AE">
        <w:rPr>
          <w:sz w:val="22"/>
          <w:szCs w:val="22"/>
        </w:rPr>
        <w:tab/>
      </w:r>
      <w:r w:rsidRPr="009C23AE">
        <w:rPr>
          <w:sz w:val="22"/>
          <w:szCs w:val="22"/>
        </w:rPr>
        <w:tab/>
      </w:r>
      <w:r w:rsidRPr="009C23AE">
        <w:rPr>
          <w:b/>
          <w:sz w:val="22"/>
          <w:szCs w:val="22"/>
        </w:rPr>
        <w:t>101 483,</w:t>
      </w:r>
      <w:r>
        <w:rPr>
          <w:b/>
          <w:sz w:val="22"/>
          <w:szCs w:val="22"/>
        </w:rPr>
        <w:t>00</w:t>
      </w:r>
      <w:r w:rsidRPr="009C23AE">
        <w:rPr>
          <w:b/>
          <w:sz w:val="22"/>
          <w:szCs w:val="22"/>
        </w:rPr>
        <w:tab/>
      </w:r>
      <w:r w:rsidRPr="009C23AE">
        <w:rPr>
          <w:b/>
          <w:bCs/>
          <w:sz w:val="22"/>
          <w:szCs w:val="22"/>
        </w:rPr>
        <w:t>Kč</w:t>
      </w:r>
      <w:r w:rsidRPr="009C23AE">
        <w:rPr>
          <w:b/>
          <w:sz w:val="22"/>
          <w:szCs w:val="22"/>
        </w:rPr>
        <w:t xml:space="preserve"> </w:t>
      </w:r>
    </w:p>
    <w:p w14:paraId="7C6E8616" w14:textId="77777777" w:rsidR="009C23AE" w:rsidRPr="009C23AE" w:rsidRDefault="009C23AE" w:rsidP="009C23AE">
      <w:pPr>
        <w:tabs>
          <w:tab w:val="left" w:pos="4678"/>
          <w:tab w:val="right" w:pos="6804"/>
        </w:tabs>
        <w:ind w:left="1276"/>
        <w:rPr>
          <w:b/>
          <w:sz w:val="22"/>
          <w:szCs w:val="22"/>
        </w:rPr>
      </w:pPr>
      <w:r w:rsidRPr="009C23AE">
        <w:rPr>
          <w:b/>
          <w:sz w:val="22"/>
          <w:szCs w:val="22"/>
        </w:rPr>
        <w:t xml:space="preserve"> </w:t>
      </w:r>
    </w:p>
    <w:p w14:paraId="371AE571" w14:textId="77777777" w:rsidR="009C23AE" w:rsidRPr="009C23AE" w:rsidRDefault="009C23AE" w:rsidP="009C23AE">
      <w:pPr>
        <w:ind w:left="709"/>
        <w:rPr>
          <w:sz w:val="22"/>
          <w:szCs w:val="22"/>
        </w:rPr>
      </w:pPr>
      <w:r w:rsidRPr="009C23AE">
        <w:rPr>
          <w:sz w:val="22"/>
          <w:szCs w:val="22"/>
        </w:rPr>
        <w:t>Ceny jsou platné po celou dobu realizace předmětu Díla.</w:t>
      </w:r>
    </w:p>
    <w:p w14:paraId="1DE0E5D0" w14:textId="03134D30" w:rsidR="009C23AE" w:rsidRDefault="009C23AE" w:rsidP="009C23AE">
      <w:pPr>
        <w:pStyle w:val="Nadpis2"/>
        <w:numPr>
          <w:ilvl w:val="1"/>
          <w:numId w:val="10"/>
        </w:numPr>
        <w:jc w:val="both"/>
        <w:rPr>
          <w:bCs/>
          <w:sz w:val="22"/>
          <w:szCs w:val="22"/>
        </w:rPr>
      </w:pPr>
      <w:bookmarkStart w:id="1" w:name="_Ref450199684"/>
      <w:r w:rsidRPr="009C23AE">
        <w:rPr>
          <w:bCs/>
          <w:sz w:val="22"/>
          <w:szCs w:val="22"/>
        </w:rPr>
        <w:lastRenderedPageBreak/>
        <w:t>Cena se skládá z cen jednotlivých fází. Dílčí ceny včetně DPH za jednotlivé části jsou tyto:</w:t>
      </w:r>
      <w:bookmarkEnd w:id="1"/>
    </w:p>
    <w:p w14:paraId="7FCF87DF" w14:textId="77777777" w:rsidR="009C23AE" w:rsidRDefault="009C23AE" w:rsidP="009C23AE">
      <w:pPr>
        <w:pStyle w:val="Nadpis2"/>
        <w:numPr>
          <w:ilvl w:val="2"/>
          <w:numId w:val="10"/>
        </w:numPr>
        <w:spacing w:line="380" w:lineRule="exact"/>
        <w:jc w:val="both"/>
        <w:rPr>
          <w:bCs/>
          <w:sz w:val="22"/>
          <w:szCs w:val="22"/>
        </w:rPr>
      </w:pPr>
      <w:r w:rsidRPr="009C23AE">
        <w:rPr>
          <w:bCs/>
          <w:sz w:val="22"/>
          <w:szCs w:val="22"/>
        </w:rPr>
        <w:t xml:space="preserve">Zabezpečení vstupních podkladů </w:t>
      </w:r>
    </w:p>
    <w:p w14:paraId="579C7670" w14:textId="6C3230B2" w:rsidR="009C23AE" w:rsidRDefault="009C23AE" w:rsidP="009C23AE">
      <w:pPr>
        <w:pStyle w:val="Nadpis2"/>
        <w:numPr>
          <w:ilvl w:val="3"/>
          <w:numId w:val="10"/>
        </w:numPr>
        <w:tabs>
          <w:tab w:val="left" w:pos="1843"/>
          <w:tab w:val="left" w:pos="7371"/>
        </w:tabs>
        <w:spacing w:line="380" w:lineRule="exact"/>
        <w:jc w:val="both"/>
        <w:rPr>
          <w:bCs/>
          <w:sz w:val="22"/>
          <w:szCs w:val="22"/>
        </w:rPr>
      </w:pPr>
      <w:r w:rsidRPr="009C23AE">
        <w:rPr>
          <w:bCs/>
          <w:sz w:val="22"/>
          <w:szCs w:val="22"/>
        </w:rPr>
        <w:t xml:space="preserve"> provedení geodetického zaměření stavby </w:t>
      </w:r>
      <w:r>
        <w:rPr>
          <w:bCs/>
          <w:sz w:val="22"/>
          <w:szCs w:val="22"/>
        </w:rPr>
        <w:tab/>
      </w:r>
      <w:r w:rsidRPr="009C23AE">
        <w:rPr>
          <w:bCs/>
          <w:sz w:val="22"/>
          <w:szCs w:val="22"/>
        </w:rPr>
        <w:t>5 000,</w:t>
      </w:r>
      <w:r>
        <w:rPr>
          <w:bCs/>
          <w:sz w:val="22"/>
          <w:szCs w:val="22"/>
        </w:rPr>
        <w:t>00</w:t>
      </w:r>
      <w:r w:rsidRPr="009C23AE">
        <w:rPr>
          <w:bCs/>
          <w:sz w:val="22"/>
          <w:szCs w:val="22"/>
        </w:rPr>
        <w:t xml:space="preserve"> Kč bez DPH</w:t>
      </w:r>
    </w:p>
    <w:p w14:paraId="28788D6A" w14:textId="5084682A" w:rsidR="009C23AE" w:rsidRDefault="009C23AE" w:rsidP="009C23AE">
      <w:pPr>
        <w:pStyle w:val="Nadpis2"/>
        <w:numPr>
          <w:ilvl w:val="3"/>
          <w:numId w:val="10"/>
        </w:numPr>
        <w:tabs>
          <w:tab w:val="left" w:pos="1843"/>
          <w:tab w:val="left" w:pos="7371"/>
        </w:tabs>
        <w:spacing w:line="380" w:lineRule="exac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Zajištění vyjádření správců k existenci sítí </w:t>
      </w:r>
      <w:r>
        <w:rPr>
          <w:bCs/>
          <w:sz w:val="22"/>
          <w:szCs w:val="22"/>
        </w:rPr>
        <w:tab/>
      </w:r>
      <w:r w:rsidRPr="009C23AE">
        <w:rPr>
          <w:bCs/>
          <w:sz w:val="22"/>
          <w:szCs w:val="22"/>
        </w:rPr>
        <w:t>7 500,</w:t>
      </w:r>
      <w:r>
        <w:rPr>
          <w:bCs/>
          <w:sz w:val="22"/>
          <w:szCs w:val="22"/>
        </w:rPr>
        <w:t>00</w:t>
      </w:r>
      <w:r w:rsidRPr="009C23AE">
        <w:rPr>
          <w:bCs/>
          <w:sz w:val="22"/>
          <w:szCs w:val="22"/>
        </w:rPr>
        <w:t xml:space="preserve"> Kč bez DPH</w:t>
      </w:r>
    </w:p>
    <w:p w14:paraId="33D5F679" w14:textId="2C64BD1B" w:rsidR="009C23AE" w:rsidRPr="009C23AE" w:rsidRDefault="009C23AE" w:rsidP="009C23AE">
      <w:pPr>
        <w:pStyle w:val="Nadpis2"/>
        <w:numPr>
          <w:ilvl w:val="3"/>
          <w:numId w:val="10"/>
        </w:numPr>
        <w:tabs>
          <w:tab w:val="left" w:pos="1843"/>
          <w:tab w:val="left" w:pos="7371"/>
        </w:tabs>
        <w:spacing w:line="380" w:lineRule="exac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Hydrogeologická rekognoskace terénu pro umístění studny </w:t>
      </w:r>
      <w:r>
        <w:rPr>
          <w:bCs/>
          <w:sz w:val="22"/>
          <w:szCs w:val="22"/>
        </w:rPr>
        <w:tab/>
      </w:r>
      <w:r w:rsidRPr="009C23AE">
        <w:rPr>
          <w:bCs/>
          <w:sz w:val="22"/>
          <w:szCs w:val="22"/>
        </w:rPr>
        <w:t>3 500,</w:t>
      </w:r>
      <w:r>
        <w:rPr>
          <w:bCs/>
          <w:sz w:val="22"/>
          <w:szCs w:val="22"/>
        </w:rPr>
        <w:t>00</w:t>
      </w:r>
      <w:r w:rsidRPr="009C23AE">
        <w:rPr>
          <w:bCs/>
          <w:sz w:val="22"/>
          <w:szCs w:val="22"/>
        </w:rPr>
        <w:t xml:space="preserve"> Kč bez DPH</w:t>
      </w:r>
    </w:p>
    <w:p w14:paraId="325D4711" w14:textId="1288E5BB" w:rsidR="009C23AE" w:rsidRPr="009C23AE" w:rsidRDefault="009C23AE" w:rsidP="005C472B">
      <w:pPr>
        <w:pStyle w:val="Nadpis2"/>
        <w:numPr>
          <w:ilvl w:val="2"/>
          <w:numId w:val="10"/>
        </w:numPr>
        <w:tabs>
          <w:tab w:val="left" w:pos="1418"/>
          <w:tab w:val="left" w:pos="7230"/>
        </w:tabs>
        <w:spacing w:line="380" w:lineRule="exact"/>
        <w:ind w:left="1276" w:hanging="556"/>
        <w:jc w:val="both"/>
        <w:rPr>
          <w:bCs/>
          <w:sz w:val="22"/>
          <w:szCs w:val="22"/>
        </w:rPr>
      </w:pPr>
      <w:r w:rsidRPr="009C23AE">
        <w:rPr>
          <w:bCs/>
          <w:sz w:val="22"/>
          <w:szCs w:val="22"/>
        </w:rPr>
        <w:t>Vypracování projektové dokumentace ve stupni studie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  <w:t xml:space="preserve">15 000,00 </w:t>
      </w:r>
      <w:r w:rsidRPr="009C23AE">
        <w:rPr>
          <w:bCs/>
          <w:sz w:val="22"/>
          <w:szCs w:val="22"/>
        </w:rPr>
        <w:t>Kč bez DPH</w:t>
      </w:r>
    </w:p>
    <w:p w14:paraId="3F7C191D" w14:textId="343DF573" w:rsidR="009C23AE" w:rsidRPr="009C23AE" w:rsidRDefault="009C23AE" w:rsidP="005C472B">
      <w:pPr>
        <w:pStyle w:val="Nadpis2"/>
        <w:numPr>
          <w:ilvl w:val="2"/>
          <w:numId w:val="10"/>
        </w:numPr>
        <w:tabs>
          <w:tab w:val="left" w:pos="1418"/>
          <w:tab w:val="left" w:pos="7230"/>
        </w:tabs>
        <w:spacing w:line="380" w:lineRule="exact"/>
        <w:ind w:left="1276" w:right="736" w:hanging="556"/>
        <w:jc w:val="both"/>
        <w:rPr>
          <w:bCs/>
          <w:sz w:val="22"/>
          <w:szCs w:val="22"/>
        </w:rPr>
      </w:pPr>
      <w:r w:rsidRPr="009C23AE">
        <w:rPr>
          <w:bCs/>
          <w:sz w:val="22"/>
          <w:szCs w:val="22"/>
        </w:rPr>
        <w:t xml:space="preserve">Vypracování projektové dokumentace pro dělení parcel – včetně </w:t>
      </w:r>
      <w:r>
        <w:rPr>
          <w:bCs/>
          <w:sz w:val="22"/>
          <w:szCs w:val="22"/>
        </w:rPr>
        <w:t>vyjádření</w:t>
      </w:r>
      <w:r w:rsidRPr="009C23AE">
        <w:rPr>
          <w:bCs/>
          <w:sz w:val="22"/>
          <w:szCs w:val="22"/>
        </w:rPr>
        <w:t xml:space="preserve"> o souladu s územním plánem</w:t>
      </w:r>
      <w:r w:rsidR="00BB763A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15 000,00 </w:t>
      </w:r>
      <w:r w:rsidRPr="009C23AE">
        <w:rPr>
          <w:bCs/>
          <w:sz w:val="22"/>
          <w:szCs w:val="22"/>
        </w:rPr>
        <w:t>Kč bez DPH</w:t>
      </w:r>
    </w:p>
    <w:p w14:paraId="16DC4162" w14:textId="22604007" w:rsidR="009C23AE" w:rsidRPr="009C23AE" w:rsidRDefault="00375485" w:rsidP="005C472B">
      <w:pPr>
        <w:pStyle w:val="Nadpis2"/>
        <w:numPr>
          <w:ilvl w:val="2"/>
          <w:numId w:val="10"/>
        </w:numPr>
        <w:tabs>
          <w:tab w:val="left" w:pos="1418"/>
          <w:tab w:val="left" w:pos="7230"/>
        </w:tabs>
        <w:spacing w:line="380" w:lineRule="exact"/>
        <w:ind w:left="1276" w:hanging="55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</w:t>
      </w:r>
      <w:r w:rsidR="009C23AE" w:rsidRPr="009C23AE">
        <w:rPr>
          <w:bCs/>
          <w:sz w:val="22"/>
          <w:szCs w:val="22"/>
        </w:rPr>
        <w:t>nženýrsk</w:t>
      </w:r>
      <w:r>
        <w:rPr>
          <w:bCs/>
          <w:sz w:val="22"/>
          <w:szCs w:val="22"/>
        </w:rPr>
        <w:t>á</w:t>
      </w:r>
      <w:r w:rsidR="009C23AE" w:rsidRPr="009C23AE">
        <w:rPr>
          <w:bCs/>
          <w:sz w:val="22"/>
          <w:szCs w:val="22"/>
        </w:rPr>
        <w:t xml:space="preserve"> činnost</w:t>
      </w:r>
      <w:r w:rsidR="009C23AE">
        <w:rPr>
          <w:bCs/>
          <w:sz w:val="22"/>
          <w:szCs w:val="22"/>
        </w:rPr>
        <w:tab/>
        <w:t xml:space="preserve">37 872,00 </w:t>
      </w:r>
      <w:r w:rsidR="009C23AE" w:rsidRPr="009C23AE">
        <w:rPr>
          <w:bCs/>
          <w:sz w:val="22"/>
          <w:szCs w:val="22"/>
        </w:rPr>
        <w:t>Kč bez DPH</w:t>
      </w:r>
    </w:p>
    <w:p w14:paraId="1684CD95" w14:textId="77777777" w:rsidR="009C23AE" w:rsidRPr="009C23AE" w:rsidRDefault="009C23AE" w:rsidP="009C23AE"/>
    <w:p w14:paraId="2EF19F5B" w14:textId="77777777" w:rsidR="00A81CE6" w:rsidRPr="00F5483A" w:rsidRDefault="00A81CE6" w:rsidP="00AD08B6">
      <w:pPr>
        <w:pStyle w:val="Nadpis2"/>
        <w:numPr>
          <w:ilvl w:val="0"/>
          <w:numId w:val="10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F5483A">
        <w:rPr>
          <w:b/>
          <w:sz w:val="24"/>
          <w:szCs w:val="24"/>
        </w:rPr>
        <w:t>Termín dokončení</w:t>
      </w:r>
    </w:p>
    <w:p w14:paraId="067B1F88" w14:textId="6A96236B" w:rsidR="00A81CE6" w:rsidRPr="00F5483A" w:rsidRDefault="009C23AE" w:rsidP="00275113">
      <w:pPr>
        <w:jc w:val="both"/>
        <w:rPr>
          <w:sz w:val="22"/>
          <w:szCs w:val="22"/>
        </w:rPr>
      </w:pPr>
      <w:r>
        <w:rPr>
          <w:sz w:val="22"/>
          <w:szCs w:val="22"/>
        </w:rPr>
        <w:t>Práce budou dokončeny 60 dnů od objednání, tj. do 21.8.2022.</w:t>
      </w:r>
    </w:p>
    <w:p w14:paraId="3C756419" w14:textId="77777777" w:rsidR="00A81CE6" w:rsidRPr="008E7D15" w:rsidRDefault="00A81CE6" w:rsidP="00AD08B6">
      <w:pPr>
        <w:pStyle w:val="Nadpis2"/>
        <w:numPr>
          <w:ilvl w:val="0"/>
          <w:numId w:val="10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8E7D15">
        <w:rPr>
          <w:b/>
          <w:sz w:val="24"/>
          <w:szCs w:val="24"/>
        </w:rPr>
        <w:t>Platební podmínky</w:t>
      </w:r>
    </w:p>
    <w:p w14:paraId="7E8DD5B1" w14:textId="30F517F5" w:rsidR="00A81CE6" w:rsidRPr="008E7D15" w:rsidRDefault="00A81CE6" w:rsidP="00275113">
      <w:pPr>
        <w:tabs>
          <w:tab w:val="num" w:pos="567"/>
        </w:tabs>
        <w:rPr>
          <w:sz w:val="22"/>
          <w:szCs w:val="22"/>
        </w:rPr>
      </w:pPr>
      <w:r w:rsidRPr="008E7D15">
        <w:rPr>
          <w:sz w:val="22"/>
          <w:szCs w:val="22"/>
        </w:rPr>
        <w:t xml:space="preserve">Město Mariánské Lázně, jakožto objednatel nebude poskytovat zálohy. Cena včetně DPH bude uhrazena na základě daňového dokladu (faktury) vystaveného dodavatelem po </w:t>
      </w:r>
      <w:r w:rsidR="00C84B0F">
        <w:rPr>
          <w:sz w:val="22"/>
          <w:szCs w:val="22"/>
        </w:rPr>
        <w:t xml:space="preserve">dokončení díla, případně pod dokončení dílčí části díla. Faktura bude vystavena po protokolárním předání. </w:t>
      </w:r>
      <w:r w:rsidRPr="008E7D15">
        <w:rPr>
          <w:sz w:val="22"/>
          <w:szCs w:val="22"/>
        </w:rPr>
        <w:t>Splatnost faktury bude minimálně 14 dní.</w:t>
      </w:r>
    </w:p>
    <w:p w14:paraId="224BD380" w14:textId="77777777" w:rsidR="00A81CE6" w:rsidRPr="008E7D15" w:rsidRDefault="00A81CE6" w:rsidP="00AD08B6">
      <w:pPr>
        <w:pStyle w:val="Nadpis2"/>
        <w:numPr>
          <w:ilvl w:val="0"/>
          <w:numId w:val="10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8E7D15">
        <w:rPr>
          <w:b/>
          <w:sz w:val="24"/>
          <w:szCs w:val="24"/>
        </w:rPr>
        <w:t>Ostatní podmínky</w:t>
      </w:r>
    </w:p>
    <w:p w14:paraId="51FD9410" w14:textId="77777777" w:rsidR="00A81CE6" w:rsidRPr="008E7D15" w:rsidRDefault="00A81CE6" w:rsidP="00275113">
      <w:pPr>
        <w:pStyle w:val="Textvbloku"/>
        <w:ind w:left="0" w:firstLine="0"/>
      </w:pPr>
      <w:r w:rsidRPr="008E7D15"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14:paraId="08261D5B" w14:textId="2F34B7A6" w:rsidR="002D2AE7" w:rsidRDefault="002D2AE7" w:rsidP="00ED3DD7">
      <w:pPr>
        <w:rPr>
          <w:sz w:val="22"/>
        </w:rPr>
      </w:pPr>
    </w:p>
    <w:p w14:paraId="14761886" w14:textId="11978F85" w:rsidR="002B229B" w:rsidRDefault="002B229B" w:rsidP="00ED3DD7">
      <w:pPr>
        <w:rPr>
          <w:sz w:val="22"/>
        </w:rPr>
      </w:pPr>
    </w:p>
    <w:p w14:paraId="7E6995B0" w14:textId="77777777" w:rsidR="002B229B" w:rsidRPr="008E7D15" w:rsidRDefault="002B229B" w:rsidP="00ED3DD7">
      <w:pPr>
        <w:rPr>
          <w:sz w:val="22"/>
        </w:rPr>
      </w:pPr>
    </w:p>
    <w:p w14:paraId="3940E2FB" w14:textId="41997F73" w:rsidR="00D55DC4" w:rsidRDefault="00D55DC4">
      <w:pPr>
        <w:rPr>
          <w:sz w:val="22"/>
        </w:rPr>
      </w:pPr>
    </w:p>
    <w:p w14:paraId="38BB3B51" w14:textId="01DF526B" w:rsidR="009C23AE" w:rsidRDefault="009C23AE">
      <w:pPr>
        <w:rPr>
          <w:sz w:val="22"/>
        </w:rPr>
      </w:pPr>
    </w:p>
    <w:p w14:paraId="6F698AFD" w14:textId="3F060DFD" w:rsidR="009C23AE" w:rsidRDefault="009C23AE">
      <w:pPr>
        <w:rPr>
          <w:sz w:val="22"/>
        </w:rPr>
      </w:pPr>
    </w:p>
    <w:p w14:paraId="66537A0D" w14:textId="77777777" w:rsidR="009C23AE" w:rsidRPr="008E7D15" w:rsidRDefault="009C23AE">
      <w:pPr>
        <w:rPr>
          <w:sz w:val="22"/>
        </w:rPr>
      </w:pPr>
    </w:p>
    <w:p w14:paraId="0950967F" w14:textId="77777777" w:rsidR="00D55DC4" w:rsidRPr="008E7D15" w:rsidRDefault="00D55DC4">
      <w:pPr>
        <w:rPr>
          <w:sz w:val="22"/>
        </w:rPr>
      </w:pPr>
      <w:r w:rsidRPr="008E7D15">
        <w:rPr>
          <w:sz w:val="22"/>
        </w:rPr>
        <w:t xml:space="preserve">Ing. </w:t>
      </w:r>
      <w:r w:rsidR="001568BC" w:rsidRPr="008E7D15">
        <w:rPr>
          <w:sz w:val="22"/>
        </w:rPr>
        <w:t>Petr Řezník</w:t>
      </w:r>
      <w:r w:rsidRPr="008E7D15">
        <w:rPr>
          <w:sz w:val="22"/>
        </w:rPr>
        <w:t xml:space="preserve"> </w:t>
      </w:r>
    </w:p>
    <w:p w14:paraId="73AA3B68" w14:textId="77777777" w:rsidR="00D55DC4" w:rsidRPr="008E7D15" w:rsidRDefault="00D55DC4">
      <w:pPr>
        <w:rPr>
          <w:sz w:val="22"/>
        </w:rPr>
      </w:pPr>
      <w:r w:rsidRPr="008E7D15">
        <w:rPr>
          <w:sz w:val="22"/>
        </w:rPr>
        <w:t>vedoucí odboru</w:t>
      </w:r>
    </w:p>
    <w:p w14:paraId="64B60A9A" w14:textId="77777777" w:rsidR="00BF1723" w:rsidRDefault="00BF1723"/>
    <w:p w14:paraId="36C19FAC" w14:textId="77777777" w:rsidR="00BD0A9D" w:rsidRDefault="00BD0A9D"/>
    <w:p w14:paraId="3D174846" w14:textId="1A69A916" w:rsidR="00BD0A9D" w:rsidRDefault="00BD0A9D"/>
    <w:p w14:paraId="62886C2F" w14:textId="26AB33F2" w:rsidR="00375485" w:rsidRDefault="00375485"/>
    <w:p w14:paraId="10F4A1D6" w14:textId="13F136D5" w:rsidR="00375485" w:rsidRDefault="00375485"/>
    <w:p w14:paraId="27D143AD" w14:textId="784C46B3" w:rsidR="00375485" w:rsidRDefault="00375485" w:rsidP="00375485">
      <w:pPr>
        <w:ind w:left="4536"/>
      </w:pPr>
      <w:r>
        <w:t>Akceptace objednávky:</w:t>
      </w:r>
    </w:p>
    <w:p w14:paraId="214134B8" w14:textId="68571BFF" w:rsidR="00375485" w:rsidRDefault="00375485" w:rsidP="00375485">
      <w:pPr>
        <w:ind w:left="4536"/>
      </w:pPr>
      <w:r>
        <w:t>21.6.2022</w:t>
      </w:r>
    </w:p>
    <w:p w14:paraId="014F3F76" w14:textId="584247E4" w:rsidR="00375485" w:rsidRDefault="00375485" w:rsidP="00375485">
      <w:pPr>
        <w:ind w:left="4536"/>
      </w:pPr>
    </w:p>
    <w:p w14:paraId="01CCCE40" w14:textId="291112B7" w:rsidR="00375485" w:rsidRDefault="00375485" w:rsidP="00375485">
      <w:pPr>
        <w:ind w:left="4536"/>
      </w:pPr>
    </w:p>
    <w:p w14:paraId="0F07C96F" w14:textId="70D9F6C7" w:rsidR="00375485" w:rsidRDefault="00375485" w:rsidP="00375485">
      <w:pPr>
        <w:ind w:left="4536"/>
      </w:pPr>
    </w:p>
    <w:p w14:paraId="74DD14C5" w14:textId="77777777" w:rsidR="00375485" w:rsidRDefault="00375485" w:rsidP="00375485">
      <w:pPr>
        <w:ind w:left="4536"/>
      </w:pPr>
    </w:p>
    <w:p w14:paraId="5116119D" w14:textId="56AE86FB" w:rsidR="00375485" w:rsidRPr="008E7D15" w:rsidRDefault="00375485" w:rsidP="00375485">
      <w:pPr>
        <w:ind w:left="4536"/>
      </w:pPr>
      <w:r>
        <w:t xml:space="preserve">Ing. arch. Miroslav </w:t>
      </w:r>
      <w:proofErr w:type="gramStart"/>
      <w:r>
        <w:t xml:space="preserve">Míka - </w:t>
      </w:r>
      <w:proofErr w:type="spellStart"/>
      <w:r>
        <w:t>Markant</w:t>
      </w:r>
      <w:proofErr w:type="spellEnd"/>
      <w:proofErr w:type="gramEnd"/>
    </w:p>
    <w:sectPr w:rsidR="00375485" w:rsidRPr="008E7D15" w:rsidSect="009249DE">
      <w:headerReference w:type="default" r:id="rId7"/>
      <w:pgSz w:w="11906" w:h="16838" w:code="9"/>
      <w:pgMar w:top="907" w:right="907" w:bottom="851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D749E" w14:textId="77777777" w:rsidR="006E3D85" w:rsidRDefault="006E3D85">
      <w:r>
        <w:separator/>
      </w:r>
    </w:p>
  </w:endnote>
  <w:endnote w:type="continuationSeparator" w:id="0">
    <w:p w14:paraId="54822485" w14:textId="77777777" w:rsidR="006E3D85" w:rsidRDefault="006E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8D5CB" w14:textId="77777777" w:rsidR="006E3D85" w:rsidRDefault="006E3D85">
      <w:r>
        <w:separator/>
      </w:r>
    </w:p>
  </w:footnote>
  <w:footnote w:type="continuationSeparator" w:id="0">
    <w:p w14:paraId="55897F35" w14:textId="77777777" w:rsidR="006E3D85" w:rsidRDefault="006E3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 w14:paraId="2C032508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806EB05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C731640" w14:textId="77777777"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629839F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51AB33AB" w14:textId="77777777"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6C125B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14:paraId="2FE9F6D9" w14:textId="77777777"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14:paraId="3DAFA080" w14:textId="77777777"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5AD14C9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0FB07EB9" w14:textId="77777777" w:rsidR="00D55DC4" w:rsidRDefault="00D55DC4">
    <w:pPr>
      <w:pStyle w:val="Zhlav"/>
      <w:jc w:val="center"/>
    </w:pPr>
  </w:p>
  <w:p w14:paraId="00FA3862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3ED3"/>
    <w:multiLevelType w:val="hybridMultilevel"/>
    <w:tmpl w:val="C6EAA5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47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557F8B"/>
    <w:multiLevelType w:val="hybridMultilevel"/>
    <w:tmpl w:val="A1C80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B27FA"/>
    <w:multiLevelType w:val="hybridMultilevel"/>
    <w:tmpl w:val="48B2463A"/>
    <w:lvl w:ilvl="0" w:tplc="21C858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556BC"/>
    <w:multiLevelType w:val="hybridMultilevel"/>
    <w:tmpl w:val="1B7A78D8"/>
    <w:lvl w:ilvl="0" w:tplc="83389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F7014"/>
    <w:multiLevelType w:val="hybridMultilevel"/>
    <w:tmpl w:val="40B029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95051"/>
    <w:multiLevelType w:val="multilevel"/>
    <w:tmpl w:val="07BC00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BC5149F"/>
    <w:multiLevelType w:val="hybridMultilevel"/>
    <w:tmpl w:val="94E00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812F0"/>
    <w:multiLevelType w:val="multilevel"/>
    <w:tmpl w:val="5FA23C0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97" w:hanging="39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3">
      <w:start w:val="1"/>
      <w:numFmt w:val="decimal"/>
      <w:suff w:val="space"/>
      <w:lvlText w:val="%1.%2.%3.%4"/>
      <w:lvlJc w:val="left"/>
      <w:rPr>
        <w:rFonts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3%2.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9676EFB"/>
    <w:multiLevelType w:val="hybridMultilevel"/>
    <w:tmpl w:val="EB12D36A"/>
    <w:lvl w:ilvl="0" w:tplc="1C2AE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F74A6"/>
    <w:multiLevelType w:val="hybridMultilevel"/>
    <w:tmpl w:val="B78871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56281"/>
    <w:multiLevelType w:val="hybridMultilevel"/>
    <w:tmpl w:val="BAE8E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56A14C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35423">
    <w:abstractNumId w:val="4"/>
  </w:num>
  <w:num w:numId="2" w16cid:durableId="1186989463">
    <w:abstractNumId w:val="3"/>
  </w:num>
  <w:num w:numId="3" w16cid:durableId="2002192255">
    <w:abstractNumId w:val="2"/>
  </w:num>
  <w:num w:numId="4" w16cid:durableId="1133711747">
    <w:abstractNumId w:val="0"/>
  </w:num>
  <w:num w:numId="5" w16cid:durableId="1618222721">
    <w:abstractNumId w:val="9"/>
  </w:num>
  <w:num w:numId="6" w16cid:durableId="1797748759">
    <w:abstractNumId w:val="11"/>
  </w:num>
  <w:num w:numId="7" w16cid:durableId="1614090735">
    <w:abstractNumId w:val="10"/>
  </w:num>
  <w:num w:numId="8" w16cid:durableId="2099670151">
    <w:abstractNumId w:val="7"/>
  </w:num>
  <w:num w:numId="9" w16cid:durableId="543516985">
    <w:abstractNumId w:val="5"/>
  </w:num>
  <w:num w:numId="10" w16cid:durableId="930430291">
    <w:abstractNumId w:val="1"/>
  </w:num>
  <w:num w:numId="11" w16cid:durableId="591158536">
    <w:abstractNumId w:val="8"/>
  </w:num>
  <w:num w:numId="12" w16cid:durableId="19531242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642"/>
    <w:rsid w:val="00010711"/>
    <w:rsid w:val="00022000"/>
    <w:rsid w:val="00032349"/>
    <w:rsid w:val="0005052A"/>
    <w:rsid w:val="00076782"/>
    <w:rsid w:val="000844BF"/>
    <w:rsid w:val="000A1483"/>
    <w:rsid w:val="000A3319"/>
    <w:rsid w:val="000A4EE4"/>
    <w:rsid w:val="000B52C7"/>
    <w:rsid w:val="000C649F"/>
    <w:rsid w:val="000E5FE8"/>
    <w:rsid w:val="000E7C46"/>
    <w:rsid w:val="00112899"/>
    <w:rsid w:val="001146AB"/>
    <w:rsid w:val="001238C9"/>
    <w:rsid w:val="00131428"/>
    <w:rsid w:val="00140C99"/>
    <w:rsid w:val="001568BC"/>
    <w:rsid w:val="00163352"/>
    <w:rsid w:val="00170FC4"/>
    <w:rsid w:val="001A32CF"/>
    <w:rsid w:val="001A5AB4"/>
    <w:rsid w:val="001D7E9B"/>
    <w:rsid w:val="001E10B7"/>
    <w:rsid w:val="001E2207"/>
    <w:rsid w:val="001F36B7"/>
    <w:rsid w:val="00214C3C"/>
    <w:rsid w:val="0021548C"/>
    <w:rsid w:val="00215709"/>
    <w:rsid w:val="00223B04"/>
    <w:rsid w:val="00251296"/>
    <w:rsid w:val="0025505F"/>
    <w:rsid w:val="00256349"/>
    <w:rsid w:val="00264DE5"/>
    <w:rsid w:val="00275113"/>
    <w:rsid w:val="00282C65"/>
    <w:rsid w:val="00291ABB"/>
    <w:rsid w:val="002A4D5D"/>
    <w:rsid w:val="002B229B"/>
    <w:rsid w:val="002C44D6"/>
    <w:rsid w:val="002D2AE7"/>
    <w:rsid w:val="002E5F77"/>
    <w:rsid w:val="002F0509"/>
    <w:rsid w:val="00333B72"/>
    <w:rsid w:val="003348E9"/>
    <w:rsid w:val="0034563E"/>
    <w:rsid w:val="00352014"/>
    <w:rsid w:val="0035342C"/>
    <w:rsid w:val="003548A0"/>
    <w:rsid w:val="00375485"/>
    <w:rsid w:val="00396A61"/>
    <w:rsid w:val="003B5F74"/>
    <w:rsid w:val="003C2F5F"/>
    <w:rsid w:val="003C63A5"/>
    <w:rsid w:val="003E0CA6"/>
    <w:rsid w:val="003E5060"/>
    <w:rsid w:val="00402606"/>
    <w:rsid w:val="004174F9"/>
    <w:rsid w:val="004316B3"/>
    <w:rsid w:val="00436878"/>
    <w:rsid w:val="0043785B"/>
    <w:rsid w:val="00447EFE"/>
    <w:rsid w:val="00456991"/>
    <w:rsid w:val="004669DF"/>
    <w:rsid w:val="0047565E"/>
    <w:rsid w:val="00477514"/>
    <w:rsid w:val="004A089C"/>
    <w:rsid w:val="004C3A50"/>
    <w:rsid w:val="004C3C13"/>
    <w:rsid w:val="004C6B9E"/>
    <w:rsid w:val="004D221A"/>
    <w:rsid w:val="004D4FD3"/>
    <w:rsid w:val="004E7545"/>
    <w:rsid w:val="004E7B1E"/>
    <w:rsid w:val="0050132C"/>
    <w:rsid w:val="00522A0A"/>
    <w:rsid w:val="005336F4"/>
    <w:rsid w:val="005375E3"/>
    <w:rsid w:val="0054774B"/>
    <w:rsid w:val="005506A6"/>
    <w:rsid w:val="0055209F"/>
    <w:rsid w:val="00553ABF"/>
    <w:rsid w:val="005B0664"/>
    <w:rsid w:val="005C472B"/>
    <w:rsid w:val="005C6883"/>
    <w:rsid w:val="005E258E"/>
    <w:rsid w:val="005F2D1A"/>
    <w:rsid w:val="00604039"/>
    <w:rsid w:val="00605BA8"/>
    <w:rsid w:val="00620D06"/>
    <w:rsid w:val="00622F92"/>
    <w:rsid w:val="006248F6"/>
    <w:rsid w:val="00646882"/>
    <w:rsid w:val="00664EB9"/>
    <w:rsid w:val="006806D5"/>
    <w:rsid w:val="006C125B"/>
    <w:rsid w:val="006D2038"/>
    <w:rsid w:val="006D6D86"/>
    <w:rsid w:val="006D7F3F"/>
    <w:rsid w:val="006E3D85"/>
    <w:rsid w:val="006E443C"/>
    <w:rsid w:val="007259A6"/>
    <w:rsid w:val="007313DE"/>
    <w:rsid w:val="00732DCA"/>
    <w:rsid w:val="00735BD3"/>
    <w:rsid w:val="00743FE1"/>
    <w:rsid w:val="00760A9B"/>
    <w:rsid w:val="00772603"/>
    <w:rsid w:val="00776FFE"/>
    <w:rsid w:val="007C31F7"/>
    <w:rsid w:val="007D178B"/>
    <w:rsid w:val="007D2765"/>
    <w:rsid w:val="007F5217"/>
    <w:rsid w:val="007F5241"/>
    <w:rsid w:val="00812C7C"/>
    <w:rsid w:val="008C05F6"/>
    <w:rsid w:val="008D540C"/>
    <w:rsid w:val="008E7D15"/>
    <w:rsid w:val="0091242B"/>
    <w:rsid w:val="00915C74"/>
    <w:rsid w:val="009249DE"/>
    <w:rsid w:val="009318AD"/>
    <w:rsid w:val="00934045"/>
    <w:rsid w:val="00964BCD"/>
    <w:rsid w:val="00973581"/>
    <w:rsid w:val="009762EB"/>
    <w:rsid w:val="00997CAE"/>
    <w:rsid w:val="009C0867"/>
    <w:rsid w:val="009C14FF"/>
    <w:rsid w:val="009C23AE"/>
    <w:rsid w:val="009D528F"/>
    <w:rsid w:val="009D7109"/>
    <w:rsid w:val="009E0C5A"/>
    <w:rsid w:val="009F02CB"/>
    <w:rsid w:val="00A15CEB"/>
    <w:rsid w:val="00A33A43"/>
    <w:rsid w:val="00A50C2C"/>
    <w:rsid w:val="00A54848"/>
    <w:rsid w:val="00A811F3"/>
    <w:rsid w:val="00A81CE6"/>
    <w:rsid w:val="00A87FBF"/>
    <w:rsid w:val="00AA6D2E"/>
    <w:rsid w:val="00AC4060"/>
    <w:rsid w:val="00AC6545"/>
    <w:rsid w:val="00AD08B6"/>
    <w:rsid w:val="00AF6A70"/>
    <w:rsid w:val="00AF7642"/>
    <w:rsid w:val="00B87601"/>
    <w:rsid w:val="00B95B4F"/>
    <w:rsid w:val="00BA63A2"/>
    <w:rsid w:val="00BB311C"/>
    <w:rsid w:val="00BB3A10"/>
    <w:rsid w:val="00BB763A"/>
    <w:rsid w:val="00BD0A9D"/>
    <w:rsid w:val="00BD1A6F"/>
    <w:rsid w:val="00BF1723"/>
    <w:rsid w:val="00C004F2"/>
    <w:rsid w:val="00C10142"/>
    <w:rsid w:val="00C20A68"/>
    <w:rsid w:val="00C24509"/>
    <w:rsid w:val="00C30762"/>
    <w:rsid w:val="00C84B0F"/>
    <w:rsid w:val="00C977BC"/>
    <w:rsid w:val="00CC4818"/>
    <w:rsid w:val="00CC628F"/>
    <w:rsid w:val="00CD5931"/>
    <w:rsid w:val="00CF5761"/>
    <w:rsid w:val="00D071B7"/>
    <w:rsid w:val="00D30002"/>
    <w:rsid w:val="00D55DC4"/>
    <w:rsid w:val="00D621DB"/>
    <w:rsid w:val="00D90416"/>
    <w:rsid w:val="00D91B13"/>
    <w:rsid w:val="00DA27A1"/>
    <w:rsid w:val="00DB49BA"/>
    <w:rsid w:val="00DD6D2E"/>
    <w:rsid w:val="00DE4606"/>
    <w:rsid w:val="00DF1A88"/>
    <w:rsid w:val="00E554A2"/>
    <w:rsid w:val="00E67C6A"/>
    <w:rsid w:val="00E75195"/>
    <w:rsid w:val="00E7588C"/>
    <w:rsid w:val="00E82BF6"/>
    <w:rsid w:val="00EA2DE1"/>
    <w:rsid w:val="00ED0699"/>
    <w:rsid w:val="00ED3DD7"/>
    <w:rsid w:val="00F01164"/>
    <w:rsid w:val="00F03F8F"/>
    <w:rsid w:val="00F12280"/>
    <w:rsid w:val="00F122C3"/>
    <w:rsid w:val="00F5483A"/>
    <w:rsid w:val="00F566BB"/>
    <w:rsid w:val="00F60A94"/>
    <w:rsid w:val="00F6108F"/>
    <w:rsid w:val="00F80FD5"/>
    <w:rsid w:val="00F9162F"/>
    <w:rsid w:val="00F96C4A"/>
    <w:rsid w:val="00F976E6"/>
    <w:rsid w:val="00FA01D9"/>
    <w:rsid w:val="00FE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17C45B"/>
  <w15:chartTrackingRefBased/>
  <w15:docId w15:val="{E0B3BCA8-BFED-4C9F-9C82-95682DCC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026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C23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F96C4A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5013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0132C"/>
    <w:rPr>
      <w:rFonts w:ascii="Segoe UI" w:hAnsi="Segoe UI" w:cs="Segoe UI"/>
      <w:sz w:val="18"/>
      <w:szCs w:val="18"/>
    </w:rPr>
  </w:style>
  <w:style w:type="paragraph" w:customStyle="1" w:styleId="UStext">
    <w:name w:val="US_text"/>
    <w:basedOn w:val="Normln"/>
    <w:qFormat/>
    <w:rsid w:val="00131428"/>
    <w:pPr>
      <w:jc w:val="both"/>
    </w:pPr>
    <w:rPr>
      <w:rFonts w:eastAsia="Calibri"/>
      <w:sz w:val="24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4026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vbloku">
    <w:name w:val="Block Text"/>
    <w:basedOn w:val="Normln"/>
    <w:rsid w:val="00A81CE6"/>
    <w:pPr>
      <w:widowControl w:val="0"/>
      <w:ind w:left="720" w:right="-48" w:hanging="720"/>
      <w:jc w:val="both"/>
    </w:pPr>
    <w:rPr>
      <w:sz w:val="22"/>
      <w:szCs w:val="22"/>
    </w:rPr>
  </w:style>
  <w:style w:type="character" w:customStyle="1" w:styleId="Nadpis3Char">
    <w:name w:val="Nadpis 3 Char"/>
    <w:basedOn w:val="Standardnpsmoodstavce"/>
    <w:link w:val="Nadpis3"/>
    <w:semiHidden/>
    <w:rsid w:val="009C23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467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Pajer Stanislav</cp:lastModifiedBy>
  <cp:revision>7</cp:revision>
  <cp:lastPrinted>2022-06-21T12:43:00Z</cp:lastPrinted>
  <dcterms:created xsi:type="dcterms:W3CDTF">2022-06-21T11:38:00Z</dcterms:created>
  <dcterms:modified xsi:type="dcterms:W3CDTF">2022-06-21T12:46:00Z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