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F05B83">
        <w:rPr>
          <w:rFonts w:ascii="Arial" w:hAnsi="Arial" w:cs="Arial"/>
          <w:b/>
          <w:sz w:val="22"/>
          <w:szCs w:val="22"/>
        </w:rPr>
        <w:t>729/2022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E2EEC" w:rsidRDefault="00D2173A" w:rsidP="00E95E53">
      <w:pPr>
        <w:tabs>
          <w:tab w:val="left" w:pos="4080"/>
        </w:tabs>
        <w:jc w:val="center"/>
        <w:rPr>
          <w:rFonts w:ascii="Arial" w:hAnsi="Arial" w:cs="Arial"/>
          <w:b/>
          <w:szCs w:val="24"/>
        </w:rPr>
      </w:pPr>
      <w:r w:rsidRPr="00D2173A">
        <w:rPr>
          <w:rFonts w:ascii="Arial" w:hAnsi="Arial" w:cs="Arial"/>
          <w:b/>
          <w:szCs w:val="24"/>
        </w:rPr>
        <w:t>ŠP Benešov nad Ploučnicí (Fojtovický potok) - odtěžení sedimentů a oprava dlažby</w:t>
      </w:r>
    </w:p>
    <w:p w:rsidR="00D2173A" w:rsidRPr="00454D43" w:rsidRDefault="00D2173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B13964" w:rsidRPr="00454D43" w:rsidRDefault="00B13964" w:rsidP="00B13964">
      <w:pPr>
        <w:tabs>
          <w:tab w:val="left" w:pos="3828"/>
        </w:tabs>
        <w:jc w:val="both"/>
        <w:rPr>
          <w:rFonts w:ascii="Arial" w:hAnsi="Arial" w:cs="Arial"/>
          <w:b/>
          <w:sz w:val="22"/>
          <w:szCs w:val="22"/>
        </w:rPr>
      </w:pPr>
      <w:r w:rsidRPr="00454D43">
        <w:rPr>
          <w:rFonts w:ascii="Arial" w:hAnsi="Arial" w:cs="Arial"/>
          <w:sz w:val="22"/>
          <w:szCs w:val="22"/>
        </w:rPr>
        <w:t>0</w:t>
      </w:r>
      <w:r w:rsidRPr="00454D43">
        <w:rPr>
          <w:rFonts w:ascii="Arial" w:hAnsi="Arial" w:cs="Arial"/>
          <w:b/>
          <w:sz w:val="22"/>
          <w:szCs w:val="22"/>
        </w:rPr>
        <w:t xml:space="preserve"> </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CD5FE1" w:rsidRPr="006D5B8A" w:rsidRDefault="00CD5FE1" w:rsidP="00CD5FE1">
      <w:pPr>
        <w:tabs>
          <w:tab w:val="left" w:pos="3828"/>
        </w:tabs>
        <w:jc w:val="both"/>
        <w:rPr>
          <w:rFonts w:ascii="Arial" w:hAnsi="Arial" w:cs="Arial"/>
          <w:b/>
          <w:sz w:val="22"/>
          <w:szCs w:val="22"/>
        </w:rPr>
      </w:pPr>
      <w:r w:rsidRPr="006D5B8A">
        <w:rPr>
          <w:rFonts w:ascii="Arial" w:hAnsi="Arial" w:cs="Arial"/>
          <w:b/>
          <w:sz w:val="22"/>
          <w:szCs w:val="22"/>
        </w:rPr>
        <w:t>Zhotovitel:</w:t>
      </w:r>
      <w:r w:rsidRPr="006D5B8A">
        <w:rPr>
          <w:rFonts w:ascii="Arial" w:hAnsi="Arial" w:cs="Arial"/>
          <w:b/>
          <w:sz w:val="22"/>
          <w:szCs w:val="22"/>
        </w:rPr>
        <w:tab/>
      </w:r>
      <w:r w:rsidRPr="00CD5FE1">
        <w:rPr>
          <w:rFonts w:ascii="Arial" w:hAnsi="Arial" w:cs="Arial"/>
          <w:b/>
          <w:sz w:val="22"/>
          <w:szCs w:val="22"/>
        </w:rPr>
        <w:t>BARDZÁK s.r.o.</w:t>
      </w:r>
    </w:p>
    <w:p w:rsidR="00CD5FE1" w:rsidRPr="006D5B8A" w:rsidRDefault="00CD5FE1" w:rsidP="00CD5FE1">
      <w:pPr>
        <w:tabs>
          <w:tab w:val="left" w:pos="3828"/>
        </w:tabs>
        <w:jc w:val="both"/>
        <w:rPr>
          <w:rFonts w:ascii="Arial" w:hAnsi="Arial" w:cs="Arial"/>
          <w:sz w:val="22"/>
          <w:szCs w:val="22"/>
        </w:rPr>
      </w:pPr>
      <w:r w:rsidRPr="006D5B8A">
        <w:rPr>
          <w:rFonts w:ascii="Arial" w:hAnsi="Arial" w:cs="Arial"/>
          <w:b/>
          <w:sz w:val="22"/>
          <w:szCs w:val="22"/>
        </w:rPr>
        <w:t>sídlo:</w:t>
      </w:r>
      <w:r w:rsidRPr="006D5B8A">
        <w:rPr>
          <w:rFonts w:ascii="Arial" w:hAnsi="Arial" w:cs="Arial"/>
          <w:sz w:val="22"/>
          <w:szCs w:val="22"/>
        </w:rPr>
        <w:tab/>
        <w:t>Sokolovská 114, 407 22 Benešov nad Ploučnicí</w:t>
      </w:r>
    </w:p>
    <w:p w:rsidR="00CD5FE1" w:rsidRPr="006D5B8A" w:rsidRDefault="00CD5FE1" w:rsidP="00CD5FE1">
      <w:pPr>
        <w:tabs>
          <w:tab w:val="left" w:pos="3828"/>
        </w:tabs>
        <w:jc w:val="both"/>
        <w:rPr>
          <w:rFonts w:ascii="Arial" w:hAnsi="Arial" w:cs="Arial"/>
          <w:sz w:val="22"/>
          <w:szCs w:val="22"/>
        </w:rPr>
      </w:pPr>
      <w:r w:rsidRPr="006D5B8A">
        <w:rPr>
          <w:rFonts w:ascii="Arial" w:hAnsi="Arial" w:cs="Arial"/>
          <w:b/>
          <w:sz w:val="22"/>
          <w:szCs w:val="22"/>
        </w:rPr>
        <w:t>IČ</w:t>
      </w:r>
      <w:r w:rsidR="00EB02BF">
        <w:rPr>
          <w:rFonts w:ascii="Arial" w:hAnsi="Arial" w:cs="Arial"/>
          <w:b/>
          <w:sz w:val="22"/>
          <w:szCs w:val="22"/>
        </w:rPr>
        <w:t>O</w:t>
      </w:r>
      <w:r w:rsidRPr="006D5B8A">
        <w:rPr>
          <w:rFonts w:ascii="Arial" w:hAnsi="Arial" w:cs="Arial"/>
          <w:b/>
          <w:sz w:val="22"/>
          <w:szCs w:val="22"/>
        </w:rPr>
        <w:t>:</w:t>
      </w:r>
      <w:r w:rsidRPr="006D5B8A">
        <w:rPr>
          <w:rFonts w:ascii="Arial" w:hAnsi="Arial" w:cs="Arial"/>
          <w:b/>
          <w:sz w:val="22"/>
          <w:szCs w:val="22"/>
        </w:rPr>
        <w:tab/>
      </w:r>
      <w:r w:rsidRPr="006D5B8A">
        <w:rPr>
          <w:rFonts w:ascii="Arial" w:hAnsi="Arial" w:cs="Arial"/>
          <w:sz w:val="22"/>
          <w:szCs w:val="22"/>
        </w:rPr>
        <w:t>28745001</w:t>
      </w:r>
    </w:p>
    <w:p w:rsidR="00CD5FE1" w:rsidRPr="006D5B8A" w:rsidRDefault="00CD5FE1" w:rsidP="00CD5FE1">
      <w:pPr>
        <w:tabs>
          <w:tab w:val="left" w:pos="3828"/>
        </w:tabs>
        <w:jc w:val="both"/>
        <w:rPr>
          <w:rFonts w:ascii="Arial" w:hAnsi="Arial" w:cs="Arial"/>
          <w:sz w:val="22"/>
          <w:szCs w:val="22"/>
        </w:rPr>
      </w:pPr>
      <w:r w:rsidRPr="006D5B8A">
        <w:rPr>
          <w:rFonts w:ascii="Arial" w:hAnsi="Arial" w:cs="Arial"/>
          <w:b/>
          <w:sz w:val="22"/>
          <w:szCs w:val="22"/>
        </w:rPr>
        <w:t>DIČ:</w:t>
      </w:r>
      <w:r w:rsidRPr="006D5B8A">
        <w:rPr>
          <w:rFonts w:ascii="Arial" w:hAnsi="Arial" w:cs="Arial"/>
          <w:b/>
          <w:sz w:val="22"/>
          <w:szCs w:val="22"/>
        </w:rPr>
        <w:tab/>
      </w:r>
      <w:r w:rsidRPr="006D5B8A">
        <w:rPr>
          <w:rFonts w:ascii="Arial" w:hAnsi="Arial" w:cs="Arial"/>
          <w:sz w:val="22"/>
          <w:szCs w:val="22"/>
        </w:rPr>
        <w:t>CZ28745001</w:t>
      </w:r>
    </w:p>
    <w:p w:rsidR="00CD5FE1" w:rsidRPr="006D5B8A" w:rsidRDefault="00CD5FE1" w:rsidP="00CD5FE1">
      <w:pPr>
        <w:tabs>
          <w:tab w:val="left" w:pos="3960"/>
        </w:tabs>
        <w:jc w:val="both"/>
        <w:rPr>
          <w:rFonts w:ascii="Arial" w:hAnsi="Arial" w:cs="Arial"/>
          <w:sz w:val="22"/>
          <w:szCs w:val="22"/>
        </w:rPr>
      </w:pPr>
    </w:p>
    <w:p w:rsidR="00CD5FE1" w:rsidRPr="006D5B8A" w:rsidRDefault="00CD5FE1" w:rsidP="00CD5FE1">
      <w:pPr>
        <w:pStyle w:val="Zkladntext"/>
        <w:widowControl/>
        <w:spacing w:before="120"/>
        <w:rPr>
          <w:rFonts w:cs="Arial"/>
          <w:sz w:val="22"/>
          <w:szCs w:val="22"/>
        </w:rPr>
      </w:pPr>
      <w:r w:rsidRPr="006D5B8A">
        <w:rPr>
          <w:rFonts w:cs="Arial"/>
          <w:sz w:val="22"/>
          <w:szCs w:val="22"/>
        </w:rPr>
        <w:t>Společnost je zapsána v obchodním rejstříku Krajského soudu v Ústí nad Labem v oddílu C, vložce č. 30224</w:t>
      </w:r>
    </w:p>
    <w:p w:rsidR="00CD5FE1" w:rsidRPr="006D5B8A" w:rsidRDefault="00CD5FE1" w:rsidP="00CD5FE1">
      <w:pPr>
        <w:pStyle w:val="Zkladntext"/>
        <w:widowControl/>
        <w:spacing w:before="120"/>
        <w:rPr>
          <w:rFonts w:cs="Arial"/>
          <w:sz w:val="22"/>
          <w:szCs w:val="22"/>
        </w:rPr>
      </w:pPr>
    </w:p>
    <w:p w:rsidR="00CD5FE1" w:rsidRPr="006D5B8A" w:rsidRDefault="00CD5FE1" w:rsidP="00CD5FE1">
      <w:pPr>
        <w:widowControl w:val="0"/>
        <w:spacing w:line="240" w:lineRule="atLeast"/>
        <w:rPr>
          <w:rFonts w:ascii="Arial" w:hAnsi="Arial" w:cs="Arial"/>
          <w:color w:val="000000"/>
          <w:sz w:val="22"/>
          <w:szCs w:val="22"/>
        </w:rPr>
      </w:pPr>
      <w:r w:rsidRPr="006D5B8A">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331998" w:rsidRPr="0046792E" w:rsidRDefault="00D2173A" w:rsidP="00864AB4">
      <w:pPr>
        <w:jc w:val="both"/>
        <w:rPr>
          <w:rFonts w:ascii="Arial" w:hAnsi="Arial" w:cs="Arial"/>
          <w:b/>
          <w:sz w:val="22"/>
          <w:szCs w:val="22"/>
        </w:rPr>
      </w:pPr>
      <w:r w:rsidRPr="0046792E">
        <w:rPr>
          <w:rFonts w:ascii="Arial" w:hAnsi="Arial" w:cs="Arial"/>
          <w:b/>
          <w:sz w:val="22"/>
          <w:szCs w:val="22"/>
        </w:rPr>
        <w:t>ŠP Benešov nad Ploučnicí (Fojtovický potok) - odtěžení sedimentů a oprava dlažby</w:t>
      </w:r>
    </w:p>
    <w:p w:rsidR="00D2173A" w:rsidRPr="00454D43" w:rsidRDefault="00D2173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44505A" w:rsidRPr="006A3710" w:rsidRDefault="0044505A" w:rsidP="0044505A">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27699/2022</w:t>
      </w:r>
      <w:r w:rsidRPr="00432702">
        <w:rPr>
          <w:rFonts w:cs="Arial"/>
          <w:sz w:val="22"/>
          <w:szCs w:val="22"/>
        </w:rPr>
        <w:br/>
        <w:t xml:space="preserve">dne </w:t>
      </w:r>
      <w:r>
        <w:rPr>
          <w:rFonts w:cs="Arial"/>
          <w:sz w:val="22"/>
          <w:szCs w:val="22"/>
        </w:rPr>
        <w:t>25.5.2022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10.6.2022.</w:t>
      </w:r>
    </w:p>
    <w:p w:rsidR="00DB1E92" w:rsidRPr="00DB1E92" w:rsidRDefault="0044505A" w:rsidP="00DB1E92">
      <w:pPr>
        <w:pStyle w:val="Zkladntext"/>
        <w:ind w:firstLine="426"/>
        <w:jc w:val="both"/>
        <w:rPr>
          <w:rFonts w:cs="Arial"/>
          <w:color w:val="auto"/>
          <w:sz w:val="22"/>
          <w:szCs w:val="22"/>
        </w:rPr>
      </w:pPr>
      <w:r w:rsidRPr="00D54EE7">
        <w:rPr>
          <w:rFonts w:cs="Arial"/>
          <w:sz w:val="22"/>
          <w:szCs w:val="22"/>
        </w:rPr>
        <w:t xml:space="preserve">Předmětem </w:t>
      </w:r>
      <w:r>
        <w:rPr>
          <w:rFonts w:cs="Arial"/>
          <w:sz w:val="22"/>
          <w:szCs w:val="22"/>
        </w:rPr>
        <w:t>díla</w:t>
      </w:r>
      <w:r w:rsidRPr="00D54EE7">
        <w:rPr>
          <w:rFonts w:cs="Arial"/>
          <w:sz w:val="22"/>
          <w:szCs w:val="22"/>
        </w:rPr>
        <w:t xml:space="preserve"> </w:t>
      </w:r>
      <w:r>
        <w:rPr>
          <w:rFonts w:cs="Arial"/>
          <w:sz w:val="22"/>
          <w:szCs w:val="22"/>
        </w:rPr>
        <w:t xml:space="preserve">jsou tyto </w:t>
      </w:r>
      <w:r w:rsidR="00DB1E92" w:rsidRPr="00DB1E92">
        <w:rPr>
          <w:rFonts w:cs="Arial"/>
          <w:color w:val="auto"/>
          <w:sz w:val="22"/>
          <w:szCs w:val="22"/>
        </w:rPr>
        <w:t>práce:</w:t>
      </w:r>
    </w:p>
    <w:p w:rsidR="00DB1E92" w:rsidRPr="00DB1E92" w:rsidRDefault="00DB1E92" w:rsidP="00DB1E92">
      <w:pPr>
        <w:pStyle w:val="Zkladntext"/>
        <w:numPr>
          <w:ilvl w:val="0"/>
          <w:numId w:val="14"/>
        </w:numPr>
        <w:jc w:val="both"/>
        <w:rPr>
          <w:rFonts w:cs="Arial"/>
          <w:color w:val="auto"/>
          <w:sz w:val="22"/>
          <w:szCs w:val="22"/>
        </w:rPr>
      </w:pPr>
      <w:r>
        <w:rPr>
          <w:rFonts w:cs="Arial"/>
          <w:b/>
          <w:sz w:val="22"/>
          <w:szCs w:val="22"/>
        </w:rPr>
        <w:t xml:space="preserve">Odstranění sedimentů: </w:t>
      </w:r>
      <w:r w:rsidRPr="008D7D56">
        <w:rPr>
          <w:rFonts w:cs="Arial"/>
          <w:sz w:val="22"/>
          <w:szCs w:val="22"/>
        </w:rPr>
        <w:t>Ze záchytné</w:t>
      </w:r>
      <w:r>
        <w:rPr>
          <w:rFonts w:cs="Arial"/>
          <w:sz w:val="22"/>
          <w:szCs w:val="22"/>
        </w:rPr>
        <w:t>ho</w:t>
      </w:r>
      <w:r w:rsidRPr="008D7D56">
        <w:rPr>
          <w:rFonts w:cs="Arial"/>
          <w:sz w:val="22"/>
          <w:szCs w:val="22"/>
        </w:rPr>
        <w:t xml:space="preserve"> prostoru </w:t>
      </w:r>
      <w:r>
        <w:rPr>
          <w:rFonts w:cs="Arial"/>
          <w:sz w:val="22"/>
          <w:szCs w:val="22"/>
        </w:rPr>
        <w:t>štěrkové přehrážky</w:t>
      </w:r>
      <w:r w:rsidRPr="008D7D56">
        <w:rPr>
          <w:rFonts w:cs="Arial"/>
          <w:sz w:val="22"/>
          <w:szCs w:val="22"/>
        </w:rPr>
        <w:t xml:space="preserve"> budou odtěženy sedimenty </w:t>
      </w:r>
      <w:r w:rsidRPr="00DB1E92">
        <w:rPr>
          <w:rFonts w:cs="Arial"/>
          <w:sz w:val="22"/>
          <w:szCs w:val="22"/>
        </w:rPr>
        <w:t>o předpokládaném objemu</w:t>
      </w:r>
      <w:r w:rsidRPr="008D7D56">
        <w:rPr>
          <w:rFonts w:cs="Arial"/>
          <w:b/>
          <w:sz w:val="22"/>
          <w:szCs w:val="22"/>
        </w:rPr>
        <w:t xml:space="preserve"> 132 m</w:t>
      </w:r>
      <w:r>
        <w:rPr>
          <w:rFonts w:cs="Arial"/>
          <w:b/>
          <w:sz w:val="22"/>
          <w:szCs w:val="22"/>
        </w:rPr>
        <w:t xml:space="preserve">3 </w:t>
      </w:r>
      <w:r w:rsidRPr="00DB1E92">
        <w:rPr>
          <w:rFonts w:cs="Arial"/>
          <w:color w:val="auto"/>
          <w:sz w:val="22"/>
          <w:szCs w:val="22"/>
        </w:rPr>
        <w:t>(průměrná mocnost sedimentů je 0,5 m, šířka koryta 12 m, délka úseku 22 m). Záchytný prostor ŠP nemá přístupovou cestu a jediný možný přístup je opevněným korytem vodního toku po směru toku v délce 75 m k p. p. č.  682/57 na levém břehu, kde je možné vytěžené sedimenty přeložit na dopravní prostředek k finálnímu odvozu.</w:t>
      </w:r>
      <w:r>
        <w:rPr>
          <w:rFonts w:cs="Arial"/>
          <w:color w:val="auto"/>
          <w:sz w:val="22"/>
          <w:szCs w:val="22"/>
        </w:rPr>
        <w:t xml:space="preserve"> </w:t>
      </w:r>
      <w:r w:rsidRPr="00DB1E92">
        <w:rPr>
          <w:rFonts w:cs="Arial"/>
          <w:color w:val="auto"/>
          <w:sz w:val="22"/>
          <w:szCs w:val="22"/>
        </w:rPr>
        <w:t>Při vodorovném přesunu sedimentů korytem vodního toku nesmí dojít k poškození stávajícího opevnění dna (kamenné dlažby).</w:t>
      </w:r>
    </w:p>
    <w:p w:rsidR="00DB1E92" w:rsidRPr="00DB1E92" w:rsidRDefault="00DB1E92" w:rsidP="00DB1E92">
      <w:pPr>
        <w:pStyle w:val="Zkladntext"/>
        <w:numPr>
          <w:ilvl w:val="0"/>
          <w:numId w:val="14"/>
        </w:numPr>
        <w:jc w:val="both"/>
        <w:rPr>
          <w:rFonts w:cs="Arial"/>
          <w:color w:val="auto"/>
          <w:sz w:val="22"/>
          <w:szCs w:val="22"/>
        </w:rPr>
      </w:pPr>
      <w:r w:rsidRPr="00DB1E92">
        <w:rPr>
          <w:rFonts w:cs="Arial"/>
          <w:b/>
          <w:color w:val="auto"/>
          <w:sz w:val="22"/>
          <w:szCs w:val="22"/>
        </w:rPr>
        <w:t>Oprava kamenné dlažby ve dně:</w:t>
      </w:r>
      <w:r w:rsidRPr="00DB1E92">
        <w:rPr>
          <w:rFonts w:cs="Arial"/>
          <w:color w:val="auto"/>
          <w:sz w:val="22"/>
          <w:szCs w:val="22"/>
        </w:rPr>
        <w:t xml:space="preserve"> Pod hrázi ŠP bude na konci vývaru doplněna vymletá</w:t>
      </w:r>
      <w:r>
        <w:rPr>
          <w:rFonts w:cs="Arial"/>
          <w:color w:val="auto"/>
          <w:sz w:val="22"/>
          <w:szCs w:val="22"/>
        </w:rPr>
        <w:t xml:space="preserve"> </w:t>
      </w:r>
      <w:r w:rsidRPr="00DB1E92">
        <w:rPr>
          <w:rFonts w:cs="Arial"/>
          <w:color w:val="auto"/>
          <w:sz w:val="22"/>
          <w:szCs w:val="22"/>
        </w:rPr>
        <w:t xml:space="preserve">kamenná dlažba (čedič) do betonu na ploše </w:t>
      </w:r>
      <w:r w:rsidRPr="00DB1E92">
        <w:rPr>
          <w:rFonts w:cs="Arial"/>
          <w:b/>
          <w:color w:val="auto"/>
          <w:sz w:val="22"/>
          <w:szCs w:val="22"/>
        </w:rPr>
        <w:t>25 m2</w:t>
      </w:r>
      <w:r w:rsidRPr="00DB1E92">
        <w:rPr>
          <w:rFonts w:cs="Arial"/>
          <w:color w:val="auto"/>
          <w:sz w:val="22"/>
          <w:szCs w:val="22"/>
        </w:rPr>
        <w:t xml:space="preserve"> (úsek délky 8 m). </w:t>
      </w:r>
    </w:p>
    <w:p w:rsidR="00DB1E92" w:rsidRPr="00DB1E92" w:rsidRDefault="00DB1E92" w:rsidP="00DB1E92">
      <w:pPr>
        <w:pStyle w:val="Zkladntext"/>
        <w:numPr>
          <w:ilvl w:val="0"/>
          <w:numId w:val="14"/>
        </w:numPr>
        <w:jc w:val="both"/>
        <w:rPr>
          <w:rFonts w:cs="Arial"/>
          <w:color w:val="auto"/>
          <w:sz w:val="22"/>
          <w:szCs w:val="22"/>
        </w:rPr>
      </w:pPr>
      <w:r w:rsidRPr="00DB1E92">
        <w:rPr>
          <w:rFonts w:cs="Arial"/>
          <w:b/>
          <w:color w:val="auto"/>
          <w:sz w:val="22"/>
          <w:szCs w:val="22"/>
        </w:rPr>
        <w:t>Oprava spárování kamenné dlažby ve dně:</w:t>
      </w:r>
      <w:r w:rsidRPr="00DB1E92">
        <w:rPr>
          <w:rFonts w:cs="Arial"/>
          <w:color w:val="auto"/>
          <w:sz w:val="22"/>
          <w:szCs w:val="22"/>
        </w:rPr>
        <w:t xml:space="preserve"> Vedle vymleté dlažby ve dně bude opraveno spárování stávající neporušené kamenné dlažby na ploše </w:t>
      </w:r>
      <w:r w:rsidRPr="00DB1E92">
        <w:rPr>
          <w:rFonts w:cs="Arial"/>
          <w:b/>
          <w:color w:val="auto"/>
          <w:sz w:val="22"/>
          <w:szCs w:val="22"/>
        </w:rPr>
        <w:t>10 m2</w:t>
      </w:r>
      <w:r w:rsidRPr="00DB1E92">
        <w:rPr>
          <w:rFonts w:cs="Arial"/>
          <w:color w:val="auto"/>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lastRenderedPageBreak/>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r>
      <w:r w:rsidR="000F2E37">
        <w:rPr>
          <w:rFonts w:ascii="Arial" w:hAnsi="Arial" w:cs="Arial"/>
          <w:bCs/>
          <w:color w:val="000000"/>
          <w:sz w:val="22"/>
          <w:szCs w:val="22"/>
        </w:rPr>
        <w:tab/>
      </w:r>
      <w:r w:rsidR="000F2E37">
        <w:rPr>
          <w:rFonts w:ascii="Arial" w:hAnsi="Arial" w:cs="Arial"/>
          <w:bCs/>
          <w:color w:val="000000"/>
          <w:sz w:val="22"/>
          <w:szCs w:val="22"/>
        </w:rPr>
        <w:tab/>
      </w:r>
      <w:r w:rsidR="000F2E37" w:rsidRPr="00306214">
        <w:rPr>
          <w:rFonts w:ascii="Arial" w:hAnsi="Arial" w:cs="Arial"/>
          <w:bCs/>
          <w:color w:val="000000"/>
          <w:sz w:val="22"/>
          <w:szCs w:val="22"/>
        </w:rPr>
        <w:t>po nabytí účinnosti této smlouvy</w:t>
      </w:r>
      <w:r w:rsidR="000F2E37">
        <w:rPr>
          <w:rFonts w:ascii="Arial" w:hAnsi="Arial" w:cs="Arial"/>
          <w:bCs/>
          <w:color w:val="000000"/>
          <w:sz w:val="22"/>
          <w:szCs w:val="22"/>
        </w:rPr>
        <w:t xml:space="preserve"> a dohodě s TDI</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0F2E37">
        <w:rPr>
          <w:rFonts w:ascii="Arial" w:hAnsi="Arial" w:cs="Arial"/>
          <w:b/>
          <w:bCs/>
          <w:color w:val="000000"/>
          <w:sz w:val="22"/>
          <w:szCs w:val="22"/>
        </w:rPr>
        <w:t>31.10.2022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Pr="00C105F7" w:rsidRDefault="00D363E8" w:rsidP="0095255A">
      <w:pPr>
        <w:ind w:firstLine="360"/>
        <w:jc w:val="both"/>
        <w:rPr>
          <w:rFonts w:ascii="Arial" w:hAnsi="Arial" w:cs="Arial"/>
          <w:sz w:val="22"/>
          <w:szCs w:val="22"/>
        </w:rPr>
      </w:pPr>
    </w:p>
    <w:p w:rsidR="00B13964" w:rsidRPr="006C1018" w:rsidRDefault="00331998" w:rsidP="00B13964">
      <w:pPr>
        <w:ind w:firstLine="360"/>
        <w:jc w:val="both"/>
        <w:rPr>
          <w:rFonts w:ascii="Arial" w:hAnsi="Arial" w:cs="Arial"/>
          <w:b/>
          <w:sz w:val="22"/>
          <w:szCs w:val="22"/>
        </w:rPr>
      </w:pPr>
      <w:r w:rsidRPr="00C105F7">
        <w:rPr>
          <w:rFonts w:ascii="Arial" w:hAnsi="Arial" w:cs="Arial"/>
          <w:b/>
          <w:sz w:val="22"/>
          <w:szCs w:val="22"/>
        </w:rPr>
        <w:t>S</w:t>
      </w:r>
      <w:r w:rsidR="00B13964" w:rsidRPr="00C105F7">
        <w:rPr>
          <w:rFonts w:ascii="Arial" w:hAnsi="Arial" w:cs="Arial"/>
          <w:b/>
          <w:sz w:val="22"/>
          <w:szCs w:val="22"/>
        </w:rPr>
        <w:t>mluvní cena za dílo:</w:t>
      </w:r>
      <w:r w:rsidR="00B13964" w:rsidRPr="00C105F7">
        <w:rPr>
          <w:rFonts w:ascii="Arial" w:hAnsi="Arial" w:cs="Arial"/>
          <w:b/>
          <w:sz w:val="22"/>
          <w:szCs w:val="22"/>
        </w:rPr>
        <w:tab/>
      </w:r>
      <w:r w:rsidR="00C105F7" w:rsidRPr="00C105F7">
        <w:rPr>
          <w:rFonts w:ascii="Arial" w:hAnsi="Arial" w:cs="Arial"/>
          <w:b/>
          <w:sz w:val="22"/>
          <w:szCs w:val="22"/>
        </w:rPr>
        <w:t xml:space="preserve">457.125,00 </w:t>
      </w:r>
      <w:r w:rsidR="00B13964" w:rsidRPr="00C105F7">
        <w:rPr>
          <w:rFonts w:ascii="Arial" w:hAnsi="Arial" w:cs="Arial"/>
          <w:b/>
          <w:sz w:val="22"/>
          <w:szCs w:val="22"/>
        </w:rPr>
        <w:t>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w:t>
      </w:r>
      <w:r w:rsidR="006D3A63">
        <w:t>………………….</w:t>
      </w:r>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w:t>
      </w:r>
      <w:r w:rsidRPr="00454D43">
        <w:rPr>
          <w:rFonts w:ascii="Arial" w:hAnsi="Arial" w:cs="Arial"/>
          <w:color w:val="auto"/>
          <w:sz w:val="22"/>
          <w:szCs w:val="22"/>
        </w:rPr>
        <w:lastRenderedPageBreak/>
        <w:t>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B13964" w:rsidRPr="00454D43"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3194C" w:rsidRPr="00591B46" w:rsidRDefault="0023194C" w:rsidP="00B914C9">
      <w:pPr>
        <w:pStyle w:val="Zkladntext"/>
        <w:widowControl/>
        <w:numPr>
          <w:ilvl w:val="0"/>
          <w:numId w:val="5"/>
        </w:numPr>
        <w:tabs>
          <w:tab w:val="left" w:pos="360"/>
        </w:tabs>
        <w:jc w:val="both"/>
        <w:rPr>
          <w:rFonts w:cs="Arial"/>
          <w:b/>
          <w:sz w:val="22"/>
          <w:szCs w:val="22"/>
        </w:rPr>
      </w:pPr>
      <w:r w:rsidRPr="00591B46">
        <w:rPr>
          <w:rFonts w:cs="Arial"/>
          <w:b/>
          <w:sz w:val="22"/>
          <w:szCs w:val="22"/>
        </w:rPr>
        <w:t xml:space="preserve">Záruční doba </w:t>
      </w:r>
      <w:r w:rsidR="00D2173A">
        <w:rPr>
          <w:rFonts w:cs="Arial"/>
          <w:b/>
          <w:sz w:val="22"/>
          <w:szCs w:val="22"/>
        </w:rPr>
        <w:t xml:space="preserve">pro opravu opevnění </w:t>
      </w:r>
      <w:r w:rsidR="00140A9C">
        <w:rPr>
          <w:rFonts w:cs="Arial"/>
          <w:b/>
          <w:sz w:val="22"/>
          <w:szCs w:val="22"/>
        </w:rPr>
        <w:t xml:space="preserve">(oprava a spárování kam. dlažby) </w:t>
      </w:r>
      <w:r w:rsidRPr="00591B46">
        <w:rPr>
          <w:rFonts w:cs="Arial"/>
          <w:b/>
          <w:sz w:val="22"/>
          <w:szCs w:val="22"/>
        </w:rPr>
        <w:t xml:space="preserve">se sjednává </w:t>
      </w:r>
      <w:r w:rsidR="00D2173A">
        <w:rPr>
          <w:rFonts w:cs="Arial"/>
          <w:b/>
          <w:color w:val="auto"/>
          <w:sz w:val="22"/>
          <w:szCs w:val="22"/>
        </w:rPr>
        <w:t>60</w:t>
      </w:r>
      <w:r w:rsidRPr="00591B46">
        <w:rPr>
          <w:rFonts w:cs="Arial"/>
          <w:b/>
          <w:color w:val="auto"/>
          <w:sz w:val="22"/>
          <w:szCs w:val="22"/>
        </w:rPr>
        <w:t xml:space="preserve"> </w:t>
      </w:r>
      <w:r w:rsidRPr="00591B46">
        <w:rPr>
          <w:rFonts w:cs="Arial"/>
          <w:b/>
          <w:sz w:val="22"/>
          <w:szCs w:val="22"/>
        </w:rPr>
        <w:t>měsíců ode dne předání a převzetí díla objednatelem.</w:t>
      </w:r>
    </w:p>
    <w:p w:rsidR="0023194C" w:rsidRDefault="0023194C" w:rsidP="0023194C">
      <w:pPr>
        <w:pStyle w:val="Zkladntext"/>
        <w:widowControl/>
        <w:tabs>
          <w:tab w:val="left" w:pos="360"/>
        </w:tabs>
        <w:jc w:val="both"/>
        <w:rPr>
          <w:rFonts w:cs="Arial"/>
          <w:sz w:val="22"/>
          <w:szCs w:val="22"/>
        </w:rPr>
      </w:pPr>
    </w:p>
    <w:p w:rsidR="0023194C" w:rsidRPr="009402A7" w:rsidRDefault="0023194C" w:rsidP="0023194C">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3194C" w:rsidRDefault="0023194C" w:rsidP="0023194C">
      <w:pPr>
        <w:pStyle w:val="Zkladntext"/>
        <w:widowControl/>
        <w:tabs>
          <w:tab w:val="left" w:pos="360"/>
        </w:tabs>
        <w:ind w:left="360"/>
        <w:jc w:val="both"/>
        <w:rPr>
          <w:rFonts w:cs="Arial"/>
          <w:sz w:val="22"/>
          <w:szCs w:val="22"/>
        </w:rPr>
      </w:pPr>
    </w:p>
    <w:p w:rsidR="0023194C" w:rsidRPr="009402A7" w:rsidRDefault="0023194C" w:rsidP="0023194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3194C" w:rsidRPr="00386410" w:rsidRDefault="0023194C" w:rsidP="0023194C">
      <w:pPr>
        <w:pStyle w:val="Zkladntext"/>
        <w:widowControl/>
        <w:jc w:val="both"/>
        <w:rPr>
          <w:rFonts w:cs="Arial"/>
          <w:sz w:val="22"/>
          <w:szCs w:val="22"/>
        </w:rPr>
      </w:pPr>
    </w:p>
    <w:p w:rsidR="0023194C" w:rsidRPr="00386410" w:rsidRDefault="0023194C" w:rsidP="00B914C9">
      <w:pPr>
        <w:pStyle w:val="Zkladntext"/>
        <w:widowControl/>
        <w:numPr>
          <w:ilvl w:val="0"/>
          <w:numId w:val="5"/>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23194C" w:rsidRPr="00386410" w:rsidRDefault="0023194C" w:rsidP="0023194C">
      <w:pPr>
        <w:pStyle w:val="Zkladntext"/>
        <w:widowControl/>
        <w:tabs>
          <w:tab w:val="left" w:pos="360"/>
        </w:tabs>
        <w:jc w:val="both"/>
        <w:rPr>
          <w:rFonts w:cs="Arial"/>
          <w:sz w:val="22"/>
          <w:szCs w:val="22"/>
        </w:rPr>
      </w:pPr>
    </w:p>
    <w:p w:rsidR="0023194C" w:rsidRDefault="0023194C" w:rsidP="00B914C9">
      <w:pPr>
        <w:pStyle w:val="Zkladntext"/>
        <w:widowControl/>
        <w:numPr>
          <w:ilvl w:val="0"/>
          <w:numId w:val="5"/>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provede dohodnutou činnost na své nebezpečí a je povinen dodržovat všechny předpisy bezpečnosti a ochrany zdraví při práci (BOZP), požární ochrany (PO) a zákoníku </w:t>
      </w:r>
      <w:r w:rsidRPr="00DE3369">
        <w:rPr>
          <w:rFonts w:cs="Arial"/>
          <w:color w:val="auto"/>
          <w:sz w:val="22"/>
          <w:szCs w:val="22"/>
        </w:rPr>
        <w:lastRenderedPageBreak/>
        <w:t>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6D3A63">
        <w:rPr>
          <w:rFonts w:cs="Arial"/>
          <w:color w:val="auto"/>
          <w:sz w:val="22"/>
          <w:szCs w:val="22"/>
        </w:rPr>
        <w:t>…………..</w:t>
      </w:r>
      <w:r w:rsidRPr="00DE3369">
        <w:rPr>
          <w:rFonts w:cs="Arial"/>
          <w:color w:val="auto"/>
          <w:sz w:val="22"/>
          <w:szCs w:val="22"/>
        </w:rPr>
        <w:t>.</w:t>
      </w:r>
    </w:p>
    <w:p w:rsidR="008F2E2B" w:rsidRDefault="008F2E2B"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lastRenderedPageBreak/>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0F2E37" w:rsidRDefault="000F2E37" w:rsidP="002D1039">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bookmarkStart w:id="0" w:name="_GoBack"/>
      <w:bookmarkEnd w:id="0"/>
    </w:p>
    <w:p w:rsidR="00C105F7" w:rsidRPr="006D5B8A" w:rsidRDefault="00C105F7" w:rsidP="00C105F7">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p>
    <w:p w:rsidR="00C105F7" w:rsidRPr="006D5B8A" w:rsidRDefault="00C105F7" w:rsidP="00C105F7">
      <w:pPr>
        <w:keepNext/>
        <w:jc w:val="both"/>
        <w:rPr>
          <w:rFonts w:ascii="Arial" w:hAnsi="Arial" w:cs="Arial"/>
          <w:sz w:val="22"/>
          <w:szCs w:val="22"/>
        </w:rPr>
      </w:pPr>
      <w:r w:rsidRPr="006D5B8A">
        <w:rPr>
          <w:rFonts w:ascii="Arial" w:hAnsi="Arial" w:cs="Arial"/>
          <w:sz w:val="22"/>
          <w:szCs w:val="22"/>
        </w:rPr>
        <w:t>……………………………………</w:t>
      </w:r>
      <w:r w:rsidRPr="006D5B8A">
        <w:rPr>
          <w:rFonts w:ascii="Arial" w:hAnsi="Arial" w:cs="Arial"/>
          <w:sz w:val="22"/>
          <w:szCs w:val="22"/>
        </w:rPr>
        <w:tab/>
      </w:r>
      <w:r w:rsidRPr="006D5B8A">
        <w:rPr>
          <w:rFonts w:ascii="Arial" w:hAnsi="Arial" w:cs="Arial"/>
          <w:sz w:val="22"/>
          <w:szCs w:val="22"/>
        </w:rPr>
        <w:tab/>
      </w:r>
      <w:r w:rsidRPr="006D5B8A">
        <w:rPr>
          <w:rFonts w:ascii="Arial" w:hAnsi="Arial" w:cs="Arial"/>
          <w:sz w:val="22"/>
          <w:szCs w:val="22"/>
        </w:rPr>
        <w:tab/>
        <w:t>……………………………………</w:t>
      </w:r>
    </w:p>
    <w:p w:rsidR="00C105F7" w:rsidRPr="006D5B8A" w:rsidRDefault="00C105F7" w:rsidP="00C105F7">
      <w:pPr>
        <w:keepNext/>
        <w:jc w:val="both"/>
        <w:rPr>
          <w:rFonts w:ascii="Arial" w:hAnsi="Arial" w:cs="Arial"/>
          <w:sz w:val="22"/>
          <w:szCs w:val="22"/>
        </w:rPr>
      </w:pPr>
      <w:r w:rsidRPr="006D5B8A">
        <w:rPr>
          <w:rFonts w:ascii="Arial" w:hAnsi="Arial" w:cs="Arial"/>
          <w:sz w:val="22"/>
          <w:szCs w:val="22"/>
        </w:rPr>
        <w:t>oprávněný zástupce objednatele</w:t>
      </w:r>
      <w:r w:rsidRPr="006D5B8A">
        <w:rPr>
          <w:rFonts w:ascii="Arial" w:hAnsi="Arial" w:cs="Arial"/>
          <w:sz w:val="22"/>
          <w:szCs w:val="22"/>
        </w:rPr>
        <w:tab/>
      </w:r>
      <w:r w:rsidRPr="006D5B8A">
        <w:rPr>
          <w:rFonts w:ascii="Arial" w:hAnsi="Arial" w:cs="Arial"/>
          <w:sz w:val="22"/>
          <w:szCs w:val="22"/>
        </w:rPr>
        <w:tab/>
      </w:r>
      <w:r w:rsidRPr="006D5B8A">
        <w:rPr>
          <w:rFonts w:ascii="Arial" w:hAnsi="Arial" w:cs="Arial"/>
          <w:sz w:val="22"/>
          <w:szCs w:val="22"/>
        </w:rPr>
        <w:tab/>
        <w:t>oprávněný zástupce</w:t>
      </w:r>
      <w:r>
        <w:rPr>
          <w:rFonts w:ascii="Arial" w:hAnsi="Arial" w:cs="Arial"/>
          <w:sz w:val="22"/>
          <w:szCs w:val="22"/>
        </w:rPr>
        <w:t xml:space="preserve"> zhotovitele</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FD" w:rsidRDefault="009F47FD">
      <w:r>
        <w:separator/>
      </w:r>
    </w:p>
  </w:endnote>
  <w:endnote w:type="continuationSeparator" w:id="0">
    <w:p w:rsidR="009F47FD" w:rsidRDefault="009F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FD" w:rsidRDefault="009F47FD">
      <w:r>
        <w:separator/>
      </w:r>
    </w:p>
  </w:footnote>
  <w:footnote w:type="continuationSeparator" w:id="0">
    <w:p w:rsidR="009F47FD" w:rsidRDefault="009F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0D053D7"/>
    <w:multiLevelType w:val="hybridMultilevel"/>
    <w:tmpl w:val="3B348C7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2"/>
  </w:num>
  <w:num w:numId="3">
    <w:abstractNumId w:val="9"/>
  </w:num>
  <w:num w:numId="4">
    <w:abstractNumId w:val="11"/>
  </w:num>
  <w:num w:numId="5">
    <w:abstractNumId w:val="6"/>
  </w:num>
  <w:num w:numId="6">
    <w:abstractNumId w:val="4"/>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7"/>
  </w:num>
  <w:num w:numId="12">
    <w:abstractNumId w:val="2"/>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14F4"/>
    <w:rsid w:val="00013DF1"/>
    <w:rsid w:val="0001739A"/>
    <w:rsid w:val="00022ABE"/>
    <w:rsid w:val="00022FDC"/>
    <w:rsid w:val="00032AD0"/>
    <w:rsid w:val="000456A7"/>
    <w:rsid w:val="00053346"/>
    <w:rsid w:val="000706EC"/>
    <w:rsid w:val="000754A0"/>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70F44"/>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398E"/>
    <w:rsid w:val="002356F5"/>
    <w:rsid w:val="00236D02"/>
    <w:rsid w:val="002371A3"/>
    <w:rsid w:val="00241CC6"/>
    <w:rsid w:val="002427FD"/>
    <w:rsid w:val="00255B29"/>
    <w:rsid w:val="00271CF6"/>
    <w:rsid w:val="002727B2"/>
    <w:rsid w:val="002810BB"/>
    <w:rsid w:val="002841E7"/>
    <w:rsid w:val="002862E9"/>
    <w:rsid w:val="00292B4F"/>
    <w:rsid w:val="002A0B25"/>
    <w:rsid w:val="002A59FE"/>
    <w:rsid w:val="002B1846"/>
    <w:rsid w:val="002B32CB"/>
    <w:rsid w:val="002B6064"/>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31998"/>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4A5E"/>
    <w:rsid w:val="004258CF"/>
    <w:rsid w:val="004263A6"/>
    <w:rsid w:val="00431AB2"/>
    <w:rsid w:val="004335FB"/>
    <w:rsid w:val="004372A1"/>
    <w:rsid w:val="00437893"/>
    <w:rsid w:val="004433D8"/>
    <w:rsid w:val="0044505A"/>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10099"/>
    <w:rsid w:val="00642863"/>
    <w:rsid w:val="00656688"/>
    <w:rsid w:val="0067189F"/>
    <w:rsid w:val="0068009D"/>
    <w:rsid w:val="00681859"/>
    <w:rsid w:val="006827FF"/>
    <w:rsid w:val="00687E88"/>
    <w:rsid w:val="006A302C"/>
    <w:rsid w:val="006C4B77"/>
    <w:rsid w:val="006C6128"/>
    <w:rsid w:val="006C64E2"/>
    <w:rsid w:val="006D29A4"/>
    <w:rsid w:val="006D3A63"/>
    <w:rsid w:val="006D4CF2"/>
    <w:rsid w:val="006D6504"/>
    <w:rsid w:val="006E5F9A"/>
    <w:rsid w:val="006F41C0"/>
    <w:rsid w:val="007111BD"/>
    <w:rsid w:val="00714263"/>
    <w:rsid w:val="00734FF3"/>
    <w:rsid w:val="00740ADB"/>
    <w:rsid w:val="00745DDE"/>
    <w:rsid w:val="0074616E"/>
    <w:rsid w:val="00750E04"/>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9F47FD"/>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63BF5"/>
    <w:rsid w:val="00B640F3"/>
    <w:rsid w:val="00B76C65"/>
    <w:rsid w:val="00B84D23"/>
    <w:rsid w:val="00B914C9"/>
    <w:rsid w:val="00B92AF5"/>
    <w:rsid w:val="00B9556F"/>
    <w:rsid w:val="00BB5F46"/>
    <w:rsid w:val="00BB77F0"/>
    <w:rsid w:val="00BC23EC"/>
    <w:rsid w:val="00BC6B58"/>
    <w:rsid w:val="00BD5E01"/>
    <w:rsid w:val="00BE33C7"/>
    <w:rsid w:val="00BF110F"/>
    <w:rsid w:val="00BF1B3F"/>
    <w:rsid w:val="00BF3D9B"/>
    <w:rsid w:val="00C0154D"/>
    <w:rsid w:val="00C01972"/>
    <w:rsid w:val="00C079FC"/>
    <w:rsid w:val="00C105F7"/>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9156E"/>
    <w:rsid w:val="00CA35B6"/>
    <w:rsid w:val="00CC0E56"/>
    <w:rsid w:val="00CC19B0"/>
    <w:rsid w:val="00CD5FE1"/>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604"/>
    <w:rsid w:val="00D83C7B"/>
    <w:rsid w:val="00D865BE"/>
    <w:rsid w:val="00D87104"/>
    <w:rsid w:val="00D94469"/>
    <w:rsid w:val="00D968F8"/>
    <w:rsid w:val="00DB1E92"/>
    <w:rsid w:val="00DB2B84"/>
    <w:rsid w:val="00DC10D8"/>
    <w:rsid w:val="00DC579B"/>
    <w:rsid w:val="00DC6ACE"/>
    <w:rsid w:val="00DD0E1B"/>
    <w:rsid w:val="00DD400C"/>
    <w:rsid w:val="00DE2F13"/>
    <w:rsid w:val="00DE3369"/>
    <w:rsid w:val="00DE675A"/>
    <w:rsid w:val="00DF0B5E"/>
    <w:rsid w:val="00DF41F7"/>
    <w:rsid w:val="00E06371"/>
    <w:rsid w:val="00E10428"/>
    <w:rsid w:val="00E1478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02BF"/>
    <w:rsid w:val="00EB1341"/>
    <w:rsid w:val="00EB418C"/>
    <w:rsid w:val="00EB6A5C"/>
    <w:rsid w:val="00ED1285"/>
    <w:rsid w:val="00ED1664"/>
    <w:rsid w:val="00ED2006"/>
    <w:rsid w:val="00ED33E2"/>
    <w:rsid w:val="00EE43D6"/>
    <w:rsid w:val="00EF1AB7"/>
    <w:rsid w:val="00EF1E4B"/>
    <w:rsid w:val="00EF2804"/>
    <w:rsid w:val="00EF744B"/>
    <w:rsid w:val="00F05460"/>
    <w:rsid w:val="00F05B83"/>
    <w:rsid w:val="00F22DC0"/>
    <w:rsid w:val="00F24E79"/>
    <w:rsid w:val="00F25381"/>
    <w:rsid w:val="00F27BE3"/>
    <w:rsid w:val="00F352E0"/>
    <w:rsid w:val="00F52D0A"/>
    <w:rsid w:val="00F54D46"/>
    <w:rsid w:val="00F55105"/>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1E83"/>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07498232">
      <w:bodyDiv w:val="1"/>
      <w:marLeft w:val="0"/>
      <w:marRight w:val="0"/>
      <w:marTop w:val="0"/>
      <w:marBottom w:val="0"/>
      <w:divBdr>
        <w:top w:val="none" w:sz="0" w:space="0" w:color="auto"/>
        <w:left w:val="none" w:sz="0" w:space="0" w:color="auto"/>
        <w:bottom w:val="none" w:sz="0" w:space="0" w:color="auto"/>
        <w:right w:val="none" w:sz="0" w:space="0" w:color="auto"/>
      </w:divBdr>
      <w:divsChild>
        <w:div w:id="103110435">
          <w:marLeft w:val="0"/>
          <w:marRight w:val="0"/>
          <w:marTop w:val="0"/>
          <w:marBottom w:val="0"/>
          <w:divBdr>
            <w:top w:val="none" w:sz="0" w:space="0" w:color="auto"/>
            <w:left w:val="none" w:sz="0" w:space="0" w:color="auto"/>
            <w:bottom w:val="none" w:sz="0" w:space="0" w:color="auto"/>
            <w:right w:val="none" w:sz="0" w:space="0" w:color="auto"/>
          </w:divBdr>
          <w:divsChild>
            <w:div w:id="4927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F5AE-A65E-428A-8C48-F9BE4E3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2484</Words>
  <Characters>14659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2022-07-12T13:29:00Z</dcterms:created>
  <dcterms:modified xsi:type="dcterms:W3CDTF">2022-07-12T13:29:00Z</dcterms:modified>
</cp:coreProperties>
</file>