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EF69" w14:textId="77777777" w:rsidR="003C47A9" w:rsidRDefault="009E31A2" w:rsidP="009E31A2">
      <w:pPr>
        <w:pStyle w:val="Nzev"/>
        <w:rPr>
          <w:sz w:val="32"/>
          <w:szCs w:val="32"/>
        </w:rPr>
      </w:pPr>
      <w:r w:rsidRPr="002A5525">
        <w:rPr>
          <w:sz w:val="32"/>
          <w:szCs w:val="32"/>
        </w:rPr>
        <w:t xml:space="preserve">Dodatek č. </w:t>
      </w:r>
      <w:r w:rsidR="003E1F05">
        <w:rPr>
          <w:sz w:val="32"/>
          <w:szCs w:val="32"/>
        </w:rPr>
        <w:t>1</w:t>
      </w:r>
      <w:r w:rsidRPr="002A5525">
        <w:rPr>
          <w:sz w:val="32"/>
          <w:szCs w:val="32"/>
        </w:rPr>
        <w:t xml:space="preserve"> ke Smlouvě o užití, implementaci a provoz</w:t>
      </w:r>
      <w:r w:rsidR="003C47A9">
        <w:rPr>
          <w:sz w:val="32"/>
          <w:szCs w:val="32"/>
        </w:rPr>
        <w:t>ní podpoře informačního systému</w:t>
      </w:r>
    </w:p>
    <w:p w14:paraId="6F077EB6" w14:textId="77777777" w:rsidR="009E31A2" w:rsidRPr="002A5525" w:rsidRDefault="003C47A9" w:rsidP="009E31A2">
      <w:pPr>
        <w:pStyle w:val="Nzev"/>
        <w:rPr>
          <w:sz w:val="32"/>
          <w:szCs w:val="32"/>
        </w:rPr>
      </w:pPr>
      <w:r w:rsidRPr="00153980">
        <w:rPr>
          <w:sz w:val="32"/>
          <w:szCs w:val="32"/>
        </w:rPr>
        <w:t>HELIOS F</w:t>
      </w:r>
      <w:r>
        <w:rPr>
          <w:sz w:val="32"/>
          <w:szCs w:val="32"/>
        </w:rPr>
        <w:t>ENIX</w:t>
      </w:r>
      <w:r w:rsidR="00153980">
        <w:rPr>
          <w:sz w:val="32"/>
          <w:szCs w:val="32"/>
        </w:rPr>
        <w:t xml:space="preserve"> </w:t>
      </w:r>
      <w:r w:rsidR="009E31A2" w:rsidRPr="002A5525">
        <w:rPr>
          <w:sz w:val="32"/>
          <w:szCs w:val="32"/>
        </w:rPr>
        <w:t xml:space="preserve">č. </w:t>
      </w:r>
      <w:r w:rsidR="003E1F05">
        <w:rPr>
          <w:sz w:val="32"/>
          <w:szCs w:val="32"/>
        </w:rPr>
        <w:t>F-10-01248</w:t>
      </w:r>
    </w:p>
    <w:p w14:paraId="0D94F7CB" w14:textId="77777777" w:rsidR="009E31A2" w:rsidRPr="002A5525" w:rsidRDefault="009E31A2" w:rsidP="009E31A2">
      <w:pPr>
        <w:pStyle w:val="Nzev"/>
        <w:rPr>
          <w:sz w:val="20"/>
        </w:rPr>
      </w:pPr>
    </w:p>
    <w:p w14:paraId="26F2DAF9" w14:textId="77777777" w:rsidR="00B22004" w:rsidRPr="002A5525" w:rsidRDefault="00B22004" w:rsidP="009E31A2">
      <w:pPr>
        <w:pStyle w:val="Nzev"/>
        <w:rPr>
          <w:sz w:val="20"/>
        </w:rPr>
      </w:pPr>
    </w:p>
    <w:p w14:paraId="4DC74D16" w14:textId="77777777" w:rsidR="009E31A2" w:rsidRPr="002A5525" w:rsidRDefault="009E31A2" w:rsidP="009E31A2">
      <w:pPr>
        <w:pStyle w:val="Nzev"/>
        <w:rPr>
          <w:sz w:val="20"/>
        </w:rPr>
      </w:pPr>
    </w:p>
    <w:p w14:paraId="71E51B88" w14:textId="77777777" w:rsidR="009E31A2" w:rsidRPr="002A5525" w:rsidRDefault="009E31A2" w:rsidP="009E31A2">
      <w:pPr>
        <w:pStyle w:val="Nzev"/>
        <w:rPr>
          <w:sz w:val="20"/>
        </w:rPr>
      </w:pPr>
      <w:r w:rsidRPr="002A5525">
        <w:rPr>
          <w:sz w:val="20"/>
        </w:rPr>
        <w:t xml:space="preserve">Článek 1 </w:t>
      </w:r>
    </w:p>
    <w:p w14:paraId="7D5E28BD" w14:textId="77777777" w:rsidR="009E31A2" w:rsidRPr="002A5525" w:rsidRDefault="009E31A2" w:rsidP="009E31A2">
      <w:pPr>
        <w:pStyle w:val="Nzev"/>
        <w:rPr>
          <w:sz w:val="20"/>
        </w:rPr>
      </w:pPr>
      <w:r w:rsidRPr="002A5525">
        <w:rPr>
          <w:sz w:val="20"/>
        </w:rPr>
        <w:t>Smluvní strany</w:t>
      </w:r>
    </w:p>
    <w:p w14:paraId="204DD013" w14:textId="77777777" w:rsidR="009E31A2" w:rsidRPr="002A5525" w:rsidRDefault="009E31A2" w:rsidP="009E31A2">
      <w:pPr>
        <w:pStyle w:val="Nzev"/>
        <w:rPr>
          <w:sz w:val="22"/>
          <w:szCs w:val="22"/>
        </w:rPr>
      </w:pPr>
    </w:p>
    <w:p w14:paraId="643434A7" w14:textId="77777777" w:rsidR="00470B6D" w:rsidRPr="002A5525" w:rsidRDefault="00470B6D" w:rsidP="00470B6D">
      <w:pPr>
        <w:pStyle w:val="Nadpis7"/>
        <w:spacing w:line="200" w:lineRule="exact"/>
        <w:ind w:left="2268" w:firstLine="0"/>
        <w:rPr>
          <w:b/>
          <w:sz w:val="22"/>
          <w:szCs w:val="22"/>
        </w:rPr>
      </w:pPr>
      <w:proofErr w:type="spellStart"/>
      <w:r w:rsidRPr="002A5525">
        <w:rPr>
          <w:rStyle w:val="platne1"/>
          <w:b/>
          <w:sz w:val="22"/>
          <w:szCs w:val="22"/>
        </w:rPr>
        <w:t>Asseco</w:t>
      </w:r>
      <w:proofErr w:type="spellEnd"/>
      <w:r w:rsidRPr="002A5525">
        <w:rPr>
          <w:rStyle w:val="platne1"/>
          <w:b/>
          <w:sz w:val="22"/>
          <w:szCs w:val="22"/>
        </w:rPr>
        <w:t xml:space="preserve"> </w:t>
      </w:r>
      <w:proofErr w:type="spellStart"/>
      <w:r w:rsidRPr="002A5525">
        <w:rPr>
          <w:rStyle w:val="platne1"/>
          <w:b/>
          <w:sz w:val="22"/>
          <w:szCs w:val="22"/>
        </w:rPr>
        <w:t>Solutions</w:t>
      </w:r>
      <w:proofErr w:type="spellEnd"/>
      <w:r w:rsidRPr="002A5525">
        <w:rPr>
          <w:rStyle w:val="platne1"/>
          <w:b/>
          <w:sz w:val="22"/>
          <w:szCs w:val="22"/>
        </w:rPr>
        <w:t>, a.s.</w:t>
      </w:r>
    </w:p>
    <w:p w14:paraId="41D4DD02" w14:textId="77777777" w:rsidR="00470B6D" w:rsidRPr="002A5525" w:rsidRDefault="00470B6D" w:rsidP="00470B6D">
      <w:pPr>
        <w:tabs>
          <w:tab w:val="left" w:pos="2268"/>
        </w:tabs>
      </w:pPr>
      <w:r w:rsidRPr="002A5525">
        <w:rPr>
          <w:b/>
        </w:rPr>
        <w:t>se sídlem:</w:t>
      </w:r>
      <w:r w:rsidRPr="002A5525">
        <w:tab/>
      </w:r>
      <w:r w:rsidRPr="002A5525">
        <w:rPr>
          <w:rStyle w:val="apple-style-span"/>
          <w:bCs/>
        </w:rPr>
        <w:t>140 02 Praha 4</w:t>
      </w:r>
      <w:r w:rsidRPr="002A5525">
        <w:rPr>
          <w:rStyle w:val="platne1"/>
        </w:rPr>
        <w:t>,</w:t>
      </w:r>
      <w:r w:rsidRPr="002A5525">
        <w:rPr>
          <w:rStyle w:val="apple-style-span"/>
          <w:bCs/>
        </w:rPr>
        <w:t xml:space="preserve"> Zelený pruh 1560/99</w:t>
      </w:r>
    </w:p>
    <w:p w14:paraId="1E2F769C" w14:textId="77777777" w:rsidR="00C02D89" w:rsidRPr="00DA7699" w:rsidRDefault="00C02D89" w:rsidP="00C02D89">
      <w:pPr>
        <w:tabs>
          <w:tab w:val="left" w:pos="2268"/>
        </w:tabs>
        <w:ind w:left="2300" w:right="-649" w:hanging="2300"/>
        <w:rPr>
          <w:highlight w:val="black"/>
        </w:rPr>
      </w:pPr>
      <w:r>
        <w:rPr>
          <w:b/>
        </w:rPr>
        <w:t>jednající:</w:t>
      </w:r>
      <w:r>
        <w:rPr>
          <w:b/>
        </w:rPr>
        <w:tab/>
      </w:r>
      <w:r w:rsidRPr="00DA7699">
        <w:rPr>
          <w:highlight w:val="black"/>
        </w:rPr>
        <w:t>Ing. Stanislav Sýkora, generální ředitel a místopředseda představenstva</w:t>
      </w:r>
    </w:p>
    <w:p w14:paraId="1DE61332" w14:textId="77777777" w:rsidR="00C02D89" w:rsidRDefault="00C02D89" w:rsidP="00C02D89">
      <w:pPr>
        <w:tabs>
          <w:tab w:val="left" w:pos="2268"/>
        </w:tabs>
        <w:ind w:left="2300" w:hanging="2300"/>
      </w:pPr>
      <w:r w:rsidRPr="00DA7699">
        <w:rPr>
          <w:b/>
          <w:highlight w:val="black"/>
        </w:rPr>
        <w:tab/>
      </w:r>
      <w:r w:rsidRPr="00DA7699">
        <w:rPr>
          <w:highlight w:val="black"/>
        </w:rPr>
        <w:t>a Ing. Jiří Hub, člen představenstva</w:t>
      </w:r>
    </w:p>
    <w:p w14:paraId="1E7B1472" w14:textId="77777777" w:rsidR="00470B6D" w:rsidRPr="002A5525" w:rsidRDefault="00470B6D" w:rsidP="00470B6D">
      <w:pPr>
        <w:tabs>
          <w:tab w:val="left" w:pos="2268"/>
        </w:tabs>
      </w:pPr>
      <w:r w:rsidRPr="002A5525">
        <w:rPr>
          <w:b/>
        </w:rPr>
        <w:t>IČ:</w:t>
      </w:r>
      <w:r w:rsidRPr="002A5525">
        <w:tab/>
      </w:r>
      <w:r w:rsidRPr="002A5525">
        <w:rPr>
          <w:rStyle w:val="apple-style-span"/>
        </w:rPr>
        <w:t>64949541</w:t>
      </w:r>
      <w:r w:rsidRPr="002A5525">
        <w:t xml:space="preserve"> </w:t>
      </w:r>
    </w:p>
    <w:p w14:paraId="72CC247D" w14:textId="77777777" w:rsidR="00470B6D" w:rsidRPr="002A5525" w:rsidRDefault="00470B6D" w:rsidP="00470B6D">
      <w:pPr>
        <w:tabs>
          <w:tab w:val="left" w:pos="2268"/>
        </w:tabs>
      </w:pPr>
      <w:r w:rsidRPr="002A5525">
        <w:rPr>
          <w:b/>
        </w:rPr>
        <w:t>DIČ:</w:t>
      </w:r>
      <w:r w:rsidRPr="002A5525">
        <w:tab/>
      </w:r>
      <w:bookmarkStart w:id="0" w:name="OLE_LINK2"/>
      <w:r w:rsidRPr="002A5525">
        <w:rPr>
          <w:rStyle w:val="apple-style-span"/>
        </w:rPr>
        <w:t>CZ64949541</w:t>
      </w:r>
      <w:bookmarkEnd w:id="0"/>
    </w:p>
    <w:p w14:paraId="1CA0CFC4" w14:textId="77777777" w:rsidR="00470B6D" w:rsidRPr="002A5525" w:rsidRDefault="00470B6D" w:rsidP="00470B6D">
      <w:pPr>
        <w:tabs>
          <w:tab w:val="left" w:pos="2300"/>
        </w:tabs>
      </w:pPr>
      <w:r w:rsidRPr="002A5525">
        <w:rPr>
          <w:b/>
        </w:rPr>
        <w:t>bankovní spojení:</w:t>
      </w:r>
      <w:r w:rsidRPr="002A5525">
        <w:rPr>
          <w:b/>
        </w:rPr>
        <w:tab/>
      </w:r>
      <w:r w:rsidRPr="00DA7699">
        <w:rPr>
          <w:highlight w:val="black"/>
        </w:rPr>
        <w:t>111263671/0300 – Československá obchodní banka, a.s.</w:t>
      </w:r>
    </w:p>
    <w:p w14:paraId="604F4B86" w14:textId="77777777" w:rsidR="00470B6D" w:rsidRPr="002A5525" w:rsidRDefault="00470B6D" w:rsidP="00470B6D">
      <w:pPr>
        <w:tabs>
          <w:tab w:val="left" w:pos="2300"/>
        </w:tabs>
      </w:pPr>
      <w:r w:rsidRPr="002A5525">
        <w:tab/>
      </w:r>
    </w:p>
    <w:p w14:paraId="5D112BCB" w14:textId="77777777" w:rsidR="00470B6D" w:rsidRPr="002A5525" w:rsidRDefault="00470B6D" w:rsidP="00470B6D">
      <w:pPr>
        <w:pStyle w:val="Nzev"/>
        <w:jc w:val="left"/>
        <w:rPr>
          <w:b w:val="0"/>
          <w:sz w:val="20"/>
        </w:rPr>
      </w:pPr>
      <w:r w:rsidRPr="002A5525">
        <w:rPr>
          <w:b w:val="0"/>
          <w:sz w:val="20"/>
        </w:rPr>
        <w:t xml:space="preserve">Obchodní firma </w:t>
      </w:r>
      <w:proofErr w:type="spellStart"/>
      <w:r w:rsidRPr="002A5525">
        <w:rPr>
          <w:b w:val="0"/>
          <w:sz w:val="20"/>
        </w:rPr>
        <w:t>Asseco</w:t>
      </w:r>
      <w:proofErr w:type="spellEnd"/>
      <w:r w:rsidRPr="002A5525">
        <w:rPr>
          <w:b w:val="0"/>
          <w:sz w:val="20"/>
        </w:rPr>
        <w:t xml:space="preserve"> </w:t>
      </w:r>
      <w:proofErr w:type="spellStart"/>
      <w:r w:rsidRPr="002A5525">
        <w:rPr>
          <w:b w:val="0"/>
          <w:sz w:val="20"/>
        </w:rPr>
        <w:t>Solutions</w:t>
      </w:r>
      <w:proofErr w:type="spellEnd"/>
      <w:r w:rsidRPr="002A5525">
        <w:rPr>
          <w:b w:val="0"/>
          <w:sz w:val="20"/>
        </w:rPr>
        <w:t>, a.s. Společnost je zapsána v obchodním rejstříku</w:t>
      </w:r>
      <w:r w:rsidRPr="002A5525">
        <w:rPr>
          <w:b w:val="0"/>
          <w:sz w:val="20"/>
        </w:rPr>
        <w:br/>
        <w:t>u Městského soudu v Praze, Spisová značka: B. 3771</w:t>
      </w:r>
    </w:p>
    <w:p w14:paraId="76C9FBF6" w14:textId="77777777" w:rsidR="00470B6D" w:rsidRPr="002A5525" w:rsidRDefault="00470B6D" w:rsidP="00470B6D">
      <w:pPr>
        <w:pStyle w:val="Nzev"/>
        <w:jc w:val="left"/>
        <w:rPr>
          <w:b w:val="0"/>
          <w:sz w:val="20"/>
        </w:rPr>
      </w:pPr>
    </w:p>
    <w:p w14:paraId="3DD3F7D1" w14:textId="77777777" w:rsidR="00470B6D" w:rsidRPr="002A5525" w:rsidRDefault="00470B6D" w:rsidP="00470B6D">
      <w:pPr>
        <w:pStyle w:val="Nzev"/>
        <w:jc w:val="left"/>
        <w:rPr>
          <w:b w:val="0"/>
          <w:sz w:val="20"/>
        </w:rPr>
      </w:pPr>
      <w:r w:rsidRPr="002A5525">
        <w:rPr>
          <w:b w:val="0"/>
          <w:sz w:val="20"/>
        </w:rPr>
        <w:t>dále jen „</w:t>
      </w:r>
      <w:r w:rsidRPr="002A5525">
        <w:rPr>
          <w:sz w:val="20"/>
        </w:rPr>
        <w:t>zhotovitel</w:t>
      </w:r>
      <w:r w:rsidRPr="002A5525">
        <w:rPr>
          <w:b w:val="0"/>
          <w:sz w:val="20"/>
        </w:rPr>
        <w:t>“</w:t>
      </w:r>
    </w:p>
    <w:p w14:paraId="07D6D2B0" w14:textId="77777777" w:rsidR="00470B6D" w:rsidRPr="002A5525" w:rsidRDefault="00470B6D" w:rsidP="00470B6D">
      <w:pPr>
        <w:pStyle w:val="Nzev"/>
        <w:rPr>
          <w:b w:val="0"/>
          <w:sz w:val="20"/>
        </w:rPr>
      </w:pPr>
      <w:r w:rsidRPr="002A5525">
        <w:rPr>
          <w:b w:val="0"/>
          <w:sz w:val="20"/>
        </w:rPr>
        <w:t>a</w:t>
      </w:r>
    </w:p>
    <w:p w14:paraId="575D6188" w14:textId="77777777" w:rsidR="00470B6D" w:rsidRPr="002A5525" w:rsidRDefault="00470B6D" w:rsidP="00470B6D">
      <w:pPr>
        <w:pStyle w:val="Nzev"/>
        <w:rPr>
          <w:b w:val="0"/>
          <w:sz w:val="20"/>
        </w:rPr>
      </w:pPr>
    </w:p>
    <w:p w14:paraId="34739611" w14:textId="77777777" w:rsidR="006D01CE" w:rsidRPr="00654D55" w:rsidRDefault="006D01CE" w:rsidP="006D01CE">
      <w:pPr>
        <w:pStyle w:val="Nadpis7"/>
        <w:keepNext w:val="0"/>
        <w:tabs>
          <w:tab w:val="left" w:pos="2268"/>
        </w:tabs>
        <w:ind w:left="2268" w:firstLine="0"/>
        <w:jc w:val="both"/>
        <w:rPr>
          <w:b/>
          <w:sz w:val="22"/>
          <w:szCs w:val="22"/>
        </w:rPr>
      </w:pPr>
      <w:r w:rsidRPr="00654D55">
        <w:rPr>
          <w:b/>
          <w:sz w:val="22"/>
          <w:szCs w:val="22"/>
        </w:rPr>
        <w:t>Dětský domov, Vysoká Pec 145, příspěvková organizace</w:t>
      </w:r>
    </w:p>
    <w:p w14:paraId="5150E716" w14:textId="77777777" w:rsidR="006D01CE" w:rsidRPr="00654D55" w:rsidRDefault="006D01CE" w:rsidP="006D01CE">
      <w:pPr>
        <w:pStyle w:val="Nadpis7"/>
        <w:keepNext w:val="0"/>
        <w:tabs>
          <w:tab w:val="left" w:pos="2268"/>
        </w:tabs>
        <w:ind w:left="0" w:firstLine="0"/>
        <w:rPr>
          <w:sz w:val="20"/>
        </w:rPr>
      </w:pPr>
      <w:r w:rsidRPr="00654D55">
        <w:rPr>
          <w:b/>
          <w:sz w:val="20"/>
        </w:rPr>
        <w:t>se sídlem:</w:t>
      </w:r>
      <w:r w:rsidRPr="00654D55">
        <w:rPr>
          <w:sz w:val="20"/>
        </w:rPr>
        <w:tab/>
        <w:t>431 59 Vysoká Pec, Vysoká Pec 145</w:t>
      </w:r>
    </w:p>
    <w:p w14:paraId="27BE19D3" w14:textId="77777777" w:rsidR="006D01CE" w:rsidRPr="00654D55" w:rsidRDefault="006D01CE" w:rsidP="006D01CE">
      <w:pPr>
        <w:pStyle w:val="Nadpis7"/>
        <w:keepNext w:val="0"/>
        <w:tabs>
          <w:tab w:val="left" w:pos="2268"/>
        </w:tabs>
        <w:ind w:left="0" w:firstLine="0"/>
        <w:rPr>
          <w:sz w:val="20"/>
        </w:rPr>
      </w:pPr>
      <w:r w:rsidRPr="00654D55">
        <w:rPr>
          <w:b/>
          <w:sz w:val="20"/>
        </w:rPr>
        <w:t>jednající:</w:t>
      </w:r>
      <w:r w:rsidRPr="00654D55">
        <w:rPr>
          <w:sz w:val="20"/>
        </w:rPr>
        <w:tab/>
        <w:t>Bc. Libuše Houdová, ředitelka</w:t>
      </w:r>
    </w:p>
    <w:p w14:paraId="42F17D88" w14:textId="77777777" w:rsidR="006D01CE" w:rsidRPr="00654D55" w:rsidRDefault="006D01CE" w:rsidP="006D01CE">
      <w:pPr>
        <w:tabs>
          <w:tab w:val="left" w:pos="2268"/>
        </w:tabs>
      </w:pPr>
      <w:r w:rsidRPr="00654D55">
        <w:rPr>
          <w:b/>
        </w:rPr>
        <w:t>IČ:</w:t>
      </w:r>
      <w:r w:rsidRPr="00654D55">
        <w:tab/>
        <w:t>61345717</w:t>
      </w:r>
    </w:p>
    <w:p w14:paraId="4569A7FE" w14:textId="77777777" w:rsidR="006D01CE" w:rsidRPr="00654D55" w:rsidRDefault="006D01CE" w:rsidP="006D01CE">
      <w:pPr>
        <w:tabs>
          <w:tab w:val="left" w:pos="2268"/>
        </w:tabs>
      </w:pPr>
      <w:r w:rsidRPr="00654D55">
        <w:rPr>
          <w:b/>
        </w:rPr>
        <w:t>DIČ:</w:t>
      </w:r>
      <w:r w:rsidRPr="00654D55">
        <w:tab/>
      </w:r>
    </w:p>
    <w:p w14:paraId="015E9019" w14:textId="77777777" w:rsidR="006D01CE" w:rsidRPr="007052F4" w:rsidRDefault="006D01CE" w:rsidP="006D01CE">
      <w:pPr>
        <w:pStyle w:val="Nadpis7"/>
        <w:keepNext w:val="0"/>
        <w:tabs>
          <w:tab w:val="left" w:pos="2268"/>
        </w:tabs>
        <w:ind w:left="0" w:firstLine="0"/>
        <w:rPr>
          <w:sz w:val="20"/>
        </w:rPr>
      </w:pPr>
      <w:r w:rsidRPr="00654D55">
        <w:rPr>
          <w:b/>
          <w:sz w:val="20"/>
        </w:rPr>
        <w:t>bankovní spojení:</w:t>
      </w:r>
      <w:r w:rsidRPr="00654D55">
        <w:rPr>
          <w:sz w:val="20"/>
        </w:rPr>
        <w:tab/>
      </w:r>
      <w:r w:rsidRPr="00DA7699">
        <w:rPr>
          <w:sz w:val="20"/>
          <w:highlight w:val="black"/>
        </w:rPr>
        <w:t>2111700287/0100 KB</w:t>
      </w:r>
    </w:p>
    <w:p w14:paraId="23CAB3E0" w14:textId="77777777" w:rsidR="00470B6D" w:rsidRPr="002A5525" w:rsidRDefault="00470B6D" w:rsidP="00470B6D">
      <w:pPr>
        <w:pStyle w:val="Nadpis7"/>
        <w:keepNext w:val="0"/>
        <w:tabs>
          <w:tab w:val="left" w:pos="2268"/>
        </w:tabs>
        <w:ind w:left="0" w:firstLine="0"/>
        <w:rPr>
          <w:sz w:val="20"/>
        </w:rPr>
      </w:pPr>
    </w:p>
    <w:p w14:paraId="326352F9" w14:textId="77777777" w:rsidR="00470B6D" w:rsidRPr="002A5525" w:rsidRDefault="00470B6D" w:rsidP="00470B6D"/>
    <w:p w14:paraId="2772DB16" w14:textId="77777777" w:rsidR="00470B6D" w:rsidRPr="002A5525" w:rsidRDefault="00470B6D" w:rsidP="00470B6D">
      <w:pPr>
        <w:pStyle w:val="Normln0"/>
        <w:tabs>
          <w:tab w:val="left" w:pos="2268"/>
        </w:tabs>
        <w:rPr>
          <w:rFonts w:ascii="Verdana" w:hAnsi="Verdana"/>
          <w:snapToGrid/>
          <w:sz w:val="20"/>
        </w:rPr>
      </w:pPr>
      <w:r w:rsidRPr="002A5525">
        <w:rPr>
          <w:rFonts w:ascii="Verdana" w:hAnsi="Verdana"/>
          <w:snapToGrid/>
          <w:sz w:val="20"/>
        </w:rPr>
        <w:t>dále jen „</w:t>
      </w:r>
      <w:r w:rsidRPr="002A5525">
        <w:rPr>
          <w:rFonts w:ascii="Verdana" w:hAnsi="Verdana"/>
          <w:b/>
          <w:snapToGrid/>
          <w:sz w:val="20"/>
        </w:rPr>
        <w:t>objednatel</w:t>
      </w:r>
      <w:r w:rsidRPr="002A5525">
        <w:rPr>
          <w:rFonts w:ascii="Verdana" w:hAnsi="Verdana"/>
          <w:snapToGrid/>
          <w:sz w:val="20"/>
        </w:rPr>
        <w:t>“</w:t>
      </w:r>
    </w:p>
    <w:p w14:paraId="7C4B94CC" w14:textId="77777777" w:rsidR="009E31A2" w:rsidRPr="00573A7D" w:rsidRDefault="009E31A2" w:rsidP="009E31A2">
      <w:pPr>
        <w:jc w:val="center"/>
      </w:pPr>
    </w:p>
    <w:p w14:paraId="7A984856" w14:textId="77777777" w:rsidR="009E31A2" w:rsidRPr="00573A7D" w:rsidRDefault="009E31A2" w:rsidP="009E31A2">
      <w:pPr>
        <w:jc w:val="center"/>
      </w:pPr>
    </w:p>
    <w:p w14:paraId="3F1BF4F7" w14:textId="77777777" w:rsidR="00415A91" w:rsidRPr="00573A7D" w:rsidRDefault="00415A91" w:rsidP="009E31A2">
      <w:pPr>
        <w:jc w:val="center"/>
      </w:pPr>
    </w:p>
    <w:p w14:paraId="2E918CF6" w14:textId="77777777" w:rsidR="009E31A2" w:rsidRPr="00573A7D" w:rsidRDefault="009E31A2" w:rsidP="009E31A2">
      <w:pPr>
        <w:jc w:val="center"/>
      </w:pPr>
    </w:p>
    <w:p w14:paraId="20D97C0E" w14:textId="77777777" w:rsidR="005113BF" w:rsidRPr="00153980" w:rsidRDefault="005113BF" w:rsidP="005113BF">
      <w:pPr>
        <w:pStyle w:val="Styl1"/>
      </w:pPr>
      <w:r w:rsidRPr="00153980">
        <w:t>Dnem 1.4.2011 došlo k přejmenování produktu FENIX na HELIOS FENIX.</w:t>
      </w:r>
    </w:p>
    <w:p w14:paraId="5278F1E3" w14:textId="77777777" w:rsidR="005113BF" w:rsidRPr="00153980" w:rsidRDefault="005113BF" w:rsidP="005113BF">
      <w:pPr>
        <w:pStyle w:val="Styl1"/>
        <w:numPr>
          <w:ilvl w:val="0"/>
          <w:numId w:val="0"/>
        </w:numPr>
        <w:ind w:left="360"/>
      </w:pPr>
    </w:p>
    <w:p w14:paraId="04E47247" w14:textId="77777777" w:rsidR="005113BF" w:rsidRPr="00153980" w:rsidRDefault="005113BF" w:rsidP="005113BF">
      <w:pPr>
        <w:pStyle w:val="Styl1"/>
      </w:pPr>
      <w:r w:rsidRPr="00153980">
        <w:t>Smluvní strany tímto dodatkem doplňují Čl.</w:t>
      </w:r>
      <w:r w:rsidR="00A93F8A" w:rsidRPr="00153980">
        <w:t xml:space="preserve"> </w:t>
      </w:r>
      <w:r w:rsidRPr="00153980">
        <w:t>3 o odst.</w:t>
      </w:r>
      <w:r w:rsidR="00A93F8A" w:rsidRPr="00153980">
        <w:t xml:space="preserve"> </w:t>
      </w:r>
      <w:r w:rsidRPr="00153980">
        <w:t>4</w:t>
      </w:r>
    </w:p>
    <w:p w14:paraId="4B00B4FB" w14:textId="77777777" w:rsidR="005113BF" w:rsidRPr="00153980" w:rsidRDefault="005113BF" w:rsidP="005113BF">
      <w:pPr>
        <w:pStyle w:val="Seznam"/>
        <w:spacing w:before="120"/>
        <w:ind w:left="851" w:firstLine="0"/>
        <w:jc w:val="both"/>
      </w:pPr>
      <w:r w:rsidRPr="00153980">
        <w:t>4.</w:t>
      </w:r>
      <w:r w:rsidR="00A93F8A" w:rsidRPr="00153980">
        <w:t> Legislativní podpora</w:t>
      </w:r>
      <w:r w:rsidRPr="00153980">
        <w:t>:</w:t>
      </w:r>
    </w:p>
    <w:p w14:paraId="752BDAF2" w14:textId="77777777" w:rsidR="004046BF" w:rsidRPr="00153980" w:rsidRDefault="004046BF" w:rsidP="004046BF">
      <w:pPr>
        <w:pStyle w:val="Zkladntextodsazen"/>
        <w:numPr>
          <w:ilvl w:val="0"/>
          <w:numId w:val="5"/>
        </w:numPr>
        <w:ind w:left="1418"/>
        <w:jc w:val="both"/>
        <w:rPr>
          <w:color w:val="000000"/>
        </w:rPr>
      </w:pPr>
      <w:r w:rsidRPr="00153980">
        <w:rPr>
          <w:color w:val="000000"/>
        </w:rPr>
        <w:t>zaplacením poplatku za dodávky upgrade získává objednatel nárok na to, že bude dodaný HELIOS FENIX v souladu s aktuálním stavem právního řádu České republiky</w:t>
      </w:r>
    </w:p>
    <w:p w14:paraId="2E7B66FB" w14:textId="77777777" w:rsidR="004046BF" w:rsidRPr="00153980" w:rsidRDefault="004046BF" w:rsidP="004046BF">
      <w:pPr>
        <w:pStyle w:val="Zkladntextodsazen"/>
        <w:numPr>
          <w:ilvl w:val="0"/>
          <w:numId w:val="5"/>
        </w:numPr>
        <w:ind w:left="1418"/>
        <w:jc w:val="both"/>
        <w:rPr>
          <w:color w:val="000000"/>
        </w:rPr>
      </w:pPr>
      <w:r w:rsidRPr="00153980">
        <w:rPr>
          <w:color w:val="000000"/>
        </w:rPr>
        <w:t xml:space="preserve">legislativní úpravou se rozumí úprava </w:t>
      </w:r>
      <w:r w:rsidR="002879F7" w:rsidRPr="00153980">
        <w:rPr>
          <w:color w:val="000000"/>
        </w:rPr>
        <w:t>stávající funkčnosti</w:t>
      </w:r>
      <w:r w:rsidRPr="00153980">
        <w:rPr>
          <w:color w:val="000000"/>
        </w:rPr>
        <w:t xml:space="preserve"> HELIOS FENIX, kterou je nutné provést, protože stávající funkcionalita by nutila zákazníka konat v rozporu s novou legislativní úpravou</w:t>
      </w:r>
    </w:p>
    <w:p w14:paraId="4F2A88C5" w14:textId="77777777" w:rsidR="005113BF" w:rsidRPr="00153980" w:rsidRDefault="004046BF" w:rsidP="004046BF">
      <w:pPr>
        <w:pStyle w:val="Zkladntextodsazen"/>
        <w:numPr>
          <w:ilvl w:val="0"/>
          <w:numId w:val="5"/>
        </w:numPr>
        <w:ind w:left="1701"/>
        <w:jc w:val="both"/>
        <w:rPr>
          <w:color w:val="000000"/>
        </w:rPr>
      </w:pPr>
      <w:r w:rsidRPr="00153980">
        <w:rPr>
          <w:color w:val="000000"/>
        </w:rPr>
        <w:t>legislativní úpravou se nerozumí doplnění funkcionality (řešené oblasti), kterou stávající systém HELIOS FENIX nepokrýval v době prodeje</w:t>
      </w:r>
    </w:p>
    <w:p w14:paraId="2DCDC263" w14:textId="77777777" w:rsidR="005113BF" w:rsidRPr="00153980" w:rsidRDefault="005113BF" w:rsidP="005113BF">
      <w:pPr>
        <w:pStyle w:val="Seznam"/>
        <w:ind w:left="360" w:firstLine="0"/>
        <w:jc w:val="both"/>
      </w:pPr>
    </w:p>
    <w:p w14:paraId="49A71B1E" w14:textId="77777777" w:rsidR="004028E4" w:rsidRPr="00153980" w:rsidRDefault="004028E4" w:rsidP="005113BF">
      <w:pPr>
        <w:pStyle w:val="Styl1"/>
      </w:pPr>
      <w:r w:rsidRPr="00153980">
        <w:t>Smluvní strany tímto dodatkem mění webový odkaz uvedený v Čl.</w:t>
      </w:r>
      <w:r w:rsidR="00A93F8A" w:rsidRPr="00153980">
        <w:t xml:space="preserve"> </w:t>
      </w:r>
      <w:r w:rsidRPr="00153980">
        <w:t xml:space="preserve">3 odst. 3 na </w:t>
      </w:r>
      <w:hyperlink r:id="rId7" w:history="1">
        <w:r w:rsidRPr="00153980">
          <w:rPr>
            <w:rStyle w:val="Hypertextovodkaz"/>
          </w:rPr>
          <w:t>http://www.helios.eu/fenix.html</w:t>
        </w:r>
      </w:hyperlink>
    </w:p>
    <w:p w14:paraId="2AC82EDB" w14:textId="77777777" w:rsidR="006D01CE" w:rsidRDefault="00FD3562" w:rsidP="005113BF">
      <w:pPr>
        <w:pStyle w:val="Styl1"/>
      </w:pPr>
      <w:r w:rsidRPr="002A5525">
        <w:lastRenderedPageBreak/>
        <w:t xml:space="preserve">Smluvní strany tímto dodatkem mění a nahrazují stávající </w:t>
      </w:r>
      <w:r w:rsidR="00311BDA">
        <w:t>p</w:t>
      </w:r>
      <w:r w:rsidRPr="002A5525">
        <w:t xml:space="preserve">řílohy č. </w:t>
      </w:r>
      <w:smartTag w:uri="urn:schemas-microsoft-com:office:smarttags" w:element="metricconverter">
        <w:smartTagPr>
          <w:attr w:name="ProductID" w:val="1 a"/>
        </w:smartTagPr>
        <w:r w:rsidRPr="002A5525">
          <w:t>1 a</w:t>
        </w:r>
      </w:smartTag>
      <w:r w:rsidRPr="002A5525">
        <w:t xml:space="preserve"> č. 2</w:t>
      </w:r>
      <w:r w:rsidR="00470B6D" w:rsidRPr="002A5525">
        <w:t xml:space="preserve"> Smlouvy o užití, implementaci a provozní podpoře informačního systému </w:t>
      </w:r>
      <w:r w:rsidR="003C47A9">
        <w:t>HELIOS FENIX</w:t>
      </w:r>
      <w:r w:rsidR="00470B6D" w:rsidRPr="002A5525">
        <w:t xml:space="preserve"> č. </w:t>
      </w:r>
      <w:r w:rsidR="006D01CE">
        <w:t xml:space="preserve"> </w:t>
      </w:r>
    </w:p>
    <w:p w14:paraId="5CBA630B" w14:textId="77777777" w:rsidR="00470B6D" w:rsidRPr="002A5525" w:rsidRDefault="006D01CE" w:rsidP="006D01CE">
      <w:pPr>
        <w:pStyle w:val="Styl1"/>
        <w:numPr>
          <w:ilvl w:val="0"/>
          <w:numId w:val="0"/>
        </w:numPr>
        <w:ind w:left="360"/>
      </w:pPr>
      <w:r>
        <w:t>F-10-01248</w:t>
      </w:r>
      <w:r w:rsidR="00FD3562" w:rsidRPr="002A5525">
        <w:t xml:space="preserve"> ze dne</w:t>
      </w:r>
      <w:r w:rsidR="002A5525" w:rsidRPr="002A5525">
        <w:t> </w:t>
      </w:r>
      <w:r>
        <w:t>15.12.2010</w:t>
      </w:r>
      <w:r w:rsidR="002A5525" w:rsidRPr="002A5525">
        <w:t>.</w:t>
      </w:r>
    </w:p>
    <w:p w14:paraId="757694E1" w14:textId="77777777" w:rsidR="00470B6D" w:rsidRPr="002A5525" w:rsidRDefault="00470B6D" w:rsidP="00470B6D">
      <w:pPr>
        <w:pStyle w:val="Seznam"/>
        <w:numPr>
          <w:ilvl w:val="0"/>
          <w:numId w:val="1"/>
        </w:numPr>
        <w:spacing w:before="120"/>
        <w:ind w:left="357" w:hanging="357"/>
        <w:jc w:val="both"/>
      </w:pPr>
      <w:r w:rsidRPr="002A5525">
        <w:t xml:space="preserve">Ostatní ujednání Smlouvy o užití, implementaci a provozní podpoře informačního systému </w:t>
      </w:r>
      <w:r w:rsidR="003C47A9">
        <w:t>HELIOS FENIX</w:t>
      </w:r>
      <w:r w:rsidRPr="002A5525">
        <w:t xml:space="preserve"> č. </w:t>
      </w:r>
      <w:r w:rsidR="006D01CE">
        <w:t>F-10-01248</w:t>
      </w:r>
      <w:r w:rsidRPr="002A5525">
        <w:t xml:space="preserve"> tímto dodatkem nedotčená zůstávají v platnosti beze změny a jsou závazná a platná i pro tento dodatek.</w:t>
      </w:r>
    </w:p>
    <w:p w14:paraId="613A6D8D" w14:textId="77777777" w:rsidR="00470B6D" w:rsidRPr="002A5525" w:rsidRDefault="00470B6D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</w:pPr>
      <w:r w:rsidRPr="002A5525">
        <w:t>Dodatek nabývá platnosti a účinnosti dnem podpisu oběma stranami</w:t>
      </w:r>
      <w:r w:rsidR="002A5525" w:rsidRPr="002A5525">
        <w:t>.</w:t>
      </w:r>
    </w:p>
    <w:p w14:paraId="1989B721" w14:textId="77777777" w:rsidR="009E31A2" w:rsidRPr="002A5525" w:rsidRDefault="009E31A2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</w:pPr>
      <w:r w:rsidRPr="002A5525">
        <w:t>Dodatek se vyhotovuje ve dvou vyhotoveních s platností originálu, z nichž každá strana obdrží po jednom vyhotovení.</w:t>
      </w:r>
    </w:p>
    <w:p w14:paraId="53433EF5" w14:textId="77777777" w:rsidR="009E31A2" w:rsidRPr="002A5525" w:rsidRDefault="009E31A2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</w:pPr>
      <w:r w:rsidRPr="002A5525">
        <w:t>Obě strany prohlašují, že tento dodatek uzavřely svobodně a vážně, na základě projevené vůle obou smluvních stran, souhlasí s jeho obsahem, což stvrz</w:t>
      </w:r>
      <w:r w:rsidR="004D55D4" w:rsidRPr="002A5525">
        <w:t>u</w:t>
      </w:r>
      <w:r w:rsidRPr="002A5525">
        <w:t>jí svými podpisy.</w:t>
      </w:r>
    </w:p>
    <w:p w14:paraId="55D33244" w14:textId="77777777" w:rsidR="009E31A2" w:rsidRPr="002A5525" w:rsidRDefault="00FD3562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</w:pPr>
      <w:r w:rsidRPr="002A5525">
        <w:t xml:space="preserve">Dnem podpisu tohoto dodatku </w:t>
      </w:r>
      <w:r w:rsidR="00311BDA">
        <w:t>p</w:t>
      </w:r>
      <w:r w:rsidRPr="002A5525">
        <w:t xml:space="preserve">řílohy č. </w:t>
      </w:r>
      <w:smartTag w:uri="urn:schemas-microsoft-com:office:smarttags" w:element="metricconverter">
        <w:smartTagPr>
          <w:attr w:name="ProductID" w:val="1 a"/>
        </w:smartTagPr>
        <w:r w:rsidRPr="002A5525">
          <w:t>1 a</w:t>
        </w:r>
      </w:smartTag>
      <w:r w:rsidRPr="002A5525">
        <w:t xml:space="preserve"> č. 2 nabývají platnosti a účinnosti a stávají se nedílnou součástí výše citované smlouvy.</w:t>
      </w:r>
    </w:p>
    <w:p w14:paraId="223C3ECF" w14:textId="77777777" w:rsidR="00415A91" w:rsidRPr="002A5525" w:rsidRDefault="00415A91" w:rsidP="00415A91"/>
    <w:p w14:paraId="7C425872" w14:textId="77777777" w:rsidR="002A5525" w:rsidRPr="002A5525" w:rsidRDefault="002A5525" w:rsidP="00415A91"/>
    <w:p w14:paraId="18481809" w14:textId="77777777" w:rsidR="00B22004" w:rsidRPr="002A5525" w:rsidRDefault="00B22004" w:rsidP="00415A91"/>
    <w:p w14:paraId="20CEC63F" w14:textId="77777777" w:rsidR="001C6334" w:rsidRDefault="009E31A2" w:rsidP="009E31A2">
      <w:pPr>
        <w:pStyle w:val="Zkladntext"/>
        <w:tabs>
          <w:tab w:val="left" w:pos="851"/>
        </w:tabs>
        <w:ind w:left="851" w:right="-329" w:hanging="851"/>
        <w:rPr>
          <w:sz w:val="20"/>
        </w:rPr>
      </w:pPr>
      <w:r w:rsidRPr="002A5525">
        <w:rPr>
          <w:sz w:val="20"/>
        </w:rPr>
        <w:t>Přílohy:</w:t>
      </w:r>
      <w:r w:rsidRPr="002A5525">
        <w:rPr>
          <w:sz w:val="20"/>
        </w:rPr>
        <w:tab/>
        <w:t xml:space="preserve">č. 1 – Specifikace poskytnutých softwarových modulů </w:t>
      </w:r>
      <w:r w:rsidR="003C47A9">
        <w:rPr>
          <w:sz w:val="20"/>
        </w:rPr>
        <w:t>a funkcí HELIOS FENIX</w:t>
      </w:r>
      <w:r w:rsidR="001C6334">
        <w:rPr>
          <w:sz w:val="20"/>
        </w:rPr>
        <w:t xml:space="preserve"> a</w:t>
      </w:r>
    </w:p>
    <w:p w14:paraId="37982279" w14:textId="77777777" w:rsidR="009E31A2" w:rsidRPr="002A5525" w:rsidRDefault="001C6334" w:rsidP="009E31A2">
      <w:pPr>
        <w:pStyle w:val="Zkladntext"/>
        <w:tabs>
          <w:tab w:val="left" w:pos="851"/>
        </w:tabs>
        <w:ind w:left="851" w:right="-329" w:hanging="85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</w:t>
      </w:r>
      <w:r w:rsidR="009E31A2" w:rsidRPr="002A5525">
        <w:rPr>
          <w:sz w:val="20"/>
        </w:rPr>
        <w:t>harmonogram</w:t>
      </w:r>
      <w:r>
        <w:rPr>
          <w:sz w:val="20"/>
        </w:rPr>
        <w:t xml:space="preserve"> </w:t>
      </w:r>
      <w:r w:rsidR="009E31A2" w:rsidRPr="002A5525">
        <w:rPr>
          <w:sz w:val="20"/>
        </w:rPr>
        <w:t>implementace</w:t>
      </w:r>
    </w:p>
    <w:p w14:paraId="626F4FA6" w14:textId="77777777" w:rsidR="009E31A2" w:rsidRPr="002A5525" w:rsidRDefault="009E31A2" w:rsidP="009E31A2">
      <w:pPr>
        <w:tabs>
          <w:tab w:val="left" w:pos="851"/>
        </w:tabs>
        <w:ind w:left="851" w:hanging="851"/>
      </w:pPr>
      <w:r w:rsidRPr="002A5525">
        <w:tab/>
        <w:t xml:space="preserve">č. 2 – Rozsah </w:t>
      </w:r>
      <w:r w:rsidR="003C47A9">
        <w:t>poskytování provozní podpory HELIOS FENIX</w:t>
      </w:r>
    </w:p>
    <w:p w14:paraId="634F8F62" w14:textId="77777777" w:rsidR="009E31A2" w:rsidRPr="002A5525" w:rsidRDefault="009E31A2" w:rsidP="009E31A2">
      <w:pPr>
        <w:jc w:val="both"/>
      </w:pPr>
    </w:p>
    <w:p w14:paraId="7E3C9B02" w14:textId="77777777" w:rsidR="009E31A2" w:rsidRPr="002A5525" w:rsidRDefault="009E31A2" w:rsidP="009E31A2">
      <w:pPr>
        <w:jc w:val="both"/>
      </w:pPr>
    </w:p>
    <w:p w14:paraId="761397F4" w14:textId="77777777" w:rsidR="009E31A2" w:rsidRPr="002A5525" w:rsidRDefault="009E31A2" w:rsidP="009E31A2">
      <w:pPr>
        <w:jc w:val="both"/>
      </w:pPr>
    </w:p>
    <w:p w14:paraId="68B97222" w14:textId="77777777" w:rsidR="00F05423" w:rsidRPr="002A5525" w:rsidRDefault="00F05423" w:rsidP="00F05423">
      <w:pPr>
        <w:tabs>
          <w:tab w:val="left" w:pos="5103"/>
        </w:tabs>
        <w:jc w:val="both"/>
      </w:pPr>
      <w:r w:rsidRPr="002A5525">
        <w:t>V</w:t>
      </w:r>
      <w:r w:rsidR="006D01CE">
        <w:t>e Vysoké Peci</w:t>
      </w:r>
      <w:r w:rsidRPr="002A5525">
        <w:t xml:space="preserve"> dne ……………</w:t>
      </w:r>
      <w:r w:rsidRPr="002A5525">
        <w:tab/>
        <w:t>V Praze dne …………</w:t>
      </w:r>
    </w:p>
    <w:p w14:paraId="2D5C845B" w14:textId="77777777" w:rsidR="00F05423" w:rsidRPr="002A5525" w:rsidRDefault="00F05423" w:rsidP="00F05423">
      <w:pPr>
        <w:pStyle w:val="Norma"/>
        <w:rPr>
          <w:rFonts w:ascii="Verdana" w:hAnsi="Verdana"/>
        </w:rPr>
      </w:pPr>
    </w:p>
    <w:p w14:paraId="514E5027" w14:textId="77777777" w:rsidR="00F05423" w:rsidRPr="002A5525" w:rsidRDefault="00F05423" w:rsidP="00F05423">
      <w:pPr>
        <w:pStyle w:val="Norma"/>
        <w:rPr>
          <w:rFonts w:ascii="Verdana" w:hAnsi="Verdana"/>
        </w:rPr>
      </w:pPr>
    </w:p>
    <w:p w14:paraId="4465D1BE" w14:textId="77777777" w:rsidR="00F05423" w:rsidRPr="002A5525" w:rsidRDefault="00F05423" w:rsidP="00F05423">
      <w:pPr>
        <w:pStyle w:val="Norma"/>
        <w:rPr>
          <w:rFonts w:ascii="Verdana" w:hAnsi="Verdana"/>
        </w:rPr>
      </w:pPr>
    </w:p>
    <w:p w14:paraId="112C3D3E" w14:textId="77777777" w:rsidR="00F05423" w:rsidRPr="002A5525" w:rsidRDefault="00F05423" w:rsidP="00F05423">
      <w:pPr>
        <w:pStyle w:val="Norma"/>
        <w:tabs>
          <w:tab w:val="left" w:pos="5100"/>
        </w:tabs>
        <w:rPr>
          <w:rFonts w:ascii="Verdana" w:hAnsi="Verdana"/>
        </w:rPr>
      </w:pPr>
      <w:r w:rsidRPr="002A5525">
        <w:rPr>
          <w:rFonts w:ascii="Verdana" w:hAnsi="Verdana"/>
        </w:rPr>
        <w:t>Za objednatele:</w:t>
      </w:r>
      <w:r w:rsidRPr="002A5525">
        <w:rPr>
          <w:rFonts w:ascii="Verdana" w:hAnsi="Verdana"/>
        </w:rPr>
        <w:tab/>
        <w:t xml:space="preserve">Za zhotovitele: </w:t>
      </w:r>
    </w:p>
    <w:p w14:paraId="6936377B" w14:textId="77777777" w:rsidR="00F05423" w:rsidRPr="002A5525" w:rsidRDefault="00F05423" w:rsidP="00F05423">
      <w:pPr>
        <w:pStyle w:val="Norma"/>
        <w:rPr>
          <w:rFonts w:ascii="Verdana" w:hAnsi="Verdana"/>
        </w:rPr>
      </w:pPr>
    </w:p>
    <w:p w14:paraId="5FFB6038" w14:textId="77777777" w:rsidR="00F05423" w:rsidRPr="002A5525" w:rsidRDefault="00F05423" w:rsidP="00F05423">
      <w:pPr>
        <w:pStyle w:val="Norma"/>
        <w:rPr>
          <w:rFonts w:ascii="Verdana" w:hAnsi="Verdana"/>
        </w:rPr>
      </w:pPr>
    </w:p>
    <w:p w14:paraId="49A72BD2" w14:textId="77777777" w:rsidR="00F05423" w:rsidRPr="002A5525" w:rsidRDefault="00F05423" w:rsidP="00F05423">
      <w:pPr>
        <w:pStyle w:val="Norma"/>
        <w:rPr>
          <w:rFonts w:ascii="Verdana" w:hAnsi="Verdana"/>
        </w:rPr>
      </w:pPr>
    </w:p>
    <w:p w14:paraId="2D48EB36" w14:textId="77777777" w:rsidR="00F05423" w:rsidRPr="002A5525" w:rsidRDefault="00F05423" w:rsidP="00F05423">
      <w:pPr>
        <w:pStyle w:val="Norma"/>
        <w:rPr>
          <w:rFonts w:ascii="Verdana" w:hAnsi="Verdana"/>
        </w:rPr>
      </w:pPr>
    </w:p>
    <w:p w14:paraId="61743AE0" w14:textId="77777777" w:rsidR="00F05423" w:rsidRPr="002A5525" w:rsidRDefault="00F05423" w:rsidP="00F05423">
      <w:pPr>
        <w:pStyle w:val="Norma"/>
        <w:tabs>
          <w:tab w:val="left" w:pos="5103"/>
        </w:tabs>
        <w:rPr>
          <w:rFonts w:ascii="Verdana" w:hAnsi="Verdana"/>
        </w:rPr>
      </w:pPr>
      <w:r w:rsidRPr="002A5525">
        <w:rPr>
          <w:rFonts w:ascii="Verdana" w:hAnsi="Verdana"/>
        </w:rPr>
        <w:t>.....................................</w:t>
      </w:r>
      <w:r w:rsidRPr="002A5525">
        <w:rPr>
          <w:rFonts w:ascii="Verdana" w:hAnsi="Verdana"/>
        </w:rPr>
        <w:tab/>
        <w:t>.....................................</w:t>
      </w:r>
    </w:p>
    <w:p w14:paraId="43038F6C" w14:textId="77777777" w:rsidR="00F05423" w:rsidRPr="002A5525" w:rsidRDefault="006D01CE" w:rsidP="00F05423">
      <w:pPr>
        <w:tabs>
          <w:tab w:val="left" w:pos="5103"/>
        </w:tabs>
      </w:pPr>
      <w:r w:rsidRPr="00DA7699">
        <w:rPr>
          <w:highlight w:val="black"/>
        </w:rPr>
        <w:t>Bc. Libuše Houdová</w:t>
      </w:r>
      <w:r w:rsidR="00F05423" w:rsidRPr="002A5525">
        <w:tab/>
      </w:r>
      <w:r w:rsidR="00F05423" w:rsidRPr="00DA7699">
        <w:rPr>
          <w:highlight w:val="black"/>
        </w:rPr>
        <w:t>Ing. Stanislav Sýkora</w:t>
      </w:r>
    </w:p>
    <w:p w14:paraId="7AA1F939" w14:textId="77777777" w:rsidR="00F05423" w:rsidRPr="002A5525" w:rsidRDefault="006D01CE" w:rsidP="00F05423">
      <w:pPr>
        <w:tabs>
          <w:tab w:val="left" w:pos="5103"/>
        </w:tabs>
      </w:pPr>
      <w:r>
        <w:t>ředitelka</w:t>
      </w:r>
      <w:r w:rsidR="00F05423" w:rsidRPr="002A5525">
        <w:tab/>
        <w:t xml:space="preserve">Generální ředitel a </w:t>
      </w:r>
    </w:p>
    <w:p w14:paraId="32E2FB7D" w14:textId="77777777" w:rsidR="00F05423" w:rsidRPr="002A5525" w:rsidRDefault="00F05423" w:rsidP="00F05423">
      <w:pPr>
        <w:tabs>
          <w:tab w:val="left" w:pos="5103"/>
        </w:tabs>
      </w:pPr>
      <w:r w:rsidRPr="002A5525">
        <w:tab/>
      </w:r>
      <w:r w:rsidR="00383201">
        <w:t>místo</w:t>
      </w:r>
      <w:r w:rsidRPr="002A5525">
        <w:t>předseda představenstva</w:t>
      </w:r>
    </w:p>
    <w:p w14:paraId="48D6C6F2" w14:textId="77777777" w:rsidR="00F05423" w:rsidRPr="002A5525" w:rsidRDefault="00F05423" w:rsidP="00F05423">
      <w:pPr>
        <w:ind w:left="5100"/>
        <w:jc w:val="both"/>
      </w:pPr>
    </w:p>
    <w:p w14:paraId="729B1843" w14:textId="77777777" w:rsidR="00F05423" w:rsidRPr="002A5525" w:rsidRDefault="00F05423" w:rsidP="00F05423">
      <w:pPr>
        <w:ind w:left="5100"/>
        <w:jc w:val="both"/>
      </w:pPr>
    </w:p>
    <w:p w14:paraId="42FEC730" w14:textId="77777777" w:rsidR="00F05423" w:rsidRPr="002A5525" w:rsidRDefault="00F05423" w:rsidP="00F05423">
      <w:pPr>
        <w:ind w:left="5100"/>
        <w:jc w:val="both"/>
      </w:pPr>
    </w:p>
    <w:p w14:paraId="432C583A" w14:textId="77777777" w:rsidR="00F05423" w:rsidRPr="002A5525" w:rsidRDefault="00F05423" w:rsidP="00F05423">
      <w:pPr>
        <w:ind w:left="5100"/>
        <w:jc w:val="both"/>
      </w:pPr>
    </w:p>
    <w:p w14:paraId="1741701B" w14:textId="77777777" w:rsidR="00F05423" w:rsidRPr="002A5525" w:rsidRDefault="00F05423" w:rsidP="00F05423">
      <w:pPr>
        <w:ind w:left="5100"/>
        <w:jc w:val="both"/>
      </w:pPr>
      <w:r w:rsidRPr="002A5525">
        <w:t>.....................................</w:t>
      </w:r>
    </w:p>
    <w:p w14:paraId="447676C7" w14:textId="77777777" w:rsidR="00F05423" w:rsidRPr="002A5525" w:rsidRDefault="00F05423" w:rsidP="00F05423">
      <w:pPr>
        <w:ind w:left="5100"/>
        <w:jc w:val="both"/>
      </w:pPr>
      <w:r w:rsidRPr="00DA7699">
        <w:rPr>
          <w:highlight w:val="black"/>
        </w:rPr>
        <w:t>Ing. Jiří Hub</w:t>
      </w:r>
    </w:p>
    <w:p w14:paraId="0FB78843" w14:textId="77777777" w:rsidR="00F05423" w:rsidRPr="002A5525" w:rsidRDefault="00F05423" w:rsidP="00F05423">
      <w:pPr>
        <w:ind w:left="5100"/>
        <w:jc w:val="both"/>
      </w:pPr>
      <w:r w:rsidRPr="002A5525">
        <w:t>Člen představenstva</w:t>
      </w:r>
    </w:p>
    <w:p w14:paraId="0EF32F43" w14:textId="77777777" w:rsidR="00F05423" w:rsidRPr="002A5525" w:rsidRDefault="00F05423" w:rsidP="00F05423">
      <w:pPr>
        <w:ind w:left="5100"/>
        <w:jc w:val="both"/>
      </w:pPr>
    </w:p>
    <w:p w14:paraId="2268C44E" w14:textId="77777777" w:rsidR="00F05423" w:rsidRPr="002A5525" w:rsidRDefault="00F05423" w:rsidP="00F05423">
      <w:pPr>
        <w:ind w:left="5100"/>
        <w:jc w:val="both"/>
      </w:pPr>
    </w:p>
    <w:p w14:paraId="283FA932" w14:textId="77777777" w:rsidR="00F05423" w:rsidRPr="002A5525" w:rsidRDefault="00F05423" w:rsidP="00F05423">
      <w:pPr>
        <w:ind w:left="5100"/>
        <w:jc w:val="both"/>
      </w:pPr>
    </w:p>
    <w:p w14:paraId="2D4ABA3B" w14:textId="77777777" w:rsidR="00F05423" w:rsidRPr="002A5525" w:rsidRDefault="00F05423" w:rsidP="00F05423">
      <w:pPr>
        <w:ind w:left="5100"/>
        <w:jc w:val="both"/>
      </w:pPr>
      <w:r w:rsidRPr="002A5525">
        <w:t xml:space="preserve">Smlouvu zpracoval/a: </w:t>
      </w:r>
    </w:p>
    <w:p w14:paraId="26D745D2" w14:textId="77777777" w:rsidR="009E31A2" w:rsidRPr="002A5525" w:rsidRDefault="006D01CE" w:rsidP="009E31A2">
      <w:pPr>
        <w:ind w:left="5103"/>
        <w:jc w:val="both"/>
        <w:rPr>
          <w:sz w:val="18"/>
          <w:szCs w:val="18"/>
        </w:rPr>
      </w:pPr>
      <w:r w:rsidRPr="00DA7699">
        <w:rPr>
          <w:sz w:val="18"/>
          <w:szCs w:val="18"/>
          <w:highlight w:val="black"/>
        </w:rPr>
        <w:t>Ing. Vladimíra Pospíšilová</w:t>
      </w:r>
    </w:p>
    <w:p w14:paraId="2B9E61B5" w14:textId="77777777" w:rsidR="00F05423" w:rsidRPr="002A5525" w:rsidRDefault="00F05423" w:rsidP="009E31A2">
      <w:pPr>
        <w:ind w:left="5103"/>
        <w:jc w:val="both"/>
        <w:rPr>
          <w:sz w:val="18"/>
          <w:szCs w:val="18"/>
        </w:rPr>
      </w:pPr>
    </w:p>
    <w:p w14:paraId="76171D1D" w14:textId="77777777" w:rsidR="00F05423" w:rsidRPr="002A5525" w:rsidRDefault="00F05423" w:rsidP="009E31A2">
      <w:pPr>
        <w:ind w:left="5103"/>
        <w:jc w:val="both"/>
        <w:rPr>
          <w:sz w:val="18"/>
          <w:szCs w:val="18"/>
        </w:rPr>
      </w:pPr>
    </w:p>
    <w:p w14:paraId="6FC4E2DC" w14:textId="77777777" w:rsidR="009E31A2" w:rsidRPr="002A5525" w:rsidRDefault="009E31A2" w:rsidP="009E31A2">
      <w:pPr>
        <w:pStyle w:val="Zkladntext"/>
        <w:ind w:left="284"/>
        <w:rPr>
          <w:sz w:val="18"/>
          <w:szCs w:val="18"/>
        </w:rPr>
        <w:sectPr w:rsidR="009E31A2" w:rsidRPr="002A5525" w:rsidSect="009E31A2">
          <w:headerReference w:type="default" r:id="rId8"/>
          <w:footerReference w:type="default" r:id="rId9"/>
          <w:pgSz w:w="11906" w:h="16838" w:code="9"/>
          <w:pgMar w:top="1701" w:right="1134" w:bottom="1418" w:left="1701" w:header="709" w:footer="709" w:gutter="0"/>
          <w:cols w:space="708"/>
        </w:sectPr>
      </w:pPr>
    </w:p>
    <w:p w14:paraId="6F3FFF8A" w14:textId="77777777" w:rsidR="009E31A2" w:rsidRPr="002A5525" w:rsidRDefault="009E31A2" w:rsidP="009E31A2">
      <w:pPr>
        <w:pStyle w:val="Zhlav"/>
        <w:jc w:val="center"/>
        <w:rPr>
          <w:b/>
          <w:bCs/>
          <w:sz w:val="24"/>
          <w:szCs w:val="24"/>
        </w:rPr>
      </w:pPr>
      <w:r w:rsidRPr="002A5525">
        <w:rPr>
          <w:b/>
          <w:bCs/>
          <w:sz w:val="24"/>
          <w:szCs w:val="24"/>
        </w:rPr>
        <w:lastRenderedPageBreak/>
        <w:t>Příloha č. 1</w:t>
      </w:r>
    </w:p>
    <w:p w14:paraId="053B4773" w14:textId="77777777" w:rsidR="003C47A9" w:rsidRDefault="009E31A2" w:rsidP="009E31A2">
      <w:pPr>
        <w:pStyle w:val="Zhlav"/>
        <w:jc w:val="center"/>
        <w:rPr>
          <w:b/>
          <w:bCs/>
          <w:sz w:val="24"/>
          <w:szCs w:val="24"/>
        </w:rPr>
      </w:pPr>
      <w:r w:rsidRPr="002A5525">
        <w:rPr>
          <w:b/>
          <w:bCs/>
          <w:sz w:val="24"/>
          <w:szCs w:val="24"/>
        </w:rPr>
        <w:t xml:space="preserve">Specifikace poskytnutých softwarových modulů </w:t>
      </w:r>
      <w:r w:rsidR="001C6334">
        <w:rPr>
          <w:b/>
          <w:bCs/>
          <w:sz w:val="24"/>
          <w:szCs w:val="24"/>
        </w:rPr>
        <w:t xml:space="preserve">a funkcí </w:t>
      </w:r>
    </w:p>
    <w:p w14:paraId="4E30B30F" w14:textId="77777777" w:rsidR="009E31A2" w:rsidRPr="002A5525" w:rsidRDefault="003C47A9" w:rsidP="009E31A2">
      <w:pPr>
        <w:pStyle w:val="Zhlav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HELIOS FENIX </w:t>
      </w:r>
      <w:r w:rsidR="009E31A2" w:rsidRPr="002A5525">
        <w:rPr>
          <w:b/>
          <w:bCs/>
          <w:sz w:val="24"/>
          <w:szCs w:val="24"/>
        </w:rPr>
        <w:t>a harmonogram implementace</w:t>
      </w:r>
    </w:p>
    <w:p w14:paraId="3D522DB3" w14:textId="77777777" w:rsidR="009E31A2" w:rsidRPr="002A5525" w:rsidRDefault="009E31A2" w:rsidP="009E31A2">
      <w:pPr>
        <w:pStyle w:val="Zhlav"/>
        <w:jc w:val="center"/>
        <w:rPr>
          <w:b/>
          <w:bCs/>
        </w:rPr>
      </w:pPr>
    </w:p>
    <w:p w14:paraId="14B01169" w14:textId="77777777" w:rsidR="009E31A2" w:rsidRPr="002A5525" w:rsidRDefault="009E31A2" w:rsidP="009E31A2">
      <w:pPr>
        <w:pStyle w:val="Zhlav"/>
        <w:jc w:val="center"/>
        <w:rPr>
          <w:b/>
          <w:bCs/>
        </w:rPr>
      </w:pPr>
    </w:p>
    <w:tbl>
      <w:tblPr>
        <w:tblW w:w="9018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4"/>
        <w:gridCol w:w="1311"/>
        <w:gridCol w:w="1311"/>
        <w:gridCol w:w="1311"/>
        <w:gridCol w:w="1311"/>
      </w:tblGrid>
      <w:tr w:rsidR="00681FBC" w:rsidRPr="007052F4" w14:paraId="4A444562" w14:textId="77777777" w:rsidTr="007A0EE7">
        <w:trPr>
          <w:cantSplit/>
          <w:jc w:val="center"/>
        </w:trPr>
        <w:tc>
          <w:tcPr>
            <w:tcW w:w="37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989368" w14:textId="77777777" w:rsidR="001C6334" w:rsidRDefault="00681FBC" w:rsidP="007A0EE7">
            <w:pPr>
              <w:spacing w:before="60" w:after="60"/>
              <w:jc w:val="center"/>
              <w:rPr>
                <w:b/>
              </w:rPr>
            </w:pPr>
            <w:r w:rsidRPr="007052F4">
              <w:rPr>
                <w:b/>
              </w:rPr>
              <w:t>Seznam softwarových modulů</w:t>
            </w:r>
          </w:p>
          <w:p w14:paraId="155BC158" w14:textId="77777777" w:rsidR="00681FBC" w:rsidRPr="007052F4" w:rsidRDefault="001C6334" w:rsidP="007A0EE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 funkcí</w:t>
            </w:r>
            <w:r w:rsidR="00681FBC">
              <w:rPr>
                <w:b/>
              </w:rPr>
              <w:t xml:space="preserve"> </w:t>
            </w:r>
            <w:r w:rsidR="003C47A9">
              <w:rPr>
                <w:b/>
              </w:rPr>
              <w:t>HELIOS FENIX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150829" w14:textId="77777777" w:rsidR="00681FBC" w:rsidRDefault="00681FBC" w:rsidP="007A0EE7">
            <w:pPr>
              <w:spacing w:before="60" w:after="60"/>
              <w:jc w:val="center"/>
              <w:rPr>
                <w:b/>
              </w:rPr>
            </w:pPr>
            <w:r w:rsidRPr="007052F4">
              <w:rPr>
                <w:b/>
              </w:rPr>
              <w:t>Cena dle platného ceníku</w:t>
            </w:r>
          </w:p>
          <w:p w14:paraId="4DE6F9C4" w14:textId="77777777" w:rsidR="00681FBC" w:rsidRPr="007052F4" w:rsidRDefault="00681FBC" w:rsidP="007A0EE7">
            <w:pPr>
              <w:spacing w:before="60" w:after="60"/>
              <w:jc w:val="center"/>
              <w:rPr>
                <w:b/>
              </w:rPr>
            </w:pPr>
            <w:r w:rsidRPr="007052F4">
              <w:rPr>
                <w:b/>
              </w:rPr>
              <w:t>bez DPH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08AB32" w14:textId="77777777" w:rsidR="00681FBC" w:rsidRPr="007052F4" w:rsidRDefault="00681FBC" w:rsidP="007A0EE7">
            <w:pPr>
              <w:spacing w:before="60" w:after="60"/>
              <w:jc w:val="center"/>
              <w:rPr>
                <w:b/>
              </w:rPr>
            </w:pPr>
            <w:r w:rsidRPr="007052F4">
              <w:rPr>
                <w:b/>
              </w:rPr>
              <w:t>Sleva</w:t>
            </w:r>
          </w:p>
          <w:p w14:paraId="349C7295" w14:textId="77777777" w:rsidR="00681FBC" w:rsidRPr="007052F4" w:rsidRDefault="00681FBC" w:rsidP="007A0EE7">
            <w:pPr>
              <w:spacing w:before="60" w:after="60"/>
              <w:jc w:val="center"/>
              <w:rPr>
                <w:b/>
                <w:lang w:val="en-US"/>
              </w:rPr>
            </w:pPr>
            <w:r w:rsidRPr="007052F4">
              <w:rPr>
                <w:b/>
                <w:lang w:val="en-US"/>
              </w:rPr>
              <w:t>%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0E49AAA" w14:textId="77777777" w:rsidR="00681FBC" w:rsidRPr="007052F4" w:rsidRDefault="00681FBC" w:rsidP="007A0EE7">
            <w:pPr>
              <w:spacing w:before="60" w:after="60"/>
              <w:jc w:val="center"/>
              <w:rPr>
                <w:b/>
              </w:rPr>
            </w:pPr>
            <w:r w:rsidRPr="007052F4">
              <w:rPr>
                <w:b/>
              </w:rPr>
              <w:t>Cena</w:t>
            </w:r>
          </w:p>
          <w:p w14:paraId="0D0E521D" w14:textId="77777777" w:rsidR="00681FBC" w:rsidRPr="007052F4" w:rsidRDefault="00681FBC" w:rsidP="007A0EE7">
            <w:pPr>
              <w:spacing w:before="60" w:after="60"/>
              <w:jc w:val="center"/>
              <w:rPr>
                <w:b/>
              </w:rPr>
            </w:pPr>
            <w:r w:rsidRPr="007052F4">
              <w:rPr>
                <w:b/>
              </w:rPr>
              <w:t>bez DPH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70DACE" w14:textId="77777777" w:rsidR="00681FBC" w:rsidRPr="007052F4" w:rsidRDefault="00681FBC" w:rsidP="007A0EE7">
            <w:pPr>
              <w:spacing w:before="60" w:after="60"/>
              <w:jc w:val="center"/>
              <w:rPr>
                <w:b/>
              </w:rPr>
            </w:pPr>
            <w:r w:rsidRPr="007052F4">
              <w:rPr>
                <w:b/>
              </w:rPr>
              <w:t>Cena</w:t>
            </w:r>
          </w:p>
          <w:p w14:paraId="7986FA7B" w14:textId="77777777" w:rsidR="00681FBC" w:rsidRPr="007052F4" w:rsidRDefault="00681FBC" w:rsidP="007A0EE7">
            <w:pPr>
              <w:spacing w:before="60" w:after="60"/>
              <w:jc w:val="center"/>
              <w:rPr>
                <w:b/>
              </w:rPr>
            </w:pPr>
            <w:r w:rsidRPr="007052F4">
              <w:rPr>
                <w:b/>
              </w:rPr>
              <w:t>s DPH</w:t>
            </w:r>
          </w:p>
        </w:tc>
      </w:tr>
      <w:tr w:rsidR="00681FBC" w:rsidRPr="007052F4" w14:paraId="1C681A97" w14:textId="77777777" w:rsidTr="007A0EE7">
        <w:trPr>
          <w:cantSplit/>
          <w:jc w:val="center"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8E74" w14:textId="77777777" w:rsidR="00681FBC" w:rsidRPr="007052F4" w:rsidRDefault="003E1F05" w:rsidP="007A0EE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</w:pPr>
            <w: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76A" w14:textId="77777777" w:rsidR="00681FBC" w:rsidRPr="007052F4" w:rsidRDefault="00681FBC" w:rsidP="007A0EE7">
            <w:pPr>
              <w:spacing w:before="60" w:after="60"/>
              <w:ind w:left="30" w:right="141" w:hanging="27"/>
              <w:jc w:val="right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0E16" w14:textId="77777777" w:rsidR="00681FBC" w:rsidRPr="007052F4" w:rsidRDefault="00681FBC" w:rsidP="007A0EE7">
            <w:pPr>
              <w:spacing w:before="60" w:after="60"/>
              <w:ind w:left="357" w:hanging="357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7675E" w14:textId="77777777" w:rsidR="00681FBC" w:rsidRPr="007052F4" w:rsidRDefault="00681FBC" w:rsidP="007A0EE7">
            <w:pPr>
              <w:spacing w:before="60" w:after="60"/>
              <w:ind w:right="163" w:hanging="49"/>
              <w:jc w:val="right"/>
              <w:rPr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40E9" w14:textId="77777777" w:rsidR="00681FBC" w:rsidRPr="007052F4" w:rsidRDefault="00681FBC" w:rsidP="007A0EE7">
            <w:pPr>
              <w:spacing w:before="60" w:after="60"/>
              <w:ind w:left="-3" w:right="174" w:hanging="6"/>
              <w:jc w:val="right"/>
            </w:pPr>
          </w:p>
        </w:tc>
      </w:tr>
      <w:tr w:rsidR="00681FBC" w:rsidRPr="007052F4" w14:paraId="7FC22BBB" w14:textId="77777777" w:rsidTr="007A0EE7">
        <w:trPr>
          <w:cantSplit/>
          <w:jc w:val="center"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D4B7" w14:textId="77777777" w:rsidR="00681FBC" w:rsidRPr="007052F4" w:rsidRDefault="003E1F05" w:rsidP="007A0EE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</w:pPr>
            <w: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63B8" w14:textId="77777777" w:rsidR="00681FBC" w:rsidRPr="007052F4" w:rsidRDefault="00681FBC" w:rsidP="007A0EE7">
            <w:pPr>
              <w:spacing w:before="60" w:after="60"/>
              <w:ind w:left="30" w:right="141" w:hanging="27"/>
              <w:jc w:val="right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719E" w14:textId="77777777" w:rsidR="00681FBC" w:rsidRPr="007052F4" w:rsidRDefault="00681FBC" w:rsidP="007A0EE7">
            <w:pPr>
              <w:spacing w:before="60" w:after="60"/>
              <w:ind w:left="357" w:hanging="357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EAA31" w14:textId="77777777" w:rsidR="00681FBC" w:rsidRPr="007052F4" w:rsidRDefault="00681FBC" w:rsidP="007A0EE7">
            <w:pPr>
              <w:spacing w:before="60" w:after="60"/>
              <w:ind w:right="163" w:hanging="49"/>
              <w:jc w:val="right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F3F1" w14:textId="77777777" w:rsidR="00681FBC" w:rsidRPr="007052F4" w:rsidRDefault="00681FBC" w:rsidP="007A0EE7">
            <w:pPr>
              <w:spacing w:before="60" w:after="60"/>
              <w:ind w:left="-3" w:right="174" w:hanging="6"/>
              <w:jc w:val="right"/>
            </w:pPr>
          </w:p>
        </w:tc>
      </w:tr>
      <w:tr w:rsidR="00681FBC" w:rsidRPr="007052F4" w14:paraId="61E530DD" w14:textId="77777777" w:rsidTr="007A0EE7">
        <w:trPr>
          <w:cantSplit/>
          <w:jc w:val="center"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9433" w14:textId="77777777" w:rsidR="00681FBC" w:rsidRPr="007052F4" w:rsidRDefault="003E1F05" w:rsidP="007A0EE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</w:pPr>
            <w: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5EB0" w14:textId="77777777" w:rsidR="00681FBC" w:rsidRPr="007052F4" w:rsidRDefault="00681FBC" w:rsidP="007A0EE7">
            <w:pPr>
              <w:spacing w:before="60" w:after="60"/>
              <w:ind w:left="30" w:right="141" w:hanging="27"/>
              <w:jc w:val="right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70EF" w14:textId="77777777" w:rsidR="00681FBC" w:rsidRPr="007052F4" w:rsidRDefault="00681FBC" w:rsidP="007A0EE7">
            <w:pPr>
              <w:spacing w:before="60" w:after="60"/>
              <w:ind w:left="357" w:hanging="357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86959" w14:textId="77777777" w:rsidR="00681FBC" w:rsidRPr="007052F4" w:rsidRDefault="00681FBC" w:rsidP="007A0EE7">
            <w:pPr>
              <w:spacing w:before="60" w:after="60"/>
              <w:ind w:right="163" w:hanging="49"/>
              <w:jc w:val="right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6428" w14:textId="77777777" w:rsidR="00681FBC" w:rsidRPr="007052F4" w:rsidRDefault="00681FBC" w:rsidP="007A0EE7">
            <w:pPr>
              <w:spacing w:before="60" w:after="60"/>
              <w:ind w:left="-3" w:right="174" w:hanging="6"/>
              <w:jc w:val="right"/>
            </w:pPr>
          </w:p>
        </w:tc>
      </w:tr>
      <w:tr w:rsidR="00681FBC" w:rsidRPr="007052F4" w14:paraId="097996F2" w14:textId="77777777" w:rsidTr="007A0EE7">
        <w:trPr>
          <w:cantSplit/>
          <w:jc w:val="center"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826D" w14:textId="77777777" w:rsidR="00681FBC" w:rsidRPr="007052F4" w:rsidRDefault="00681FBC" w:rsidP="007A0EE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b/>
              </w:rPr>
            </w:pPr>
            <w:r w:rsidRPr="007052F4">
              <w:rPr>
                <w:b/>
              </w:rPr>
              <w:t>Celkem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7E8" w14:textId="77777777" w:rsidR="00681FBC" w:rsidRPr="007052F4" w:rsidRDefault="00681FBC" w:rsidP="007A0EE7">
            <w:pPr>
              <w:spacing w:before="60" w:after="60"/>
              <w:ind w:left="30" w:right="141" w:hanging="27"/>
              <w:jc w:val="right"/>
              <w:rPr>
                <w:b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DA0" w14:textId="77777777" w:rsidR="00681FBC" w:rsidRPr="007052F4" w:rsidRDefault="00681FBC" w:rsidP="007A0EE7">
            <w:pPr>
              <w:spacing w:before="60" w:after="60"/>
              <w:ind w:left="357" w:hanging="357"/>
              <w:jc w:val="center"/>
              <w:rPr>
                <w:b/>
              </w:rPr>
            </w:pPr>
            <w:r w:rsidRPr="007052F4">
              <w:rPr>
                <w:b/>
              </w:rPr>
              <w:t>---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A3B65" w14:textId="77777777" w:rsidR="00681FBC" w:rsidRPr="007052F4" w:rsidRDefault="00681FBC" w:rsidP="007A0EE7">
            <w:pPr>
              <w:spacing w:before="60" w:after="60"/>
              <w:ind w:right="163" w:hanging="49"/>
              <w:jc w:val="right"/>
              <w:rPr>
                <w:b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7B58" w14:textId="77777777" w:rsidR="00681FBC" w:rsidRPr="007052F4" w:rsidRDefault="00681FBC" w:rsidP="007A0EE7">
            <w:pPr>
              <w:spacing w:before="60" w:after="60"/>
              <w:ind w:left="-3" w:right="174" w:hanging="6"/>
              <w:jc w:val="right"/>
              <w:rPr>
                <w:b/>
              </w:rPr>
            </w:pPr>
          </w:p>
        </w:tc>
      </w:tr>
    </w:tbl>
    <w:p w14:paraId="18A06954" w14:textId="77777777" w:rsidR="00681FBC" w:rsidRPr="007052F4" w:rsidRDefault="00681FBC" w:rsidP="00681FBC">
      <w:pPr>
        <w:pStyle w:val="Zhlav"/>
        <w:tabs>
          <w:tab w:val="clear" w:pos="4536"/>
          <w:tab w:val="clear" w:pos="9072"/>
        </w:tabs>
      </w:pPr>
    </w:p>
    <w:p w14:paraId="5CF583D2" w14:textId="77777777" w:rsidR="009E31A2" w:rsidRPr="002A5525" w:rsidRDefault="009E31A2" w:rsidP="009E31A2">
      <w:pPr>
        <w:pStyle w:val="Zhlav"/>
        <w:tabs>
          <w:tab w:val="clear" w:pos="4536"/>
          <w:tab w:val="clear" w:pos="9072"/>
        </w:tabs>
      </w:pPr>
    </w:p>
    <w:p w14:paraId="51CEF3FE" w14:textId="77777777" w:rsidR="009E31A2" w:rsidRPr="002A5525" w:rsidRDefault="009E31A2" w:rsidP="009E31A2">
      <w:pPr>
        <w:pStyle w:val="Zhlav"/>
        <w:tabs>
          <w:tab w:val="clear" w:pos="4536"/>
          <w:tab w:val="clear" w:pos="9072"/>
        </w:tabs>
      </w:pPr>
    </w:p>
    <w:p w14:paraId="0B7335E9" w14:textId="77777777" w:rsidR="00B7396E" w:rsidRPr="002A5525" w:rsidRDefault="00B7396E" w:rsidP="00B7396E">
      <w:pPr>
        <w:pStyle w:val="Zhlav"/>
        <w:tabs>
          <w:tab w:val="clear" w:pos="4536"/>
          <w:tab w:val="clear" w:pos="9072"/>
        </w:tabs>
      </w:pPr>
    </w:p>
    <w:p w14:paraId="5DE7EEEE" w14:textId="77777777" w:rsidR="00B7396E" w:rsidRPr="002A5525" w:rsidRDefault="00B7396E" w:rsidP="00B7396E"/>
    <w:p w14:paraId="25C5FEA6" w14:textId="77777777" w:rsidR="008D67A5" w:rsidRPr="002A5525" w:rsidRDefault="008D67A5" w:rsidP="008D67A5">
      <w:pPr>
        <w:pStyle w:val="Zhlav"/>
        <w:tabs>
          <w:tab w:val="clear" w:pos="4536"/>
          <w:tab w:val="clear" w:pos="9072"/>
        </w:tabs>
        <w:jc w:val="center"/>
      </w:pPr>
    </w:p>
    <w:p w14:paraId="37C6E625" w14:textId="77777777" w:rsidR="009E31A2" w:rsidRPr="002A5525" w:rsidRDefault="009E31A2" w:rsidP="009E31A2">
      <w:pPr>
        <w:pStyle w:val="Zhlav"/>
        <w:tabs>
          <w:tab w:val="clear" w:pos="4536"/>
          <w:tab w:val="clear" w:pos="9072"/>
        </w:tabs>
        <w:jc w:val="center"/>
      </w:pPr>
    </w:p>
    <w:p w14:paraId="6477E9FD" w14:textId="77777777" w:rsidR="009E31A2" w:rsidRPr="002A5525" w:rsidRDefault="009E31A2" w:rsidP="009E31A2">
      <w:pPr>
        <w:pStyle w:val="Zhlav"/>
        <w:jc w:val="center"/>
        <w:rPr>
          <w:b/>
          <w:bCs/>
          <w:sz w:val="24"/>
          <w:szCs w:val="24"/>
        </w:rPr>
      </w:pPr>
      <w:r w:rsidRPr="002A5525">
        <w:br w:type="page"/>
      </w:r>
      <w:r w:rsidRPr="002A5525">
        <w:rPr>
          <w:b/>
          <w:bCs/>
          <w:sz w:val="24"/>
          <w:szCs w:val="24"/>
        </w:rPr>
        <w:lastRenderedPageBreak/>
        <w:t>Příloha č. 2</w:t>
      </w:r>
    </w:p>
    <w:p w14:paraId="675872DD" w14:textId="77777777" w:rsidR="009E31A2" w:rsidRPr="002A5525" w:rsidRDefault="009E31A2" w:rsidP="009E31A2">
      <w:pPr>
        <w:pStyle w:val="Zhlav"/>
        <w:jc w:val="center"/>
        <w:rPr>
          <w:b/>
          <w:bCs/>
          <w:sz w:val="24"/>
          <w:szCs w:val="24"/>
        </w:rPr>
      </w:pPr>
      <w:r w:rsidRPr="002A5525">
        <w:rPr>
          <w:b/>
          <w:bCs/>
          <w:sz w:val="24"/>
          <w:szCs w:val="24"/>
        </w:rPr>
        <w:t xml:space="preserve">Rozsah </w:t>
      </w:r>
      <w:r w:rsidR="003C47A9">
        <w:rPr>
          <w:b/>
          <w:bCs/>
          <w:sz w:val="24"/>
          <w:szCs w:val="24"/>
        </w:rPr>
        <w:t>poskytování provozní podpory HELIOS FENIX</w:t>
      </w:r>
    </w:p>
    <w:p w14:paraId="473B6DF6" w14:textId="77777777" w:rsidR="009E31A2" w:rsidRPr="002A5525" w:rsidRDefault="009E31A2" w:rsidP="009E31A2">
      <w:pPr>
        <w:pStyle w:val="Zhlav"/>
        <w:jc w:val="center"/>
        <w:rPr>
          <w:b/>
          <w:bCs/>
        </w:rPr>
      </w:pPr>
    </w:p>
    <w:p w14:paraId="4DF662DD" w14:textId="77777777" w:rsidR="009E31A2" w:rsidRPr="002A5525" w:rsidRDefault="009E31A2" w:rsidP="009E31A2">
      <w:pPr>
        <w:pStyle w:val="Zhlav"/>
        <w:jc w:val="center"/>
        <w:rPr>
          <w:b/>
          <w:bCs/>
        </w:rPr>
      </w:pPr>
    </w:p>
    <w:tbl>
      <w:tblPr>
        <w:tblW w:w="0" w:type="auto"/>
        <w:tblInd w:w="270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0"/>
        <w:gridCol w:w="1700"/>
      </w:tblGrid>
      <w:tr w:rsidR="008C2F0E" w14:paraId="6C42A639" w14:textId="77777777" w:rsidTr="008C2F0E">
        <w:trPr>
          <w:cantSplit/>
        </w:trPr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3B92BA" w14:textId="77777777" w:rsidR="008C2F0E" w:rsidRDefault="008C2F0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Název modulů</w:t>
            </w:r>
            <w:r w:rsidR="001C6334">
              <w:rPr>
                <w:b/>
              </w:rPr>
              <w:t xml:space="preserve"> a funkcí</w:t>
            </w:r>
            <w:r w:rsidR="003C47A9">
              <w:rPr>
                <w:b/>
              </w:rPr>
              <w:t xml:space="preserve"> HELIOS FENIX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878A644" w14:textId="77777777" w:rsidR="008C2F0E" w:rsidRDefault="008C2F0E" w:rsidP="00681FB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Stávající (S)</w:t>
            </w:r>
          </w:p>
          <w:p w14:paraId="178F3721" w14:textId="77777777" w:rsidR="008C2F0E" w:rsidRDefault="008C2F0E" w:rsidP="00681FB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Nové (N)</w:t>
            </w:r>
          </w:p>
        </w:tc>
      </w:tr>
      <w:tr w:rsidR="008C2F0E" w14:paraId="124128B0" w14:textId="77777777" w:rsidTr="008C2F0E">
        <w:trPr>
          <w:cantSplit/>
        </w:trPr>
        <w:tc>
          <w:tcPr>
            <w:tcW w:w="7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C0F8" w14:textId="77777777" w:rsidR="008C2F0E" w:rsidRDefault="006D01C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</w:pPr>
            <w:r>
              <w:t>Rozpočet, účetnictví, výkaznictví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CACDAD" w14:textId="77777777" w:rsidR="008C2F0E" w:rsidRDefault="006D01CE" w:rsidP="00681FBC">
            <w:pPr>
              <w:jc w:val="center"/>
            </w:pPr>
            <w:r>
              <w:t>S</w:t>
            </w:r>
          </w:p>
        </w:tc>
      </w:tr>
      <w:tr w:rsidR="008C2F0E" w14:paraId="74C0CBC9" w14:textId="77777777" w:rsidTr="008C2F0E">
        <w:trPr>
          <w:cantSplit/>
        </w:trPr>
        <w:tc>
          <w:tcPr>
            <w:tcW w:w="7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9C4F" w14:textId="77777777" w:rsidR="008C2F0E" w:rsidRDefault="006D01C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</w:pPr>
            <w:r>
              <w:t>Účetnictví státu přenosy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381A2" w14:textId="77777777" w:rsidR="008C2F0E" w:rsidRDefault="006D01CE" w:rsidP="00681FBC">
            <w:pPr>
              <w:jc w:val="center"/>
            </w:pPr>
            <w:r>
              <w:t>S</w:t>
            </w:r>
          </w:p>
        </w:tc>
      </w:tr>
    </w:tbl>
    <w:p w14:paraId="2356D71B" w14:textId="77777777" w:rsidR="009E31A2" w:rsidRDefault="009E31A2" w:rsidP="009E31A2"/>
    <w:p w14:paraId="5586EEAA" w14:textId="77777777" w:rsidR="008C2F0E" w:rsidRPr="002A5525" w:rsidRDefault="008C2F0E" w:rsidP="009E31A2"/>
    <w:p w14:paraId="347ED104" w14:textId="77777777" w:rsidR="009E31A2" w:rsidRPr="002A5525" w:rsidRDefault="009E31A2" w:rsidP="009E31A2"/>
    <w:p w14:paraId="00255774" w14:textId="77777777" w:rsidR="009E31A2" w:rsidRPr="002A5525" w:rsidRDefault="009E31A2" w:rsidP="009E31A2"/>
    <w:tbl>
      <w:tblPr>
        <w:tblW w:w="864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02"/>
      </w:tblGrid>
      <w:tr w:rsidR="009E31A2" w:rsidRPr="002A5525" w14:paraId="737ABA8E" w14:textId="77777777" w:rsidTr="006B3E6D">
        <w:trPr>
          <w:cantSplit/>
          <w:trHeight w:val="426"/>
          <w:jc w:val="center"/>
        </w:trPr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98BE2E" w14:textId="77777777" w:rsidR="009E31A2" w:rsidRPr="002A5525" w:rsidRDefault="009E31A2" w:rsidP="002A5525">
            <w:pPr>
              <w:spacing w:before="60" w:after="60"/>
              <w:ind w:left="357" w:hanging="357"/>
              <w:jc w:val="center"/>
              <w:rPr>
                <w:b/>
              </w:rPr>
            </w:pPr>
            <w:r w:rsidRPr="002A5525">
              <w:rPr>
                <w:b/>
              </w:rPr>
              <w:t>Služba provozní podpory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C4B7AB" w14:textId="77777777" w:rsidR="009E31A2" w:rsidRPr="002A5525" w:rsidRDefault="009E31A2" w:rsidP="002A5525">
            <w:pPr>
              <w:spacing w:before="60" w:after="60"/>
              <w:jc w:val="center"/>
              <w:rPr>
                <w:b/>
              </w:rPr>
            </w:pPr>
            <w:r w:rsidRPr="002A5525">
              <w:rPr>
                <w:b/>
              </w:rPr>
              <w:t>Rozsah poskytované služby</w:t>
            </w:r>
          </w:p>
          <w:p w14:paraId="66C6CB86" w14:textId="77777777" w:rsidR="002A5525" w:rsidRPr="002A5525" w:rsidRDefault="002A5525" w:rsidP="002A5525">
            <w:pPr>
              <w:spacing w:before="60" w:after="60"/>
              <w:jc w:val="center"/>
              <w:rPr>
                <w:b/>
              </w:rPr>
            </w:pPr>
            <w:r w:rsidRPr="002A5525">
              <w:rPr>
                <w:b/>
              </w:rPr>
              <w:t>pro daný servisní rok</w:t>
            </w:r>
          </w:p>
        </w:tc>
      </w:tr>
      <w:tr w:rsidR="009E31A2" w:rsidRPr="002A5525" w14:paraId="6DA00A7A" w14:textId="77777777" w:rsidTr="009E31A2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C27C" w14:textId="77777777" w:rsidR="009E31A2" w:rsidRPr="002A5525" w:rsidRDefault="009E31A2" w:rsidP="009E31A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</w:pPr>
            <w:r w:rsidRPr="002A5525">
              <w:t>Poskytování informací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F447" w14:textId="77777777" w:rsidR="009E31A2" w:rsidRPr="002A5525" w:rsidRDefault="009E31A2" w:rsidP="009E31A2">
            <w:pPr>
              <w:spacing w:before="60" w:after="60"/>
              <w:ind w:left="357" w:hanging="357"/>
              <w:jc w:val="center"/>
            </w:pPr>
            <w:r w:rsidRPr="002A5525">
              <w:t>průběžně</w:t>
            </w:r>
          </w:p>
        </w:tc>
      </w:tr>
      <w:tr w:rsidR="009E31A2" w:rsidRPr="002A5525" w14:paraId="6A0084FA" w14:textId="77777777" w:rsidTr="009E31A2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DD7D" w14:textId="77777777" w:rsidR="009E31A2" w:rsidRPr="002A5525" w:rsidRDefault="009E31A2" w:rsidP="009E31A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</w:pPr>
            <w:r w:rsidRPr="002A5525">
              <w:t>Dodávky upgrade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EEE" w14:textId="77777777" w:rsidR="009E31A2" w:rsidRPr="002A5525" w:rsidRDefault="009E31A2" w:rsidP="009E31A2">
            <w:pPr>
              <w:spacing w:before="60" w:after="60"/>
              <w:ind w:left="357" w:hanging="357"/>
              <w:jc w:val="center"/>
            </w:pPr>
            <w:r w:rsidRPr="002A5525">
              <w:t>nejméně 2x ročně</w:t>
            </w:r>
          </w:p>
        </w:tc>
      </w:tr>
      <w:tr w:rsidR="009E31A2" w:rsidRPr="002A5525" w14:paraId="0388D8B6" w14:textId="77777777" w:rsidTr="009E31A2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66D4" w14:textId="77777777" w:rsidR="009E31A2" w:rsidRPr="002A5525" w:rsidRDefault="009E31A2" w:rsidP="009E31A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</w:pPr>
            <w:r w:rsidRPr="002A5525">
              <w:t>Konzultační a poradenská činnost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9E19" w14:textId="77777777" w:rsidR="009E31A2" w:rsidRPr="002A5525" w:rsidRDefault="00E8502C" w:rsidP="009E31A2">
            <w:pPr>
              <w:spacing w:before="60" w:after="60"/>
              <w:ind w:left="357" w:hanging="357"/>
              <w:jc w:val="center"/>
            </w:pPr>
            <w:r w:rsidRPr="006D01CE">
              <w:t>5 hodin</w:t>
            </w:r>
          </w:p>
        </w:tc>
      </w:tr>
      <w:tr w:rsidR="009E31A2" w:rsidRPr="002A5525" w14:paraId="097ECECD" w14:textId="77777777" w:rsidTr="009E31A2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775D" w14:textId="77777777" w:rsidR="009E31A2" w:rsidRPr="002A5525" w:rsidRDefault="009E31A2" w:rsidP="009E31A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</w:pPr>
            <w:r w:rsidRPr="002A5525">
              <w:t>Servisní rok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FBEE" w14:textId="77777777" w:rsidR="009E31A2" w:rsidRPr="002A5525" w:rsidRDefault="009E31A2" w:rsidP="009E31A2">
            <w:pPr>
              <w:spacing w:before="60" w:after="60"/>
              <w:ind w:left="357" w:hanging="357"/>
              <w:jc w:val="center"/>
            </w:pPr>
            <w:r w:rsidRPr="002A5525">
              <w:t>od 1.1. do 31.12.</w:t>
            </w:r>
          </w:p>
        </w:tc>
      </w:tr>
    </w:tbl>
    <w:p w14:paraId="60D0532E" w14:textId="77777777" w:rsidR="009E31A2" w:rsidRPr="002A5525" w:rsidRDefault="009E31A2" w:rsidP="009E31A2">
      <w:pPr>
        <w:jc w:val="both"/>
      </w:pPr>
    </w:p>
    <w:p w14:paraId="3313FB35" w14:textId="77777777" w:rsidR="009E31A2" w:rsidRPr="002A5525" w:rsidRDefault="009E31A2" w:rsidP="009E31A2">
      <w:pPr>
        <w:jc w:val="both"/>
      </w:pPr>
    </w:p>
    <w:p w14:paraId="2098DE86" w14:textId="77777777" w:rsidR="009E31A2" w:rsidRPr="002A5525" w:rsidRDefault="009E31A2" w:rsidP="009E31A2">
      <w:pPr>
        <w:jc w:val="both"/>
      </w:pPr>
    </w:p>
    <w:p w14:paraId="239D6BFC" w14:textId="77777777" w:rsidR="009E31A2" w:rsidRPr="002A5525" w:rsidRDefault="009E31A2" w:rsidP="009E31A2">
      <w:pPr>
        <w:jc w:val="both"/>
      </w:pPr>
    </w:p>
    <w:p w14:paraId="694469F4" w14:textId="77777777" w:rsidR="000A0B26" w:rsidRPr="002A5525" w:rsidRDefault="009E31A2" w:rsidP="009E31A2">
      <w:pPr>
        <w:jc w:val="center"/>
        <w:rPr>
          <w:b/>
          <w:sz w:val="24"/>
          <w:szCs w:val="24"/>
        </w:rPr>
      </w:pPr>
      <w:r w:rsidRPr="002A5525">
        <w:rPr>
          <w:b/>
          <w:sz w:val="24"/>
          <w:szCs w:val="24"/>
        </w:rPr>
        <w:t>Stanovení ceny za dodáv</w:t>
      </w:r>
      <w:r w:rsidR="000A0B26" w:rsidRPr="002A5525">
        <w:rPr>
          <w:b/>
          <w:sz w:val="24"/>
          <w:szCs w:val="24"/>
        </w:rPr>
        <w:t>ku upgrade a</w:t>
      </w:r>
    </w:p>
    <w:p w14:paraId="00A19374" w14:textId="77777777" w:rsidR="009E31A2" w:rsidRPr="002A5525" w:rsidRDefault="009E31A2" w:rsidP="009E31A2">
      <w:pPr>
        <w:jc w:val="center"/>
        <w:rPr>
          <w:b/>
          <w:sz w:val="24"/>
          <w:szCs w:val="24"/>
        </w:rPr>
      </w:pPr>
      <w:r w:rsidRPr="002A5525">
        <w:rPr>
          <w:b/>
          <w:sz w:val="24"/>
          <w:szCs w:val="24"/>
        </w:rPr>
        <w:t>konzultační a poradenské činnosti</w:t>
      </w:r>
    </w:p>
    <w:p w14:paraId="51A28C80" w14:textId="77777777" w:rsidR="009E31A2" w:rsidRPr="002A5525" w:rsidRDefault="009E31A2" w:rsidP="009E31A2">
      <w:pPr>
        <w:rPr>
          <w:b/>
        </w:rPr>
      </w:pPr>
    </w:p>
    <w:tbl>
      <w:tblPr>
        <w:tblW w:w="864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701"/>
        <w:gridCol w:w="1701"/>
      </w:tblGrid>
      <w:tr w:rsidR="009E31A2" w:rsidRPr="002A5525" w14:paraId="3E274130" w14:textId="77777777" w:rsidTr="009E31A2">
        <w:trPr>
          <w:cantSplit/>
          <w:jc w:val="center"/>
        </w:trPr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F4EFA7" w14:textId="77777777" w:rsidR="009E31A2" w:rsidRPr="002A5525" w:rsidRDefault="009E31A2" w:rsidP="009E31A2">
            <w:pPr>
              <w:spacing w:before="60" w:after="60"/>
              <w:jc w:val="center"/>
              <w:rPr>
                <w:b/>
              </w:rPr>
            </w:pPr>
            <w:r w:rsidRPr="002A5525">
              <w:rPr>
                <w:b/>
              </w:rPr>
              <w:t>Služba provozní podpory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69AC737" w14:textId="77777777" w:rsidR="009E31A2" w:rsidRPr="002A5525" w:rsidRDefault="009E31A2" w:rsidP="009E31A2">
            <w:pPr>
              <w:jc w:val="center"/>
              <w:rPr>
                <w:b/>
              </w:rPr>
            </w:pPr>
            <w:r w:rsidRPr="002A5525">
              <w:rPr>
                <w:b/>
              </w:rPr>
              <w:t>Cena bez DPH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AD951E3" w14:textId="77777777" w:rsidR="009E31A2" w:rsidRPr="002A5525" w:rsidRDefault="009E31A2" w:rsidP="009E31A2">
            <w:pPr>
              <w:spacing w:before="60" w:after="60"/>
              <w:jc w:val="center"/>
              <w:rPr>
                <w:b/>
              </w:rPr>
            </w:pPr>
            <w:r w:rsidRPr="002A5525">
              <w:rPr>
                <w:b/>
              </w:rPr>
              <w:t>Cena s DPH</w:t>
            </w:r>
          </w:p>
        </w:tc>
      </w:tr>
      <w:tr w:rsidR="009E31A2" w:rsidRPr="002A5525" w14:paraId="0FA3AF92" w14:textId="77777777" w:rsidTr="00E8502C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B279" w14:textId="77777777" w:rsidR="009E31A2" w:rsidRPr="002A5525" w:rsidRDefault="009E31A2" w:rsidP="009E31A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</w:pPr>
            <w:r w:rsidRPr="002A5525">
              <w:t xml:space="preserve">Upgrade </w:t>
            </w:r>
            <w:r w:rsidRPr="002A5525">
              <w:rPr>
                <w:b/>
              </w:rPr>
              <w:t>stávajících</w:t>
            </w:r>
            <w:r w:rsidRPr="002A5525">
              <w:t xml:space="preserve"> modulů</w:t>
            </w:r>
            <w:r w:rsidR="00EF6B1A">
              <w:t xml:space="preserve"> a funkcí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76BE1" w14:textId="77777777" w:rsidR="009E31A2" w:rsidRPr="002A5525" w:rsidRDefault="006D01CE" w:rsidP="00E8502C">
            <w:pPr>
              <w:ind w:right="213"/>
              <w:jc w:val="right"/>
            </w:pPr>
            <w:r>
              <w:t>5.249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258C1" w14:textId="77777777" w:rsidR="009E31A2" w:rsidRPr="002A5525" w:rsidRDefault="003E1F05" w:rsidP="00E8502C">
            <w:pPr>
              <w:ind w:right="213"/>
              <w:jc w:val="right"/>
            </w:pPr>
            <w:r>
              <w:t>6.298,80</w:t>
            </w:r>
          </w:p>
        </w:tc>
      </w:tr>
      <w:tr w:rsidR="009E31A2" w:rsidRPr="002A5525" w14:paraId="664E080D" w14:textId="77777777" w:rsidTr="00E8502C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2425" w14:textId="77777777" w:rsidR="009E31A2" w:rsidRPr="002A5525" w:rsidRDefault="009E31A2" w:rsidP="009E31A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</w:pPr>
            <w:r w:rsidRPr="002A5525">
              <w:t xml:space="preserve">Upgrade </w:t>
            </w:r>
            <w:r w:rsidRPr="002A5525">
              <w:rPr>
                <w:b/>
              </w:rPr>
              <w:t>nových</w:t>
            </w:r>
            <w:r w:rsidRPr="002A5525">
              <w:t xml:space="preserve"> modulů</w:t>
            </w:r>
            <w:r w:rsidR="001C6334">
              <w:t xml:space="preserve"> a funkcí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E6A72" w14:textId="77777777" w:rsidR="009E31A2" w:rsidRPr="002A5525" w:rsidRDefault="006D01CE" w:rsidP="00E8502C">
            <w:pPr>
              <w:ind w:right="213"/>
              <w:jc w:val="righ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66A70" w14:textId="77777777" w:rsidR="009E31A2" w:rsidRPr="002A5525" w:rsidRDefault="003E1F05" w:rsidP="00E8502C">
            <w:pPr>
              <w:ind w:right="213"/>
              <w:jc w:val="right"/>
            </w:pPr>
            <w:r>
              <w:t>-</w:t>
            </w:r>
          </w:p>
        </w:tc>
      </w:tr>
      <w:tr w:rsidR="00E8502C" w:rsidRPr="002A5525" w14:paraId="3C72C1B2" w14:textId="77777777" w:rsidTr="00E8502C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D1DB" w14:textId="77777777" w:rsidR="00E8502C" w:rsidRPr="002A5525" w:rsidRDefault="00E8502C" w:rsidP="009E31A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</w:pPr>
            <w:r w:rsidRPr="002A5525">
              <w:t>Konzultační a poradenská činnost (KPČ)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AB76C" w14:textId="77777777" w:rsidR="00E8502C" w:rsidRPr="002A5525" w:rsidRDefault="00E8502C" w:rsidP="000E4068">
            <w:pPr>
              <w:ind w:right="213"/>
              <w:jc w:val="right"/>
              <w:rPr>
                <w:highlight w:val="yellow"/>
              </w:rPr>
            </w:pPr>
            <w:r w:rsidRPr="006D01CE">
              <w:t>5.250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B5D2F" w14:textId="77777777" w:rsidR="00E8502C" w:rsidRPr="002A5525" w:rsidRDefault="00E8502C" w:rsidP="000E4068">
            <w:pPr>
              <w:ind w:right="213"/>
              <w:jc w:val="right"/>
              <w:rPr>
                <w:highlight w:val="yellow"/>
              </w:rPr>
            </w:pPr>
            <w:r w:rsidRPr="006D01CE">
              <w:t>6.300,00</w:t>
            </w:r>
          </w:p>
        </w:tc>
      </w:tr>
      <w:tr w:rsidR="00E8502C" w:rsidRPr="002A5525" w14:paraId="1957DA5C" w14:textId="77777777" w:rsidTr="00E8502C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999D" w14:textId="77777777" w:rsidR="00E8502C" w:rsidRPr="002A5525" w:rsidRDefault="00E8502C" w:rsidP="009E31A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</w:pPr>
            <w:r w:rsidRPr="002A5525">
              <w:rPr>
                <w:b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AEE9C" w14:textId="77777777" w:rsidR="00E8502C" w:rsidRPr="002A5525" w:rsidRDefault="003E1F05" w:rsidP="00E8502C">
            <w:pPr>
              <w:ind w:right="213"/>
              <w:jc w:val="right"/>
              <w:rPr>
                <w:b/>
              </w:rPr>
            </w:pPr>
            <w:r>
              <w:rPr>
                <w:b/>
              </w:rPr>
              <w:t>10.499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09097" w14:textId="77777777" w:rsidR="00E8502C" w:rsidRPr="002A5525" w:rsidRDefault="003E1F05" w:rsidP="00E8502C">
            <w:pPr>
              <w:ind w:right="213"/>
              <w:jc w:val="right"/>
              <w:rPr>
                <w:b/>
              </w:rPr>
            </w:pPr>
            <w:r>
              <w:rPr>
                <w:b/>
              </w:rPr>
              <w:t>12.598,80</w:t>
            </w:r>
          </w:p>
        </w:tc>
      </w:tr>
    </w:tbl>
    <w:p w14:paraId="5A60BC4F" w14:textId="77777777" w:rsidR="009E31A2" w:rsidRPr="002A5525" w:rsidRDefault="009E31A2" w:rsidP="009E31A2">
      <w:pPr>
        <w:rPr>
          <w:b/>
        </w:rPr>
      </w:pPr>
    </w:p>
    <w:p w14:paraId="4C250814" w14:textId="77777777" w:rsidR="00AE3505" w:rsidRPr="002A5525" w:rsidRDefault="009E31A2" w:rsidP="00F35C71">
      <w:pPr>
        <w:ind w:left="284" w:right="-709"/>
      </w:pPr>
      <w:r w:rsidRPr="002A5525">
        <w:t>Pozn. Cena za „Upgrade stávajících modulů</w:t>
      </w:r>
      <w:r w:rsidR="00EF6B1A">
        <w:t xml:space="preserve"> a funkcí</w:t>
      </w:r>
      <w:r w:rsidRPr="002A5525">
        <w:t>“ byla stanovena na základě dříve uzavřené smlouvy.</w:t>
      </w:r>
    </w:p>
    <w:sectPr w:rsidR="00AE3505" w:rsidRPr="002A5525" w:rsidSect="009E31A2">
      <w:headerReference w:type="default" r:id="rId10"/>
      <w:footerReference w:type="default" r:id="rId11"/>
      <w:pgSz w:w="11906" w:h="16838" w:code="9"/>
      <w:pgMar w:top="1701" w:right="1134" w:bottom="1418" w:left="170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6136" w14:textId="77777777" w:rsidR="001A00C9" w:rsidRDefault="001A00C9">
      <w:r>
        <w:separator/>
      </w:r>
    </w:p>
  </w:endnote>
  <w:endnote w:type="continuationSeparator" w:id="0">
    <w:p w14:paraId="6D5397D2" w14:textId="77777777" w:rsidR="001A00C9" w:rsidRDefault="001A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3B3B" w14:textId="77777777" w:rsidR="00B22004" w:rsidRPr="00941A1F" w:rsidRDefault="00B22004" w:rsidP="009E31A2">
    <w:pPr>
      <w:pStyle w:val="Zpat"/>
      <w:pBdr>
        <w:top w:val="single" w:sz="4" w:space="1" w:color="auto"/>
      </w:pBdr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E1F05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21C" w14:textId="77777777" w:rsidR="00B22004" w:rsidRPr="00941A1F" w:rsidRDefault="00B22004" w:rsidP="009E31A2">
    <w:pPr>
      <w:pStyle w:val="Zpat"/>
      <w:pBdr>
        <w:top w:val="single" w:sz="4" w:space="1" w:color="auto"/>
      </w:pBdr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Strana </w:t>
    </w:r>
    <w:r>
      <w:rPr>
        <w:rStyle w:val="slostrnky"/>
      </w:rPr>
      <w:t>1/1</w:t>
    </w:r>
  </w:p>
  <w:p w14:paraId="5E652675" w14:textId="77777777" w:rsidR="00B22004" w:rsidRPr="00941A1F" w:rsidRDefault="00B22004" w:rsidP="009E31A2">
    <w:pPr>
      <w:pStyle w:val="Zpat"/>
      <w:pBdr>
        <w:top w:val="single" w:sz="4" w:space="1" w:color="auto"/>
      </w:pBdr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1B3B" w14:textId="77777777" w:rsidR="001A00C9" w:rsidRDefault="001A00C9">
      <w:r>
        <w:separator/>
      </w:r>
    </w:p>
  </w:footnote>
  <w:footnote w:type="continuationSeparator" w:id="0">
    <w:p w14:paraId="66BC295D" w14:textId="77777777" w:rsidR="001A00C9" w:rsidRDefault="001A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9545" w14:textId="77777777" w:rsidR="00B22004" w:rsidRDefault="00B22004">
    <w:pPr>
      <w:pStyle w:val="Zhlav"/>
    </w:pPr>
    <w:r>
      <w:tab/>
    </w:r>
    <w:r>
      <w:tab/>
      <w:t xml:space="preserve">Číslo </w:t>
    </w:r>
    <w:proofErr w:type="gramStart"/>
    <w:r>
      <w:t>dodatku:</w:t>
    </w:r>
    <w:r w:rsidR="003E1F05">
      <w:t>F</w:t>
    </w:r>
    <w:proofErr w:type="gramEnd"/>
    <w:r w:rsidR="003E1F05">
      <w:t>-10-01248-01</w:t>
    </w:r>
    <w:r>
      <w:t xml:space="preserve"> </w:t>
    </w:r>
  </w:p>
  <w:p w14:paraId="60596862" w14:textId="77777777" w:rsidR="00B22004" w:rsidRDefault="00B22004">
    <w:pPr>
      <w:pStyle w:val="Zhlav"/>
    </w:pPr>
    <w:r>
      <w:tab/>
    </w:r>
    <w:r>
      <w:tab/>
      <w:t>Počet příloh: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E7CD" w14:textId="77777777" w:rsidR="00B22004" w:rsidRDefault="00B22004">
    <w:pPr>
      <w:pStyle w:val="Zhlav"/>
    </w:pPr>
    <w:r>
      <w:tab/>
    </w:r>
    <w:r>
      <w:tab/>
      <w:t xml:space="preserve">Číslo </w:t>
    </w:r>
    <w:proofErr w:type="gramStart"/>
    <w:r>
      <w:t>dodatku:</w:t>
    </w:r>
    <w:r w:rsidR="003E1F05">
      <w:t>F</w:t>
    </w:r>
    <w:proofErr w:type="gramEnd"/>
    <w:r w:rsidR="003E1F05">
      <w:t>-10-01248-01</w:t>
    </w:r>
  </w:p>
  <w:p w14:paraId="13B990B9" w14:textId="77777777" w:rsidR="00B22004" w:rsidRDefault="00B22004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06D59"/>
    <w:multiLevelType w:val="multilevel"/>
    <w:tmpl w:val="A8E84A7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C5EB4"/>
    <w:multiLevelType w:val="hybridMultilevel"/>
    <w:tmpl w:val="90EA0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8963945">
    <w:abstractNumId w:val="0"/>
  </w:num>
  <w:num w:numId="2" w16cid:durableId="1815751871">
    <w:abstractNumId w:val="5"/>
  </w:num>
  <w:num w:numId="3" w16cid:durableId="269314393">
    <w:abstractNumId w:val="4"/>
  </w:num>
  <w:num w:numId="4" w16cid:durableId="702756683">
    <w:abstractNumId w:val="3"/>
  </w:num>
  <w:num w:numId="5" w16cid:durableId="545072370">
    <w:abstractNumId w:val="2"/>
  </w:num>
  <w:num w:numId="6" w16cid:durableId="16655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1A2"/>
    <w:rsid w:val="000323F2"/>
    <w:rsid w:val="00046C4D"/>
    <w:rsid w:val="00080C97"/>
    <w:rsid w:val="000A0B26"/>
    <w:rsid w:val="000D0DAC"/>
    <w:rsid w:val="000E4068"/>
    <w:rsid w:val="000E7435"/>
    <w:rsid w:val="000F7444"/>
    <w:rsid w:val="00153980"/>
    <w:rsid w:val="001571B9"/>
    <w:rsid w:val="001A00C9"/>
    <w:rsid w:val="001A2E63"/>
    <w:rsid w:val="001C6334"/>
    <w:rsid w:val="001E09CD"/>
    <w:rsid w:val="002703F2"/>
    <w:rsid w:val="00281410"/>
    <w:rsid w:val="002879F7"/>
    <w:rsid w:val="002A5525"/>
    <w:rsid w:val="002B2BE6"/>
    <w:rsid w:val="002F2012"/>
    <w:rsid w:val="002F2D33"/>
    <w:rsid w:val="002F4663"/>
    <w:rsid w:val="00311BDA"/>
    <w:rsid w:val="00383201"/>
    <w:rsid w:val="0039455C"/>
    <w:rsid w:val="003B2AE7"/>
    <w:rsid w:val="003C47A9"/>
    <w:rsid w:val="003E1F05"/>
    <w:rsid w:val="0040120C"/>
    <w:rsid w:val="004028E4"/>
    <w:rsid w:val="004046BF"/>
    <w:rsid w:val="00415A91"/>
    <w:rsid w:val="004503DE"/>
    <w:rsid w:val="00451C4B"/>
    <w:rsid w:val="00470B6D"/>
    <w:rsid w:val="00494892"/>
    <w:rsid w:val="004D55D4"/>
    <w:rsid w:val="004E3957"/>
    <w:rsid w:val="005113BF"/>
    <w:rsid w:val="0052179C"/>
    <w:rsid w:val="005262C7"/>
    <w:rsid w:val="00573A7D"/>
    <w:rsid w:val="00577B45"/>
    <w:rsid w:val="005D15F6"/>
    <w:rsid w:val="005F4D39"/>
    <w:rsid w:val="00617BD3"/>
    <w:rsid w:val="006334FF"/>
    <w:rsid w:val="00654361"/>
    <w:rsid w:val="00681FBC"/>
    <w:rsid w:val="006B3E6D"/>
    <w:rsid w:val="006C6B1A"/>
    <w:rsid w:val="006D01CE"/>
    <w:rsid w:val="006F1FEF"/>
    <w:rsid w:val="0077564A"/>
    <w:rsid w:val="007843BF"/>
    <w:rsid w:val="007A0EE7"/>
    <w:rsid w:val="0081629E"/>
    <w:rsid w:val="00823E8C"/>
    <w:rsid w:val="00840120"/>
    <w:rsid w:val="008C2F0E"/>
    <w:rsid w:val="008D67A5"/>
    <w:rsid w:val="0094530A"/>
    <w:rsid w:val="009918FE"/>
    <w:rsid w:val="009B19D2"/>
    <w:rsid w:val="009B61C2"/>
    <w:rsid w:val="009E31A2"/>
    <w:rsid w:val="009F47DA"/>
    <w:rsid w:val="00A15972"/>
    <w:rsid w:val="00A56FBA"/>
    <w:rsid w:val="00A74EC3"/>
    <w:rsid w:val="00A823EA"/>
    <w:rsid w:val="00A93F8A"/>
    <w:rsid w:val="00AE3505"/>
    <w:rsid w:val="00B22004"/>
    <w:rsid w:val="00B67B5B"/>
    <w:rsid w:val="00B701EE"/>
    <w:rsid w:val="00B7396E"/>
    <w:rsid w:val="00B810BE"/>
    <w:rsid w:val="00BF223F"/>
    <w:rsid w:val="00C02D89"/>
    <w:rsid w:val="00C13E62"/>
    <w:rsid w:val="00C9719A"/>
    <w:rsid w:val="00CA49C2"/>
    <w:rsid w:val="00CB53D4"/>
    <w:rsid w:val="00CB63EC"/>
    <w:rsid w:val="00CD33F9"/>
    <w:rsid w:val="00D678DB"/>
    <w:rsid w:val="00DA7699"/>
    <w:rsid w:val="00DC2933"/>
    <w:rsid w:val="00DC5E36"/>
    <w:rsid w:val="00E577B9"/>
    <w:rsid w:val="00E8502C"/>
    <w:rsid w:val="00E95B66"/>
    <w:rsid w:val="00EC22B2"/>
    <w:rsid w:val="00ED051A"/>
    <w:rsid w:val="00EF6B1A"/>
    <w:rsid w:val="00F05423"/>
    <w:rsid w:val="00F14FA8"/>
    <w:rsid w:val="00F35C71"/>
    <w:rsid w:val="00F8486C"/>
    <w:rsid w:val="00FB0046"/>
    <w:rsid w:val="00FD3562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D8985D"/>
  <w15:docId w15:val="{CAE31260-0D22-4B19-82D0-ACAD7BD6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4FA8"/>
    <w:rPr>
      <w:rFonts w:ascii="Verdana" w:hAnsi="Verdana"/>
    </w:rPr>
  </w:style>
  <w:style w:type="paragraph" w:styleId="Nadpis3">
    <w:name w:val="heading 3"/>
    <w:basedOn w:val="Normln"/>
    <w:next w:val="Normln"/>
    <w:link w:val="Nadpis3Char"/>
    <w:qFormat/>
    <w:rsid w:val="004D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9E31A2"/>
    <w:pPr>
      <w:keepNext/>
      <w:ind w:left="1701" w:hanging="1701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E31A2"/>
    <w:pPr>
      <w:ind w:firstLine="851"/>
      <w:jc w:val="both"/>
    </w:pPr>
    <w:rPr>
      <w:sz w:val="24"/>
    </w:rPr>
  </w:style>
  <w:style w:type="paragraph" w:styleId="Zhlav">
    <w:name w:val="header"/>
    <w:basedOn w:val="Normln"/>
    <w:rsid w:val="009E31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1A2"/>
  </w:style>
  <w:style w:type="paragraph" w:styleId="Zpat">
    <w:name w:val="footer"/>
    <w:basedOn w:val="Normln"/>
    <w:rsid w:val="009E31A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31A2"/>
    <w:rPr>
      <w:sz w:val="24"/>
    </w:rPr>
  </w:style>
  <w:style w:type="paragraph" w:styleId="Nzev">
    <w:name w:val="Title"/>
    <w:basedOn w:val="Normln"/>
    <w:qFormat/>
    <w:rsid w:val="009E31A2"/>
    <w:pPr>
      <w:jc w:val="center"/>
    </w:pPr>
    <w:rPr>
      <w:b/>
      <w:sz w:val="36"/>
    </w:rPr>
  </w:style>
  <w:style w:type="paragraph" w:customStyle="1" w:styleId="Norma">
    <w:name w:val="Norma"/>
    <w:basedOn w:val="Normln"/>
    <w:rsid w:val="009E31A2"/>
    <w:rPr>
      <w:rFonts w:ascii="FusionEE" w:hAnsi="FusionEE"/>
    </w:rPr>
  </w:style>
  <w:style w:type="paragraph" w:customStyle="1" w:styleId="Normln0">
    <w:name w:val="Normln"/>
    <w:rsid w:val="009E31A2"/>
    <w:rPr>
      <w:rFonts w:ascii="MS Sans Serif" w:hAnsi="MS Sans Serif"/>
      <w:snapToGrid w:val="0"/>
      <w:sz w:val="24"/>
    </w:rPr>
  </w:style>
  <w:style w:type="paragraph" w:styleId="Seznam">
    <w:name w:val="List"/>
    <w:basedOn w:val="Normln"/>
    <w:link w:val="SeznamChar"/>
    <w:rsid w:val="009E31A2"/>
    <w:pPr>
      <w:ind w:left="283" w:hanging="283"/>
    </w:pPr>
  </w:style>
  <w:style w:type="character" w:customStyle="1" w:styleId="platne1">
    <w:name w:val="platne1"/>
    <w:basedOn w:val="Standardnpsmoodstavce"/>
    <w:rsid w:val="009E31A2"/>
  </w:style>
  <w:style w:type="paragraph" w:customStyle="1" w:styleId="Char3">
    <w:name w:val="Char3"/>
    <w:basedOn w:val="Normln"/>
    <w:rsid w:val="009E31A2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4D55D4"/>
  </w:style>
  <w:style w:type="character" w:customStyle="1" w:styleId="Nadpis3Char">
    <w:name w:val="Nadpis 3 Char"/>
    <w:link w:val="Nadpis3"/>
    <w:semiHidden/>
    <w:rsid w:val="004D55D4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4D55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55D4"/>
    <w:rPr>
      <w:b/>
      <w:bCs/>
    </w:rPr>
  </w:style>
  <w:style w:type="character" w:customStyle="1" w:styleId="Nadpis7Char">
    <w:name w:val="Nadpis 7 Char"/>
    <w:link w:val="Nadpis7"/>
    <w:rsid w:val="00840120"/>
    <w:rPr>
      <w:rFonts w:ascii="Verdana" w:hAnsi="Verdana"/>
      <w:sz w:val="24"/>
    </w:rPr>
  </w:style>
  <w:style w:type="paragraph" w:styleId="Zkladntextodsazen">
    <w:name w:val="Body Text Indent"/>
    <w:basedOn w:val="Normln"/>
    <w:link w:val="ZkladntextodsazenChar"/>
    <w:rsid w:val="005113B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113BF"/>
    <w:rPr>
      <w:rFonts w:ascii="Verdana" w:hAnsi="Verdana"/>
    </w:rPr>
  </w:style>
  <w:style w:type="paragraph" w:customStyle="1" w:styleId="Styl1">
    <w:name w:val="Styl1"/>
    <w:basedOn w:val="Seznam"/>
    <w:link w:val="Styl1Char"/>
    <w:qFormat/>
    <w:rsid w:val="005113BF"/>
    <w:pPr>
      <w:numPr>
        <w:numId w:val="1"/>
      </w:numPr>
      <w:jc w:val="both"/>
    </w:pPr>
  </w:style>
  <w:style w:type="character" w:styleId="Hypertextovodkaz">
    <w:name w:val="Hyperlink"/>
    <w:rsid w:val="004028E4"/>
    <w:rPr>
      <w:color w:val="0000FF"/>
      <w:u w:val="single"/>
    </w:rPr>
  </w:style>
  <w:style w:type="character" w:customStyle="1" w:styleId="SeznamChar">
    <w:name w:val="Seznam Char"/>
    <w:link w:val="Seznam"/>
    <w:rsid w:val="005113BF"/>
    <w:rPr>
      <w:rFonts w:ascii="Verdana" w:hAnsi="Verdana"/>
    </w:rPr>
  </w:style>
  <w:style w:type="character" w:customStyle="1" w:styleId="Styl1Char">
    <w:name w:val="Styl1 Char"/>
    <w:link w:val="Styl1"/>
    <w:rsid w:val="005113BF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lios.eu/feni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Asseco Czech Republic, a.s.</Company>
  <LinksUpToDate>false</LinksUpToDate>
  <CharactersWithSpaces>4134</CharactersWithSpaces>
  <SharedDoc>false</SharedDoc>
  <HLinks>
    <vt:vector size="6" baseType="variant">
      <vt:variant>
        <vt:i4>7209011</vt:i4>
      </vt:variant>
      <vt:variant>
        <vt:i4>0</vt:i4>
      </vt:variant>
      <vt:variant>
        <vt:i4>0</vt:i4>
      </vt:variant>
      <vt:variant>
        <vt:i4>5</vt:i4>
      </vt:variant>
      <vt:variant>
        <vt:lpwstr>http://www.helios.eu/fenix.html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vendula.mechurova</dc:creator>
  <cp:lastModifiedBy>ekonom</cp:lastModifiedBy>
  <cp:revision>4</cp:revision>
  <dcterms:created xsi:type="dcterms:W3CDTF">2022-07-12T14:29:00Z</dcterms:created>
  <dcterms:modified xsi:type="dcterms:W3CDTF">2022-07-13T07:15:00Z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_SourceUrl">
    <vt:lpwstr/>
  </property>
  <property fmtid="{D5CDD505-2E9C-101B-9397-08002B2CF9AE}" pid="4" name="xd_ProgID">
    <vt:lpwstr/>
  </property>
  <property fmtid="{D5CDD505-2E9C-101B-9397-08002B2CF9AE}" pid="5" name="Order">
    <vt:lpwstr/>
  </property>
  <property fmtid="{D5CDD505-2E9C-101B-9397-08002B2CF9AE}" pid="6" name="MetaInfo">
    <vt:lpwstr/>
  </property>
</Properties>
</file>