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77777777" w:rsidR="00D17AE6" w:rsidRPr="004A68E6" w:rsidRDefault="00110063" w:rsidP="008E097F">
            <w:pPr>
              <w:contextualSpacing/>
              <w:jc w:val="center"/>
              <w:rPr>
                <w:b/>
                <w:color w:val="000000" w:themeColor="text1"/>
                <w:sz w:val="24"/>
                <w:szCs w:val="24"/>
              </w:rPr>
            </w:pPr>
            <w:r w:rsidRPr="004A68E6">
              <w:rPr>
                <w:b/>
                <w:color w:val="000000" w:themeColor="text1"/>
                <w:sz w:val="24"/>
                <w:szCs w:val="24"/>
              </w:rPr>
              <w:br/>
              <w:t>SMLOUVA O SPOLUPRÁCI</w:t>
            </w:r>
          </w:p>
          <w:p w14:paraId="78E7F2E3" w14:textId="77777777" w:rsidR="00D4500A" w:rsidRPr="004A68E6" w:rsidRDefault="00110063"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78E7F2E4" w14:textId="77777777" w:rsidR="00D17AE6" w:rsidRPr="004A68E6" w:rsidRDefault="00110063"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D17AE6" w:rsidRPr="004A68E6" w:rsidRDefault="000F3459"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733C14DE" w:rsidR="00A63365" w:rsidRPr="004A68E6" w:rsidRDefault="00110063"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110063"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A63365" w:rsidRPr="004A68E6" w:rsidRDefault="00110063"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FC1E8A" w:rsidRPr="004A68E6" w:rsidRDefault="000F3459" w:rsidP="008E097F">
            <w:pPr>
              <w:contextualSpacing/>
              <w:jc w:val="both"/>
              <w:rPr>
                <w:color w:val="000000" w:themeColor="text1"/>
                <w:sz w:val="22"/>
                <w:szCs w:val="22"/>
              </w:rPr>
            </w:pPr>
          </w:p>
          <w:p w14:paraId="78E7F2EF" w14:textId="77777777" w:rsidR="00CD6A5C" w:rsidRPr="004A68E6" w:rsidRDefault="00110063"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0F3459" w:rsidP="008E097F">
            <w:pPr>
              <w:contextualSpacing/>
              <w:jc w:val="both"/>
              <w:rPr>
                <w:b/>
                <w:color w:val="000000" w:themeColor="text1"/>
                <w:sz w:val="22"/>
                <w:szCs w:val="22"/>
              </w:rPr>
            </w:pPr>
          </w:p>
        </w:tc>
        <w:tc>
          <w:tcPr>
            <w:tcW w:w="4536" w:type="dxa"/>
          </w:tcPr>
          <w:p w14:paraId="78E7F2F2" w14:textId="77F984BD" w:rsidR="00A63365" w:rsidRPr="004A68E6" w:rsidRDefault="00110063" w:rsidP="008E097F">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110063"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A63365" w:rsidRPr="004A68E6" w:rsidRDefault="00110063"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A63365" w:rsidRPr="004A68E6" w:rsidRDefault="00110063"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110063"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0F3459"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7777777" w:rsidR="003B32F5" w:rsidRPr="004A68E6" w:rsidRDefault="00110063" w:rsidP="008E097F">
            <w:pPr>
              <w:contextualSpacing/>
              <w:jc w:val="both"/>
              <w:rPr>
                <w:b/>
                <w:color w:val="000000" w:themeColor="text1"/>
                <w:sz w:val="22"/>
                <w:szCs w:val="22"/>
              </w:rPr>
            </w:pPr>
            <w:r w:rsidRPr="004A68E6">
              <w:rPr>
                <w:b/>
                <w:color w:val="000000" w:themeColor="text1"/>
                <w:sz w:val="22"/>
                <w:szCs w:val="22"/>
              </w:rPr>
              <w:t>a</w:t>
            </w:r>
          </w:p>
          <w:p w14:paraId="78E7F2FC" w14:textId="77777777" w:rsidR="00D17AE6" w:rsidRPr="004A68E6" w:rsidRDefault="000F3459" w:rsidP="008E097F">
            <w:pPr>
              <w:contextualSpacing/>
              <w:jc w:val="both"/>
              <w:rPr>
                <w:b/>
                <w:color w:val="000000" w:themeColor="text1"/>
                <w:sz w:val="22"/>
                <w:szCs w:val="22"/>
              </w:rPr>
            </w:pPr>
          </w:p>
        </w:tc>
        <w:tc>
          <w:tcPr>
            <w:tcW w:w="4536" w:type="dxa"/>
          </w:tcPr>
          <w:p w14:paraId="78E7F2FD" w14:textId="2C86B1C6" w:rsidR="00D17AE6" w:rsidRDefault="00110063" w:rsidP="008E097F">
            <w:pPr>
              <w:keepNext/>
              <w:contextualSpacing/>
              <w:rPr>
                <w:b/>
                <w:color w:val="000000" w:themeColor="text1"/>
                <w:sz w:val="22"/>
                <w:szCs w:val="22"/>
                <w:lang w:bidi="en-GB"/>
              </w:rPr>
            </w:pPr>
            <w:r w:rsidRPr="004A68E6">
              <w:rPr>
                <w:b/>
                <w:color w:val="000000" w:themeColor="text1"/>
                <w:sz w:val="22"/>
                <w:szCs w:val="22"/>
                <w:lang w:bidi="en-GB"/>
              </w:rPr>
              <w:t>and</w:t>
            </w:r>
          </w:p>
          <w:p w14:paraId="78E7F2FE" w14:textId="77777777" w:rsidR="00D17AE6" w:rsidRPr="004A68E6" w:rsidRDefault="000F3459"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1E48BDD1" w14:textId="72813235" w:rsidR="001B30DD" w:rsidRPr="00DF24D1" w:rsidRDefault="00D2725C" w:rsidP="00F008A0">
            <w:pPr>
              <w:contextualSpacing/>
              <w:jc w:val="both"/>
              <w:rPr>
                <w:b/>
                <w:color w:val="000000" w:themeColor="text1"/>
                <w:sz w:val="22"/>
                <w:szCs w:val="22"/>
              </w:rPr>
            </w:pPr>
            <w:r w:rsidRPr="00DF24D1">
              <w:rPr>
                <w:b/>
                <w:color w:val="000000" w:themeColor="text1"/>
                <w:sz w:val="22"/>
                <w:szCs w:val="22"/>
              </w:rPr>
              <w:t>Nemocnice Třinec, příspěvková organizace</w:t>
            </w:r>
            <w:r w:rsidR="001B30DD" w:rsidRPr="00DF24D1">
              <w:rPr>
                <w:b/>
                <w:color w:val="000000" w:themeColor="text1"/>
                <w:sz w:val="22"/>
                <w:szCs w:val="22"/>
              </w:rPr>
              <w:fldChar w:fldCharType="begin"/>
            </w:r>
            <w:r w:rsidR="001B30DD" w:rsidRPr="00DF24D1">
              <w:rPr>
                <w:b/>
                <w:color w:val="000000" w:themeColor="text1"/>
                <w:sz w:val="22"/>
                <w:szCs w:val="22"/>
              </w:rPr>
              <w:instrText xml:space="preserve"> MERGEFIELD název_EN </w:instrText>
            </w:r>
            <w:r w:rsidR="000F3459">
              <w:rPr>
                <w:b/>
                <w:color w:val="000000" w:themeColor="text1"/>
                <w:sz w:val="22"/>
                <w:szCs w:val="22"/>
              </w:rPr>
              <w:fldChar w:fldCharType="separate"/>
            </w:r>
            <w:r w:rsidR="001B30DD" w:rsidRPr="00DF24D1">
              <w:rPr>
                <w:b/>
                <w:color w:val="000000" w:themeColor="text1"/>
                <w:sz w:val="22"/>
                <w:szCs w:val="22"/>
              </w:rPr>
              <w:fldChar w:fldCharType="end"/>
            </w:r>
          </w:p>
          <w:p w14:paraId="477B9ADE" w14:textId="77777777" w:rsidR="000C746F" w:rsidRPr="00DF24D1" w:rsidRDefault="00110063" w:rsidP="00C96B61">
            <w:pPr>
              <w:contextualSpacing/>
              <w:jc w:val="both"/>
              <w:rPr>
                <w:bCs/>
                <w:color w:val="000000" w:themeColor="text1"/>
                <w:sz w:val="22"/>
                <w:szCs w:val="22"/>
              </w:rPr>
            </w:pPr>
            <w:r w:rsidRPr="00DF24D1">
              <w:rPr>
                <w:bCs/>
                <w:color w:val="000000" w:themeColor="text1"/>
                <w:sz w:val="22"/>
                <w:szCs w:val="22"/>
              </w:rPr>
              <w:t xml:space="preserve">se sídlem </w:t>
            </w:r>
            <w:r w:rsidR="000C746F" w:rsidRPr="00DF24D1">
              <w:rPr>
                <w:color w:val="333333"/>
                <w:sz w:val="22"/>
                <w:szCs w:val="22"/>
                <w:shd w:val="clear" w:color="auto" w:fill="FFFFFF"/>
              </w:rPr>
              <w:t xml:space="preserve">Kaštanová 268, Dolní </w:t>
            </w:r>
            <w:proofErr w:type="spellStart"/>
            <w:r w:rsidR="000C746F" w:rsidRPr="00DF24D1">
              <w:rPr>
                <w:color w:val="333333"/>
                <w:sz w:val="22"/>
                <w:szCs w:val="22"/>
                <w:shd w:val="clear" w:color="auto" w:fill="FFFFFF"/>
              </w:rPr>
              <w:t>Líštná</w:t>
            </w:r>
            <w:proofErr w:type="spellEnd"/>
            <w:r w:rsidR="000C746F" w:rsidRPr="00DF24D1">
              <w:rPr>
                <w:color w:val="333333"/>
                <w:sz w:val="22"/>
                <w:szCs w:val="22"/>
                <w:shd w:val="clear" w:color="auto" w:fill="FFFFFF"/>
              </w:rPr>
              <w:t>, 739 61 Třinec</w:t>
            </w:r>
            <w:r w:rsidR="000C746F" w:rsidRPr="00DF24D1">
              <w:rPr>
                <w:bCs/>
                <w:color w:val="000000" w:themeColor="text1"/>
                <w:sz w:val="22"/>
                <w:szCs w:val="22"/>
              </w:rPr>
              <w:t xml:space="preserve"> </w:t>
            </w:r>
          </w:p>
          <w:p w14:paraId="4D436E34" w14:textId="4C3643E1" w:rsidR="00E15641" w:rsidRPr="00DF24D1" w:rsidRDefault="00110063" w:rsidP="00C96B61">
            <w:pPr>
              <w:contextualSpacing/>
              <w:jc w:val="both"/>
              <w:rPr>
                <w:bCs/>
                <w:color w:val="000000" w:themeColor="text1"/>
                <w:sz w:val="22"/>
                <w:szCs w:val="22"/>
              </w:rPr>
            </w:pPr>
            <w:r w:rsidRPr="00DF24D1">
              <w:rPr>
                <w:bCs/>
                <w:color w:val="000000" w:themeColor="text1"/>
                <w:sz w:val="22"/>
                <w:szCs w:val="22"/>
              </w:rPr>
              <w:t xml:space="preserve">IČ: </w:t>
            </w:r>
            <w:r w:rsidR="00F24094" w:rsidRPr="00DF24D1">
              <w:rPr>
                <w:color w:val="333333"/>
                <w:sz w:val="22"/>
                <w:szCs w:val="22"/>
                <w:shd w:val="clear" w:color="auto" w:fill="FFFFFF"/>
              </w:rPr>
              <w:t>00534242</w:t>
            </w:r>
          </w:p>
          <w:p w14:paraId="78E7F304" w14:textId="20D0E179" w:rsidR="005B5AA4" w:rsidRPr="00DF24D1" w:rsidRDefault="00110063" w:rsidP="00C96B61">
            <w:pPr>
              <w:keepNext/>
              <w:keepLines/>
              <w:contextualSpacing/>
              <w:jc w:val="both"/>
              <w:rPr>
                <w:bCs/>
                <w:color w:val="000000" w:themeColor="text1"/>
                <w:sz w:val="22"/>
                <w:szCs w:val="22"/>
              </w:rPr>
            </w:pPr>
            <w:r w:rsidRPr="00DF24D1">
              <w:rPr>
                <w:bCs/>
                <w:color w:val="000000" w:themeColor="text1"/>
                <w:sz w:val="22"/>
                <w:szCs w:val="22"/>
              </w:rPr>
              <w:t xml:space="preserve">DIČ: </w:t>
            </w:r>
            <w:r w:rsidR="002C3C4E" w:rsidRPr="00DF24D1">
              <w:rPr>
                <w:bCs/>
                <w:color w:val="000000" w:themeColor="text1"/>
                <w:sz w:val="22"/>
                <w:szCs w:val="22"/>
              </w:rPr>
              <w:t>CZ</w:t>
            </w:r>
            <w:r w:rsidR="00F24094" w:rsidRPr="00DF24D1">
              <w:rPr>
                <w:color w:val="333333"/>
                <w:sz w:val="22"/>
                <w:szCs w:val="22"/>
                <w:shd w:val="clear" w:color="auto" w:fill="FFFFFF"/>
              </w:rPr>
              <w:t xml:space="preserve"> 00534242</w:t>
            </w:r>
            <w:r w:rsidR="00F24094" w:rsidRPr="00DF24D1">
              <w:rPr>
                <w:bCs/>
                <w:color w:val="000000" w:themeColor="text1"/>
                <w:sz w:val="22"/>
                <w:szCs w:val="22"/>
              </w:rPr>
              <w:t xml:space="preserve"> </w:t>
            </w:r>
            <w:r w:rsidRPr="00DF24D1">
              <w:rPr>
                <w:bCs/>
                <w:color w:val="000000" w:themeColor="text1"/>
                <w:sz w:val="22"/>
                <w:szCs w:val="22"/>
              </w:rPr>
              <w:fldChar w:fldCharType="begin"/>
            </w:r>
            <w:r w:rsidRPr="00DF24D1">
              <w:rPr>
                <w:bCs/>
                <w:color w:val="000000" w:themeColor="text1"/>
                <w:sz w:val="22"/>
                <w:szCs w:val="22"/>
              </w:rPr>
              <w:instrText xml:space="preserve"> MERGEFIELD OR_CZ </w:instrText>
            </w:r>
            <w:r w:rsidRPr="00DF24D1">
              <w:rPr>
                <w:bCs/>
                <w:color w:val="000000" w:themeColor="text1"/>
                <w:sz w:val="22"/>
                <w:szCs w:val="22"/>
              </w:rPr>
              <w:fldChar w:fldCharType="end"/>
            </w:r>
          </w:p>
          <w:p w14:paraId="78E7F305" w14:textId="22E36078" w:rsidR="006143B5" w:rsidRPr="00DF24D1" w:rsidRDefault="00110063" w:rsidP="00C96B61">
            <w:pPr>
              <w:contextualSpacing/>
              <w:jc w:val="both"/>
              <w:rPr>
                <w:bCs/>
                <w:color w:val="000000" w:themeColor="text1"/>
                <w:sz w:val="22"/>
                <w:szCs w:val="22"/>
              </w:rPr>
            </w:pPr>
            <w:r w:rsidRPr="00DF24D1">
              <w:rPr>
                <w:bCs/>
                <w:color w:val="000000" w:themeColor="text1"/>
                <w:sz w:val="22"/>
                <w:szCs w:val="22"/>
              </w:rPr>
              <w:t xml:space="preserve">bank. spojení: </w:t>
            </w:r>
            <w:r w:rsidR="002429CD">
              <w:rPr>
                <w:bCs/>
                <w:color w:val="000000" w:themeColor="text1"/>
                <w:sz w:val="22"/>
                <w:szCs w:val="22"/>
              </w:rPr>
              <w:t>29034781/0100</w:t>
            </w:r>
          </w:p>
          <w:p w14:paraId="78E7F306" w14:textId="1E880653" w:rsidR="002A1F05" w:rsidRPr="00DF24D1" w:rsidRDefault="00110063" w:rsidP="00C96B61">
            <w:pPr>
              <w:contextualSpacing/>
              <w:jc w:val="both"/>
              <w:rPr>
                <w:bCs/>
                <w:color w:val="000000" w:themeColor="text1"/>
                <w:sz w:val="22"/>
                <w:szCs w:val="22"/>
              </w:rPr>
            </w:pPr>
            <w:r w:rsidRPr="00DF24D1">
              <w:rPr>
                <w:bCs/>
                <w:color w:val="000000" w:themeColor="text1"/>
                <w:sz w:val="22"/>
                <w:szCs w:val="22"/>
              </w:rPr>
              <w:t>ID datové schránky:</w:t>
            </w:r>
            <w:r w:rsidR="00543CB9">
              <w:rPr>
                <w:bCs/>
                <w:color w:val="000000" w:themeColor="text1"/>
                <w:sz w:val="22"/>
                <w:szCs w:val="22"/>
              </w:rPr>
              <w:t xml:space="preserve"> n3ek6pv</w:t>
            </w:r>
          </w:p>
          <w:p w14:paraId="78E7F307" w14:textId="30C511C0" w:rsidR="00AD71B7" w:rsidRPr="00DF24D1" w:rsidRDefault="00110063" w:rsidP="00C96B61">
            <w:pPr>
              <w:contextualSpacing/>
              <w:jc w:val="both"/>
              <w:rPr>
                <w:bCs/>
                <w:color w:val="000000" w:themeColor="text1"/>
                <w:sz w:val="22"/>
                <w:szCs w:val="22"/>
              </w:rPr>
            </w:pPr>
            <w:r w:rsidRPr="00DF24D1">
              <w:rPr>
                <w:bCs/>
                <w:color w:val="000000" w:themeColor="text1"/>
                <w:sz w:val="22"/>
                <w:szCs w:val="22"/>
              </w:rPr>
              <w:t xml:space="preserve">zastoupena </w:t>
            </w:r>
            <w:r w:rsidR="003354C1" w:rsidRPr="00DF24D1">
              <w:rPr>
                <w:bCs/>
                <w:color w:val="000000" w:themeColor="text1"/>
                <w:sz w:val="22"/>
                <w:szCs w:val="22"/>
              </w:rPr>
              <w:t xml:space="preserve">Ing. Jiřím Veverkou, ředitelem </w:t>
            </w:r>
          </w:p>
          <w:p w14:paraId="09C76DCA" w14:textId="77777777" w:rsidR="00E06D77" w:rsidRDefault="00E06D77" w:rsidP="008E097F">
            <w:pPr>
              <w:contextualSpacing/>
              <w:jc w:val="both"/>
              <w:rPr>
                <w:color w:val="000000" w:themeColor="text1"/>
                <w:sz w:val="22"/>
                <w:szCs w:val="22"/>
              </w:rPr>
            </w:pPr>
          </w:p>
          <w:p w14:paraId="78E7F309" w14:textId="77777777" w:rsidR="0062676A" w:rsidRPr="004A68E6" w:rsidRDefault="00110063"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EB7258" w:rsidRPr="004A68E6" w:rsidRDefault="000F3459" w:rsidP="008E097F">
            <w:pPr>
              <w:contextualSpacing/>
              <w:jc w:val="both"/>
              <w:rPr>
                <w:bCs/>
                <w:color w:val="000000" w:themeColor="text1"/>
                <w:sz w:val="22"/>
                <w:szCs w:val="22"/>
              </w:rPr>
            </w:pPr>
          </w:p>
        </w:tc>
        <w:tc>
          <w:tcPr>
            <w:tcW w:w="4536" w:type="dxa"/>
          </w:tcPr>
          <w:p w14:paraId="1F3C6B05" w14:textId="644AFB1D" w:rsidR="00D2725C" w:rsidRDefault="00D2725C" w:rsidP="00E15641">
            <w:pPr>
              <w:contextualSpacing/>
              <w:jc w:val="both"/>
              <w:rPr>
                <w:bCs/>
                <w:color w:val="000000" w:themeColor="text1"/>
                <w:sz w:val="22"/>
                <w:szCs w:val="22"/>
                <w:lang w:bidi="en-GB"/>
              </w:rPr>
            </w:pPr>
            <w:r>
              <w:rPr>
                <w:b/>
                <w:color w:val="000000" w:themeColor="text1"/>
                <w:sz w:val="22"/>
                <w:szCs w:val="22"/>
              </w:rPr>
              <w:t>Nemocnice Třinec, příspěvková organizace</w:t>
            </w:r>
          </w:p>
          <w:p w14:paraId="12401883" w14:textId="77777777" w:rsidR="00390D58" w:rsidRPr="00DF24D1" w:rsidRDefault="00110063" w:rsidP="00390D58">
            <w:pPr>
              <w:contextualSpacing/>
              <w:jc w:val="both"/>
              <w:rPr>
                <w:bCs/>
                <w:color w:val="000000" w:themeColor="text1"/>
                <w:sz w:val="22"/>
                <w:szCs w:val="22"/>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00390D58" w:rsidRPr="00DF24D1">
              <w:rPr>
                <w:color w:val="333333"/>
                <w:sz w:val="22"/>
                <w:szCs w:val="22"/>
                <w:shd w:val="clear" w:color="auto" w:fill="FFFFFF"/>
              </w:rPr>
              <w:t xml:space="preserve">Kaštanová 268, Dolní </w:t>
            </w:r>
            <w:proofErr w:type="spellStart"/>
            <w:r w:rsidR="00390D58" w:rsidRPr="00DF24D1">
              <w:rPr>
                <w:color w:val="333333"/>
                <w:sz w:val="22"/>
                <w:szCs w:val="22"/>
                <w:shd w:val="clear" w:color="auto" w:fill="FFFFFF"/>
              </w:rPr>
              <w:t>Líštná</w:t>
            </w:r>
            <w:proofErr w:type="spellEnd"/>
            <w:r w:rsidR="00390D58" w:rsidRPr="00DF24D1">
              <w:rPr>
                <w:color w:val="333333"/>
                <w:sz w:val="22"/>
                <w:szCs w:val="22"/>
                <w:shd w:val="clear" w:color="auto" w:fill="FFFFFF"/>
              </w:rPr>
              <w:t>, 739 61 Třinec</w:t>
            </w:r>
            <w:r w:rsidR="00390D58" w:rsidRPr="00DF24D1">
              <w:rPr>
                <w:bCs/>
                <w:color w:val="000000" w:themeColor="text1"/>
                <w:sz w:val="22"/>
                <w:szCs w:val="22"/>
              </w:rPr>
              <w:t xml:space="preserve"> </w:t>
            </w:r>
          </w:p>
          <w:p w14:paraId="4CFBF1E0" w14:textId="405AB78A" w:rsidR="00E15641" w:rsidRPr="006C02B5" w:rsidRDefault="00110063" w:rsidP="00E15641">
            <w:pPr>
              <w:contextualSpacing/>
              <w:jc w:val="both"/>
              <w:rPr>
                <w:bCs/>
                <w:color w:val="000000" w:themeColor="text1"/>
                <w:sz w:val="22"/>
                <w:szCs w:val="22"/>
              </w:rPr>
            </w:pPr>
            <w:r w:rsidRPr="006C02B5">
              <w:rPr>
                <w:bCs/>
                <w:color w:val="000000" w:themeColor="text1"/>
                <w:sz w:val="22"/>
                <w:szCs w:val="22"/>
                <w:lang w:bidi="en-GB"/>
              </w:rPr>
              <w:t>ID No.:</w:t>
            </w:r>
            <w:r w:rsidR="00390D58">
              <w:rPr>
                <w:bCs/>
                <w:color w:val="000000" w:themeColor="text1"/>
                <w:sz w:val="22"/>
                <w:szCs w:val="22"/>
                <w:lang w:bidi="en-GB"/>
              </w:rPr>
              <w:t xml:space="preserve"> </w:t>
            </w:r>
            <w:r w:rsidR="00390D58" w:rsidRPr="00DF24D1">
              <w:rPr>
                <w:color w:val="333333"/>
                <w:sz w:val="22"/>
                <w:szCs w:val="22"/>
                <w:shd w:val="clear" w:color="auto" w:fill="FFFFFF"/>
              </w:rPr>
              <w:t>00534242</w:t>
            </w:r>
          </w:p>
          <w:p w14:paraId="78E7F30F" w14:textId="3FF0E060" w:rsidR="00D821EA" w:rsidRPr="006C02B5" w:rsidRDefault="00110063" w:rsidP="008E097F">
            <w:pPr>
              <w:contextualSpacing/>
              <w:jc w:val="both"/>
              <w:rPr>
                <w:bCs/>
                <w:color w:val="000000" w:themeColor="text1"/>
                <w:sz w:val="22"/>
                <w:szCs w:val="22"/>
                <w:lang w:eastAsia="sk-SK"/>
              </w:rPr>
            </w:pPr>
            <w:r w:rsidRPr="006C02B5">
              <w:rPr>
                <w:bCs/>
                <w:color w:val="000000" w:themeColor="text1"/>
                <w:sz w:val="22"/>
                <w:szCs w:val="22"/>
              </w:rPr>
              <w:t xml:space="preserve">VAT No.: </w:t>
            </w:r>
            <w:r w:rsidR="002C3C4E" w:rsidRPr="002C3C4E">
              <w:rPr>
                <w:bCs/>
                <w:color w:val="000000" w:themeColor="text1"/>
                <w:sz w:val="22"/>
                <w:szCs w:val="22"/>
              </w:rPr>
              <w:t>CZ</w:t>
            </w:r>
            <w:r w:rsidR="00390D58" w:rsidRPr="00DF24D1">
              <w:rPr>
                <w:color w:val="333333"/>
                <w:sz w:val="22"/>
                <w:szCs w:val="22"/>
                <w:shd w:val="clear" w:color="auto" w:fill="FFFFFF"/>
              </w:rPr>
              <w:t>00534242</w:t>
            </w: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end"/>
            </w:r>
          </w:p>
          <w:p w14:paraId="78E7F310" w14:textId="1BF054E5" w:rsidR="00AD71B7" w:rsidRPr="006C02B5" w:rsidRDefault="00110063" w:rsidP="008E097F">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002429CD">
              <w:rPr>
                <w:bCs/>
                <w:color w:val="000000" w:themeColor="text1"/>
                <w:sz w:val="22"/>
                <w:szCs w:val="22"/>
              </w:rPr>
              <w:t>29034781/0100</w:t>
            </w:r>
          </w:p>
          <w:p w14:paraId="78E7F311" w14:textId="021E0474" w:rsidR="00766D0E" w:rsidRPr="006C02B5" w:rsidRDefault="00110063" w:rsidP="008E097F">
            <w:pPr>
              <w:contextualSpacing/>
              <w:jc w:val="both"/>
              <w:rPr>
                <w:bCs/>
                <w:color w:val="000000" w:themeColor="text1"/>
                <w:sz w:val="22"/>
                <w:szCs w:val="22"/>
              </w:rPr>
            </w:pPr>
            <w:r w:rsidRPr="006C02B5">
              <w:rPr>
                <w:bCs/>
                <w:color w:val="000000" w:themeColor="text1"/>
                <w:sz w:val="22"/>
                <w:szCs w:val="22"/>
              </w:rPr>
              <w:t>data mailbox ID:</w:t>
            </w:r>
            <w:r w:rsidR="00CE7B9F">
              <w:rPr>
                <w:bCs/>
                <w:color w:val="000000" w:themeColor="text1"/>
                <w:sz w:val="22"/>
                <w:szCs w:val="22"/>
              </w:rPr>
              <w:t xml:space="preserve"> n3ek6pv</w:t>
            </w:r>
          </w:p>
          <w:p w14:paraId="78E7F312" w14:textId="38A00877" w:rsidR="00AD71B7" w:rsidRDefault="00110063" w:rsidP="008E097F">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00390D58">
              <w:rPr>
                <w:bCs/>
                <w:color w:val="000000" w:themeColor="text1"/>
                <w:sz w:val="22"/>
                <w:szCs w:val="22"/>
                <w:lang w:bidi="en-GB"/>
              </w:rPr>
              <w:t xml:space="preserve">Ing. Jiří Veverka, </w:t>
            </w:r>
            <w:proofErr w:type="spellStart"/>
            <w:r w:rsidR="00390D58">
              <w:rPr>
                <w:bCs/>
                <w:color w:val="000000" w:themeColor="text1"/>
                <w:sz w:val="22"/>
                <w:szCs w:val="22"/>
                <w:lang w:bidi="en-GB"/>
              </w:rPr>
              <w:t>director</w:t>
            </w:r>
            <w:proofErr w:type="spellEnd"/>
            <w:r w:rsidR="00390D58">
              <w:rPr>
                <w:bCs/>
                <w:color w:val="000000" w:themeColor="text1"/>
                <w:sz w:val="22"/>
                <w:szCs w:val="22"/>
                <w:lang w:bidi="en-GB"/>
              </w:rPr>
              <w:t xml:space="preserve"> </w:t>
            </w:r>
          </w:p>
          <w:p w14:paraId="78E7F314" w14:textId="77777777" w:rsidR="00AD71B7" w:rsidRPr="004A68E6" w:rsidRDefault="00110063"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77777777" w:rsidR="0062202D" w:rsidRPr="004A68E6" w:rsidRDefault="000F3459" w:rsidP="008E097F">
            <w:pPr>
              <w:contextualSpacing/>
              <w:jc w:val="center"/>
              <w:rPr>
                <w:color w:val="000000" w:themeColor="text1"/>
                <w:sz w:val="22"/>
                <w:szCs w:val="22"/>
              </w:rPr>
            </w:pPr>
          </w:p>
          <w:p w14:paraId="78E7F317" w14:textId="77777777" w:rsidR="00AD71B7" w:rsidRPr="004A68E6" w:rsidRDefault="00110063"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0F3459" w:rsidP="008E097F">
            <w:pPr>
              <w:contextualSpacing/>
              <w:jc w:val="center"/>
              <w:rPr>
                <w:color w:val="000000" w:themeColor="text1"/>
                <w:sz w:val="22"/>
                <w:szCs w:val="22"/>
                <w:lang w:bidi="en-GB"/>
              </w:rPr>
            </w:pPr>
          </w:p>
          <w:p w14:paraId="78E7F319" w14:textId="77777777" w:rsidR="00AD71B7" w:rsidRPr="004A68E6" w:rsidRDefault="00110063"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0F3459"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C" w14:textId="77777777" w:rsidR="0062202D" w:rsidRPr="004A68E6" w:rsidRDefault="000F3459" w:rsidP="008E097F">
            <w:pPr>
              <w:keepNext/>
              <w:contextualSpacing/>
              <w:jc w:val="center"/>
              <w:rPr>
                <w:b/>
                <w:color w:val="000000" w:themeColor="text1"/>
                <w:sz w:val="22"/>
                <w:szCs w:val="22"/>
              </w:rPr>
            </w:pPr>
          </w:p>
          <w:p w14:paraId="78E7F31D" w14:textId="77777777" w:rsidR="00AD71B7" w:rsidRPr="004A68E6" w:rsidRDefault="00110063"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0F3459" w:rsidP="008E097F">
            <w:pPr>
              <w:keepNext/>
              <w:contextualSpacing/>
              <w:jc w:val="both"/>
              <w:rPr>
                <w:b/>
                <w:color w:val="000000" w:themeColor="text1"/>
                <w:sz w:val="22"/>
                <w:szCs w:val="22"/>
              </w:rPr>
            </w:pPr>
          </w:p>
          <w:p w14:paraId="78E7F31F" w14:textId="77777777" w:rsidR="0062202D" w:rsidRPr="004A68E6" w:rsidRDefault="000F3459" w:rsidP="008E097F">
            <w:pPr>
              <w:keepNext/>
              <w:contextualSpacing/>
              <w:jc w:val="both"/>
              <w:rPr>
                <w:b/>
                <w:color w:val="000000" w:themeColor="text1"/>
                <w:sz w:val="22"/>
                <w:szCs w:val="22"/>
              </w:rPr>
            </w:pPr>
          </w:p>
        </w:tc>
        <w:tc>
          <w:tcPr>
            <w:tcW w:w="4536" w:type="dxa"/>
          </w:tcPr>
          <w:p w14:paraId="78E7F320" w14:textId="77777777" w:rsidR="0062202D" w:rsidRPr="004A68E6" w:rsidRDefault="000F3459" w:rsidP="008E097F">
            <w:pPr>
              <w:contextualSpacing/>
              <w:jc w:val="center"/>
              <w:rPr>
                <w:b/>
                <w:color w:val="000000" w:themeColor="text1"/>
                <w:sz w:val="22"/>
                <w:szCs w:val="22"/>
                <w:lang w:bidi="en-GB"/>
              </w:rPr>
            </w:pPr>
          </w:p>
          <w:p w14:paraId="78E7F321" w14:textId="77777777" w:rsidR="00AD71B7" w:rsidRPr="004A68E6" w:rsidRDefault="00110063"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0F3459"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110063"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110063"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0F3459" w:rsidP="008E097F">
            <w:pPr>
              <w:keepNext/>
              <w:contextualSpacing/>
              <w:jc w:val="center"/>
              <w:rPr>
                <w:b/>
                <w:color w:val="000000" w:themeColor="text1"/>
                <w:sz w:val="22"/>
                <w:szCs w:val="22"/>
              </w:rPr>
            </w:pPr>
          </w:p>
        </w:tc>
        <w:tc>
          <w:tcPr>
            <w:tcW w:w="4536" w:type="dxa"/>
          </w:tcPr>
          <w:p w14:paraId="78E7F327" w14:textId="77777777" w:rsidR="00AD71B7" w:rsidRPr="004A68E6" w:rsidRDefault="00110063"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110063"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0F3459"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B" w14:textId="77777777" w:rsidR="00AD71B7" w:rsidRPr="004A68E6" w:rsidRDefault="00110063" w:rsidP="00EF6AF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AD71B7" w:rsidRPr="004A68E6" w:rsidRDefault="000F3459" w:rsidP="008E097F">
            <w:pPr>
              <w:contextualSpacing/>
              <w:jc w:val="both"/>
              <w:rPr>
                <w:b/>
                <w:color w:val="000000" w:themeColor="text1"/>
                <w:sz w:val="22"/>
                <w:szCs w:val="22"/>
              </w:rPr>
            </w:pPr>
          </w:p>
        </w:tc>
        <w:tc>
          <w:tcPr>
            <w:tcW w:w="4536" w:type="dxa"/>
          </w:tcPr>
          <w:p w14:paraId="1BF4E95A" w14:textId="77777777" w:rsidR="00AD71B7" w:rsidRPr="00E22E37" w:rsidRDefault="00110063" w:rsidP="00EF6AF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sidR="006D1F1B">
              <w:rPr>
                <w:color w:val="000000" w:themeColor="text1"/>
                <w:sz w:val="22"/>
                <w:szCs w:val="22"/>
                <w:lang w:bidi="en-GB"/>
              </w:rPr>
              <w:t xml:space="preserve"> </w:t>
            </w:r>
          </w:p>
          <w:p w14:paraId="7425E6B3" w14:textId="77777777" w:rsidR="00E22E37" w:rsidRDefault="00E22E37" w:rsidP="00E22E37">
            <w:pPr>
              <w:pStyle w:val="Odstavecseseznamem"/>
              <w:ind w:left="601"/>
              <w:contextualSpacing/>
              <w:jc w:val="both"/>
              <w:rPr>
                <w:b/>
                <w:color w:val="000000" w:themeColor="text1"/>
                <w:sz w:val="22"/>
                <w:szCs w:val="22"/>
                <w:lang w:bidi="en-GB"/>
              </w:rPr>
            </w:pPr>
          </w:p>
          <w:p w14:paraId="78E7F32E" w14:textId="1DA8EA01" w:rsidR="00E22E37" w:rsidRPr="004A68E6" w:rsidRDefault="00E22E37" w:rsidP="00E22E37">
            <w:pPr>
              <w:pStyle w:val="Odstavecseseznamem"/>
              <w:ind w:left="601"/>
              <w:contextualSpacing/>
              <w:jc w:val="both"/>
              <w:rPr>
                <w:b/>
                <w:color w:val="000000" w:themeColor="text1"/>
                <w:sz w:val="22"/>
                <w:szCs w:val="22"/>
                <w:lang w:bidi="en-GB"/>
              </w:rPr>
            </w:pPr>
          </w:p>
        </w:tc>
      </w:tr>
      <w:tr w:rsidR="008E097F" w:rsidRPr="004A68E6" w14:paraId="78E7F333" w14:textId="77777777" w:rsidTr="00365E1A">
        <w:tc>
          <w:tcPr>
            <w:tcW w:w="4536" w:type="dxa"/>
          </w:tcPr>
          <w:p w14:paraId="78E7F330" w14:textId="77777777" w:rsidR="00AD71B7" w:rsidRPr="004A68E6" w:rsidRDefault="00110063" w:rsidP="00EF6AF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4A68E6" w:rsidRDefault="000F3459" w:rsidP="008E097F">
            <w:pPr>
              <w:contextualSpacing/>
              <w:jc w:val="both"/>
              <w:rPr>
                <w:b/>
                <w:color w:val="000000" w:themeColor="text1"/>
                <w:sz w:val="22"/>
                <w:szCs w:val="22"/>
              </w:rPr>
            </w:pPr>
          </w:p>
        </w:tc>
        <w:tc>
          <w:tcPr>
            <w:tcW w:w="4536" w:type="dxa"/>
          </w:tcPr>
          <w:p w14:paraId="78E7F332" w14:textId="77777777" w:rsidR="00AD71B7" w:rsidRPr="004A68E6" w:rsidRDefault="00110063" w:rsidP="00EF6AF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E097F" w:rsidRPr="004A68E6" w14:paraId="78E7F338" w14:textId="77777777" w:rsidTr="00365E1A">
        <w:tc>
          <w:tcPr>
            <w:tcW w:w="4536" w:type="dxa"/>
          </w:tcPr>
          <w:p w14:paraId="78E7F334" w14:textId="77777777" w:rsidR="00AD71B7" w:rsidRPr="004A68E6" w:rsidRDefault="00110063" w:rsidP="00EF6AFE">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0F3459" w:rsidP="008E097F">
            <w:pPr>
              <w:ind w:left="596" w:hanging="596"/>
              <w:contextualSpacing/>
              <w:jc w:val="both"/>
              <w:rPr>
                <w:b/>
                <w:color w:val="000000" w:themeColor="text1"/>
                <w:sz w:val="22"/>
                <w:szCs w:val="22"/>
              </w:rPr>
            </w:pPr>
          </w:p>
          <w:p w14:paraId="78E7F336" w14:textId="77777777" w:rsidR="0062202D" w:rsidRPr="004A68E6" w:rsidRDefault="000F3459"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110063" w:rsidP="00EF6AFE">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0F3459" w:rsidP="008E097F">
            <w:pPr>
              <w:contextualSpacing/>
              <w:jc w:val="center"/>
              <w:rPr>
                <w:b/>
                <w:color w:val="000000" w:themeColor="text1"/>
                <w:sz w:val="22"/>
                <w:szCs w:val="22"/>
              </w:rPr>
            </w:pPr>
          </w:p>
        </w:tc>
        <w:tc>
          <w:tcPr>
            <w:tcW w:w="4536" w:type="dxa"/>
          </w:tcPr>
          <w:p w14:paraId="78E7F33C"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0F3459"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110063" w:rsidP="00EF6AFE">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110063" w:rsidP="00EF6AFE">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0F3459"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0F3459"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0F3459"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0F3459"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0F3459"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0F3459"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0F3459"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0F3459"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110063"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0F3459" w:rsidP="008E097F">
            <w:pPr>
              <w:pStyle w:val="Zkladntext2"/>
              <w:ind w:left="596" w:hanging="567"/>
              <w:contextualSpacing/>
              <w:rPr>
                <w:color w:val="000000" w:themeColor="text1"/>
                <w:sz w:val="22"/>
                <w:szCs w:val="22"/>
              </w:rPr>
            </w:pPr>
          </w:p>
          <w:p w14:paraId="78E7F359" w14:textId="77777777" w:rsidR="00557FD4" w:rsidRPr="004A68E6" w:rsidRDefault="000F3459" w:rsidP="008E097F">
            <w:pPr>
              <w:pStyle w:val="Zkladntext2"/>
              <w:ind w:left="596" w:hanging="567"/>
              <w:contextualSpacing/>
              <w:rPr>
                <w:color w:val="000000" w:themeColor="text1"/>
                <w:sz w:val="22"/>
                <w:szCs w:val="22"/>
              </w:rPr>
            </w:pPr>
          </w:p>
          <w:p w14:paraId="78E7F35A" w14:textId="77777777" w:rsidR="00557FD4" w:rsidRPr="004A68E6" w:rsidDel="00D5509C" w:rsidRDefault="000F3459" w:rsidP="008E097F">
            <w:pPr>
              <w:pStyle w:val="Zkladntext2"/>
              <w:ind w:left="596" w:hanging="567"/>
              <w:contextualSpacing/>
              <w:rPr>
                <w:color w:val="000000" w:themeColor="text1"/>
                <w:sz w:val="22"/>
                <w:szCs w:val="22"/>
              </w:rPr>
            </w:pPr>
          </w:p>
        </w:tc>
        <w:tc>
          <w:tcPr>
            <w:tcW w:w="4536" w:type="dxa"/>
          </w:tcPr>
          <w:p w14:paraId="78E7F35B" w14:textId="77777777" w:rsidR="00AD71B7" w:rsidRPr="004A68E6" w:rsidDel="00D5509C" w:rsidRDefault="00110063"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61" w14:textId="77777777" w:rsidTr="00365E1A">
        <w:tc>
          <w:tcPr>
            <w:tcW w:w="4536" w:type="dxa"/>
          </w:tcPr>
          <w:p w14:paraId="78E7F35D" w14:textId="77777777" w:rsidR="00AD71B7" w:rsidRPr="007A5B66" w:rsidRDefault="00110063" w:rsidP="00EF6AFE">
            <w:pPr>
              <w:pStyle w:val="Zkladntext2"/>
              <w:numPr>
                <w:ilvl w:val="0"/>
                <w:numId w:val="7"/>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0F3459" w:rsidP="008E097F">
            <w:pPr>
              <w:pStyle w:val="Zkladntext2"/>
              <w:ind w:left="29"/>
              <w:contextualSpacing/>
              <w:rPr>
                <w:color w:val="000000" w:themeColor="text1"/>
                <w:sz w:val="22"/>
                <w:szCs w:val="22"/>
              </w:rPr>
            </w:pPr>
          </w:p>
          <w:p w14:paraId="78E7F35F" w14:textId="77777777" w:rsidR="005C2C06" w:rsidRPr="004A68E6" w:rsidDel="00D5509C" w:rsidRDefault="000F3459"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110063" w:rsidP="00EF6AFE">
            <w:pPr>
              <w:pStyle w:val="Zkladntext2"/>
              <w:numPr>
                <w:ilvl w:val="0"/>
                <w:numId w:val="8"/>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gramStart"/>
            <w:r w:rsidRPr="004A68E6">
              <w:rPr>
                <w:color w:val="000000" w:themeColor="text1"/>
                <w:sz w:val="22"/>
                <w:szCs w:val="22"/>
                <w:lang w:bidi="en-GB"/>
              </w:rPr>
              <w:t>30-days</w:t>
            </w:r>
            <w:proofErr w:type="gram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0F3459" w:rsidP="008E097F">
            <w:pPr>
              <w:pStyle w:val="Zkladntext2"/>
              <w:contextualSpacing/>
              <w:rPr>
                <w:color w:val="000000" w:themeColor="text1"/>
                <w:sz w:val="22"/>
                <w:szCs w:val="22"/>
              </w:rPr>
            </w:pPr>
          </w:p>
        </w:tc>
        <w:tc>
          <w:tcPr>
            <w:tcW w:w="4536" w:type="dxa"/>
          </w:tcPr>
          <w:p w14:paraId="78E7F365"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110063"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0F3459"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110063" w:rsidP="00EF6AFE">
            <w:pPr>
              <w:pStyle w:val="Zkladntext2"/>
              <w:numPr>
                <w:ilvl w:val="0"/>
                <w:numId w:val="9"/>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0F3459"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0F3459"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0F3459"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0F3459"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0F3459"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0F3459" w:rsidP="008E097F">
            <w:pPr>
              <w:pStyle w:val="Zkladntext2"/>
              <w:ind w:left="26"/>
              <w:contextualSpacing/>
              <w:rPr>
                <w:color w:val="000000" w:themeColor="text1"/>
                <w:sz w:val="22"/>
                <w:szCs w:val="22"/>
              </w:rPr>
            </w:pPr>
          </w:p>
          <w:p w14:paraId="78E7F37C" w14:textId="77777777" w:rsidR="00AD71B7" w:rsidRPr="004A68E6" w:rsidRDefault="000F3459"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110063" w:rsidP="00EF6AFE">
            <w:pPr>
              <w:pStyle w:val="Zkladntext2"/>
              <w:numPr>
                <w:ilvl w:val="0"/>
                <w:numId w:val="18"/>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0F3459" w:rsidP="008E097F">
            <w:pPr>
              <w:pStyle w:val="Zkladntext2"/>
              <w:ind w:left="601"/>
              <w:contextualSpacing/>
              <w:rPr>
                <w:color w:val="000000" w:themeColor="text1"/>
                <w:sz w:val="22"/>
                <w:szCs w:val="22"/>
              </w:rPr>
            </w:pPr>
          </w:p>
          <w:p w14:paraId="78E7F37F" w14:textId="77777777" w:rsidR="00AD71B7" w:rsidRPr="004A68E6" w:rsidRDefault="000F3459"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0F3459" w:rsidP="008E097F">
            <w:pPr>
              <w:pStyle w:val="Zkladntext2"/>
              <w:ind w:left="26"/>
              <w:contextualSpacing/>
              <w:rPr>
                <w:color w:val="000000" w:themeColor="text1"/>
                <w:sz w:val="22"/>
                <w:szCs w:val="22"/>
              </w:rPr>
            </w:pPr>
          </w:p>
          <w:p w14:paraId="78E7F383" w14:textId="77777777" w:rsidR="00793431" w:rsidRPr="004A68E6" w:rsidRDefault="000F3459"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110063" w:rsidP="00EF6AFE">
            <w:pPr>
              <w:pStyle w:val="Zkladntext2"/>
              <w:numPr>
                <w:ilvl w:val="0"/>
                <w:numId w:val="19"/>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0F3459"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110063" w:rsidP="00EF6AFE">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AD71B7" w:rsidRPr="004A68E6" w:rsidRDefault="00110063"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6A1E54" w:rsidRPr="004A68E6" w:rsidRDefault="000F3459" w:rsidP="008E097F">
            <w:pPr>
              <w:pStyle w:val="Zkladntext2"/>
              <w:ind w:left="601"/>
              <w:contextualSpacing/>
              <w:rPr>
                <w:color w:val="000000" w:themeColor="text1"/>
                <w:sz w:val="22"/>
                <w:szCs w:val="22"/>
              </w:rPr>
            </w:pPr>
          </w:p>
          <w:p w14:paraId="78E7F38A" w14:textId="77777777" w:rsidR="006A1E54" w:rsidRPr="004A68E6" w:rsidRDefault="000F3459" w:rsidP="008E097F">
            <w:pPr>
              <w:pStyle w:val="Zkladntext2"/>
              <w:ind w:left="601"/>
              <w:contextualSpacing/>
              <w:rPr>
                <w:color w:val="000000" w:themeColor="text1"/>
                <w:sz w:val="22"/>
                <w:szCs w:val="22"/>
              </w:rPr>
            </w:pPr>
          </w:p>
          <w:p w14:paraId="78E7F38B" w14:textId="77777777" w:rsidR="00AD71B7" w:rsidRPr="004A68E6" w:rsidRDefault="000F3459"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110063" w:rsidP="00EF6AFE">
            <w:pPr>
              <w:pStyle w:val="Zkladntext2"/>
              <w:numPr>
                <w:ilvl w:val="0"/>
                <w:numId w:val="20"/>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AD71B7" w:rsidRPr="004A68E6" w:rsidRDefault="00110063"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AD71B7" w:rsidRPr="004A68E6" w:rsidRDefault="000F3459" w:rsidP="008E097F">
            <w:pPr>
              <w:pStyle w:val="Zkladntext2"/>
              <w:ind w:left="34"/>
              <w:contextualSpacing/>
              <w:rPr>
                <w:color w:val="000000" w:themeColor="text1"/>
                <w:sz w:val="22"/>
                <w:szCs w:val="22"/>
                <w:lang w:bidi="en-GB"/>
              </w:rPr>
            </w:pPr>
          </w:p>
        </w:tc>
      </w:tr>
      <w:tr w:rsidR="008E097F" w:rsidRPr="004A68E6" w14:paraId="78E7F395" w14:textId="77777777" w:rsidTr="00365E1A">
        <w:tc>
          <w:tcPr>
            <w:tcW w:w="4536" w:type="dxa"/>
          </w:tcPr>
          <w:p w14:paraId="78E7F390"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0F3459" w:rsidP="008E097F">
            <w:pPr>
              <w:pStyle w:val="Zkladntext2"/>
              <w:ind w:left="26"/>
              <w:contextualSpacing/>
              <w:rPr>
                <w:color w:val="000000" w:themeColor="text1"/>
                <w:sz w:val="22"/>
                <w:szCs w:val="22"/>
              </w:rPr>
            </w:pPr>
          </w:p>
          <w:p w14:paraId="78E7F392" w14:textId="77777777" w:rsidR="00AD71B7" w:rsidRPr="004A68E6" w:rsidRDefault="000F3459" w:rsidP="008E097F">
            <w:pPr>
              <w:pStyle w:val="Zkladntext2"/>
              <w:ind w:left="26"/>
              <w:contextualSpacing/>
              <w:rPr>
                <w:color w:val="000000" w:themeColor="text1"/>
                <w:sz w:val="22"/>
                <w:szCs w:val="22"/>
              </w:rPr>
            </w:pPr>
          </w:p>
          <w:p w14:paraId="78E7F393" w14:textId="77777777" w:rsidR="00AD71B7" w:rsidRPr="004A68E6" w:rsidRDefault="000F3459"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110063" w:rsidP="00EF6AFE">
            <w:pPr>
              <w:pStyle w:val="Zkladntext2"/>
              <w:numPr>
                <w:ilvl w:val="0"/>
                <w:numId w:val="21"/>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0F3459" w:rsidP="008E097F">
            <w:pPr>
              <w:pStyle w:val="Zkladntext2"/>
              <w:contextualSpacing/>
              <w:rPr>
                <w:color w:val="000000" w:themeColor="text1"/>
                <w:sz w:val="22"/>
                <w:szCs w:val="22"/>
              </w:rPr>
            </w:pPr>
          </w:p>
        </w:tc>
        <w:tc>
          <w:tcPr>
            <w:tcW w:w="4536" w:type="dxa"/>
          </w:tcPr>
          <w:p w14:paraId="78E7F399"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110063"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0F3459"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110063" w:rsidP="00EF6AF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 xml:space="preserve">Smluvní strany souhlasně prohlašují, že touto smlouvou není </w:t>
            </w:r>
            <w:proofErr w:type="gramStart"/>
            <w:r w:rsidRPr="004A68E6">
              <w:rPr>
                <w:color w:val="000000" w:themeColor="text1"/>
                <w:sz w:val="22"/>
                <w:szCs w:val="22"/>
              </w:rPr>
              <w:t>Odběratel</w:t>
            </w:r>
            <w:proofErr w:type="gramEnd"/>
            <w:r w:rsidRPr="004A68E6">
              <w:rPr>
                <w:color w:val="000000" w:themeColor="text1"/>
                <w:sz w:val="22"/>
                <w:szCs w:val="22"/>
              </w:rPr>
              <w:t xml:space="preserve"> jakkoliv zavázán odebírat Výrobky, a to v jakémkoli objemu a nadále disponuje absolutní smluvní volností co do výběru Výrobků i co do výběru jejich dodavatelů.</w:t>
            </w:r>
          </w:p>
          <w:p w14:paraId="78E7F39E" w14:textId="77777777" w:rsidR="00AD71B7" w:rsidRPr="004A68E6" w:rsidRDefault="000F3459"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110063" w:rsidP="00EF6AF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0F3459"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110063" w:rsidP="00EF6AF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110063" w:rsidP="00EF6AF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0F3459"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0F3459"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110063"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0F3459"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0F3459"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AD71B7" w:rsidRPr="004A68E6" w:rsidRDefault="000F3459"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AD71B7" w:rsidRPr="004A68E6" w:rsidRDefault="000F3459"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0F3459"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0F3459"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0F3459"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0F3459"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0F3459"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110063" w:rsidP="00EF6AFE">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0F3459"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110063" w:rsidP="00EF6AFE">
            <w:pPr>
              <w:pStyle w:val="Zkladntext2"/>
              <w:numPr>
                <w:ilvl w:val="0"/>
                <w:numId w:val="13"/>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0F3459"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0F3459" w:rsidP="008E097F">
            <w:pPr>
              <w:pStyle w:val="Zkladntext2"/>
              <w:contextualSpacing/>
              <w:rPr>
                <w:color w:val="000000" w:themeColor="text1"/>
                <w:sz w:val="22"/>
                <w:szCs w:val="22"/>
              </w:rPr>
            </w:pPr>
          </w:p>
        </w:tc>
        <w:tc>
          <w:tcPr>
            <w:tcW w:w="4536" w:type="dxa"/>
          </w:tcPr>
          <w:p w14:paraId="78E7F3D1"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0F3459"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0F3459" w:rsidP="008E097F">
            <w:pPr>
              <w:pStyle w:val="Zkladntext2"/>
              <w:contextualSpacing/>
              <w:rPr>
                <w:color w:val="000000" w:themeColor="text1"/>
                <w:sz w:val="22"/>
                <w:szCs w:val="22"/>
              </w:rPr>
            </w:pPr>
          </w:p>
          <w:p w14:paraId="78E7F3D6" w14:textId="77777777" w:rsidR="00AF68CE" w:rsidRPr="004A68E6" w:rsidRDefault="000F3459" w:rsidP="008E097F">
            <w:pPr>
              <w:pStyle w:val="Zkladntext2"/>
              <w:contextualSpacing/>
              <w:rPr>
                <w:color w:val="000000" w:themeColor="text1"/>
                <w:sz w:val="22"/>
                <w:szCs w:val="22"/>
              </w:rPr>
            </w:pPr>
          </w:p>
          <w:p w14:paraId="78E7F3D7" w14:textId="77777777" w:rsidR="00AF68CE" w:rsidRPr="004A68E6" w:rsidRDefault="000F3459" w:rsidP="008E097F">
            <w:pPr>
              <w:pStyle w:val="Zkladntext2"/>
              <w:contextualSpacing/>
              <w:rPr>
                <w:color w:val="000000" w:themeColor="text1"/>
                <w:sz w:val="22"/>
                <w:szCs w:val="22"/>
              </w:rPr>
            </w:pPr>
          </w:p>
          <w:p w14:paraId="78E7F3D8" w14:textId="77777777" w:rsidR="00AF68CE" w:rsidRPr="004A68E6" w:rsidRDefault="000F3459" w:rsidP="008E097F">
            <w:pPr>
              <w:pStyle w:val="Zkladntext2"/>
              <w:contextualSpacing/>
              <w:rPr>
                <w:color w:val="000000" w:themeColor="text1"/>
                <w:sz w:val="22"/>
                <w:szCs w:val="22"/>
              </w:rPr>
            </w:pPr>
          </w:p>
        </w:tc>
        <w:tc>
          <w:tcPr>
            <w:tcW w:w="4536" w:type="dxa"/>
          </w:tcPr>
          <w:p w14:paraId="78E7F3D9" w14:textId="77777777" w:rsidR="00AD71B7" w:rsidRPr="004A68E6" w:rsidRDefault="00110063" w:rsidP="00EF6AFE">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AD71B7" w:rsidRPr="004A68E6" w:rsidRDefault="00110063" w:rsidP="00EF6AFE">
            <w:pPr>
              <w:pStyle w:val="Zkladntext2"/>
              <w:numPr>
                <w:ilvl w:val="0"/>
                <w:numId w:val="12"/>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1" w14:textId="77777777" w:rsidR="006E64F5" w:rsidRPr="004A68E6" w:rsidRDefault="000F3459" w:rsidP="008E097F">
            <w:pPr>
              <w:pStyle w:val="Zkladntext2"/>
              <w:contextualSpacing/>
              <w:rPr>
                <w:color w:val="000000" w:themeColor="text1"/>
                <w:sz w:val="22"/>
                <w:szCs w:val="22"/>
              </w:rPr>
            </w:pPr>
          </w:p>
        </w:tc>
        <w:tc>
          <w:tcPr>
            <w:tcW w:w="4536" w:type="dxa"/>
          </w:tcPr>
          <w:p w14:paraId="78E7F3E2"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0F3459" w:rsidP="008E097F">
            <w:pPr>
              <w:pStyle w:val="Zkladntext2"/>
              <w:contextualSpacing/>
              <w:rPr>
                <w:color w:val="000000" w:themeColor="text1"/>
                <w:sz w:val="22"/>
                <w:szCs w:val="22"/>
              </w:rPr>
            </w:pPr>
          </w:p>
        </w:tc>
        <w:tc>
          <w:tcPr>
            <w:tcW w:w="4536" w:type="dxa"/>
          </w:tcPr>
          <w:p w14:paraId="78E7F3E8"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0F3459"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0F3459"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110063" w:rsidP="00EF6AF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110063" w:rsidP="00EF6AF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0F3459" w:rsidP="008E097F">
            <w:pPr>
              <w:pStyle w:val="Zkladntext2"/>
              <w:ind w:left="596" w:hanging="596"/>
              <w:contextualSpacing/>
              <w:rPr>
                <w:color w:val="000000" w:themeColor="text1"/>
                <w:sz w:val="22"/>
                <w:szCs w:val="22"/>
              </w:rPr>
            </w:pPr>
          </w:p>
          <w:p w14:paraId="78E7F3F6" w14:textId="77777777" w:rsidR="00714D71" w:rsidRPr="004A68E6" w:rsidRDefault="000F3459" w:rsidP="008E097F">
            <w:pPr>
              <w:pStyle w:val="Zkladntext2"/>
              <w:ind w:left="596" w:hanging="596"/>
              <w:contextualSpacing/>
              <w:rPr>
                <w:color w:val="000000" w:themeColor="text1"/>
                <w:sz w:val="22"/>
                <w:szCs w:val="22"/>
              </w:rPr>
            </w:pPr>
          </w:p>
          <w:p w14:paraId="78E7F3F7" w14:textId="77777777" w:rsidR="00FF5478" w:rsidRPr="004A68E6" w:rsidRDefault="000F3459" w:rsidP="008E097F">
            <w:pPr>
              <w:pStyle w:val="Zkladntext2"/>
              <w:ind w:left="596" w:hanging="596"/>
              <w:contextualSpacing/>
              <w:rPr>
                <w:color w:val="000000" w:themeColor="text1"/>
                <w:sz w:val="22"/>
                <w:szCs w:val="22"/>
              </w:rPr>
            </w:pPr>
          </w:p>
          <w:p w14:paraId="78E7F3F8" w14:textId="77777777" w:rsidR="001C5C86" w:rsidRPr="004A68E6" w:rsidRDefault="000F3459"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110063" w:rsidP="00EF6AFE">
            <w:pPr>
              <w:pStyle w:val="Zkladntext"/>
              <w:numPr>
                <w:ilvl w:val="0"/>
                <w:numId w:val="15"/>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0F3459" w:rsidP="008E097F">
            <w:pPr>
              <w:pStyle w:val="Zkladntext2"/>
              <w:ind w:left="601" w:hanging="601"/>
              <w:contextualSpacing/>
              <w:rPr>
                <w:color w:val="000000" w:themeColor="text1"/>
                <w:sz w:val="22"/>
                <w:szCs w:val="22"/>
                <w:lang w:bidi="en-GB"/>
              </w:rPr>
            </w:pPr>
          </w:p>
          <w:p w14:paraId="78E7F3FB" w14:textId="77777777" w:rsidR="006E64F5" w:rsidRPr="004A68E6" w:rsidRDefault="000F3459"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0F3459" w:rsidP="008E097F">
            <w:pPr>
              <w:pStyle w:val="Zkladntext2"/>
              <w:contextualSpacing/>
              <w:rPr>
                <w:color w:val="000000" w:themeColor="text1"/>
                <w:sz w:val="22"/>
                <w:szCs w:val="22"/>
              </w:rPr>
            </w:pPr>
          </w:p>
        </w:tc>
        <w:tc>
          <w:tcPr>
            <w:tcW w:w="4536" w:type="dxa"/>
          </w:tcPr>
          <w:p w14:paraId="78E7F400"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0F3459"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0F3459"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110063" w:rsidP="00EF6AFE">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AD71B7" w:rsidRPr="004A68E6" w:rsidRDefault="000F3459"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110063"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AD71B7" w:rsidRPr="004A68E6" w:rsidRDefault="000F3459"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0F3459"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AD71B7" w:rsidRPr="004A68E6" w:rsidRDefault="000F3459" w:rsidP="008E097F">
            <w:pPr>
              <w:pStyle w:val="Zkladntext2"/>
              <w:ind w:left="29"/>
              <w:contextualSpacing/>
              <w:rPr>
                <w:color w:val="000000" w:themeColor="text1"/>
                <w:sz w:val="22"/>
                <w:szCs w:val="22"/>
              </w:rPr>
            </w:pPr>
          </w:p>
        </w:tc>
        <w:tc>
          <w:tcPr>
            <w:tcW w:w="4536" w:type="dxa"/>
          </w:tcPr>
          <w:p w14:paraId="78E7F420"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0F3459"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77AF39A8" w:rsidR="00D26D10" w:rsidRPr="004A68E6" w:rsidRDefault="00110063" w:rsidP="00EF6AFE">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Smluvní strany se současně dohodly, že práva a povinnosti případně vzniklé z plnění a právních poměrů v rámci předmětu a rozsahu úpravy této smlouvy, k nimž došlo před nabytím účinnosti této smlouvy v době ode dne</w:t>
            </w:r>
            <w:r w:rsidR="001B30DD">
              <w:rPr>
                <w:color w:val="000000" w:themeColor="text1"/>
                <w:sz w:val="22"/>
                <w:szCs w:val="22"/>
              </w:rPr>
              <w:t xml:space="preserve"> </w:t>
            </w:r>
            <w:r w:rsidR="001B30DD" w:rsidRPr="002429CD">
              <w:rPr>
                <w:color w:val="000000" w:themeColor="text1"/>
                <w:sz w:val="22"/>
                <w:szCs w:val="22"/>
              </w:rPr>
              <w:t>01.04.2</w:t>
            </w:r>
            <w:r w:rsidR="009F2680" w:rsidRPr="002429CD">
              <w:rPr>
                <w:color w:val="000000" w:themeColor="text1"/>
                <w:sz w:val="22"/>
                <w:szCs w:val="22"/>
              </w:rPr>
              <w:t>0</w:t>
            </w:r>
            <w:r w:rsidR="001B30DD" w:rsidRPr="002429CD">
              <w:rPr>
                <w:color w:val="000000" w:themeColor="text1"/>
                <w:sz w:val="22"/>
                <w:szCs w:val="22"/>
              </w:rPr>
              <w:t>2</w:t>
            </w:r>
            <w:r w:rsidR="009F2680" w:rsidRPr="002429CD">
              <w:rPr>
                <w:color w:val="000000" w:themeColor="text1"/>
                <w:sz w:val="22"/>
                <w:szCs w:val="22"/>
              </w:rPr>
              <w:t>2</w:t>
            </w:r>
            <w:r w:rsidRPr="002429CD">
              <w:rPr>
                <w:color w:val="000000" w:themeColor="text1"/>
                <w:sz w:val="22"/>
                <w:szCs w:val="22"/>
              </w:rPr>
              <w:t>,</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4A68E6" w:rsidRDefault="000F3459" w:rsidP="008E097F">
            <w:pPr>
              <w:pStyle w:val="Zkladntext2"/>
              <w:contextualSpacing/>
              <w:rPr>
                <w:color w:val="000000" w:themeColor="text1"/>
                <w:sz w:val="22"/>
                <w:szCs w:val="22"/>
              </w:rPr>
            </w:pPr>
          </w:p>
        </w:tc>
        <w:tc>
          <w:tcPr>
            <w:tcW w:w="4536" w:type="dxa"/>
          </w:tcPr>
          <w:p w14:paraId="78E7F425" w14:textId="7E1D1732" w:rsidR="00D26D10"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1B30DD" w:rsidRPr="002429CD">
              <w:rPr>
                <w:color w:val="000000" w:themeColor="text1"/>
                <w:sz w:val="22"/>
                <w:szCs w:val="22"/>
              </w:rPr>
              <w:t>01.04.2</w:t>
            </w:r>
            <w:r w:rsidR="009F2680" w:rsidRPr="002429CD">
              <w:rPr>
                <w:color w:val="000000" w:themeColor="text1"/>
                <w:sz w:val="22"/>
                <w:szCs w:val="22"/>
              </w:rPr>
              <w:t>0</w:t>
            </w:r>
            <w:r w:rsidR="001B30DD" w:rsidRPr="002429CD">
              <w:rPr>
                <w:color w:val="000000" w:themeColor="text1"/>
                <w:sz w:val="22"/>
                <w:szCs w:val="22"/>
              </w:rPr>
              <w:t>2</w:t>
            </w:r>
            <w:r w:rsidR="009F2680" w:rsidRPr="002429CD">
              <w:rPr>
                <w:color w:val="000000" w:themeColor="text1"/>
                <w:sz w:val="22"/>
                <w:szCs w:val="22"/>
              </w:rPr>
              <w:t>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D26D10" w:rsidRPr="004A68E6" w:rsidRDefault="000F3459"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8" w14:textId="77777777" w:rsidR="00D26D10"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D26D10" w:rsidRPr="004A68E6" w:rsidRDefault="000F3459" w:rsidP="008E097F">
            <w:pPr>
              <w:pStyle w:val="Zkladntext2"/>
              <w:ind w:left="596"/>
              <w:contextualSpacing/>
              <w:rPr>
                <w:color w:val="000000" w:themeColor="text1"/>
                <w:sz w:val="22"/>
                <w:szCs w:val="22"/>
              </w:rPr>
            </w:pPr>
          </w:p>
        </w:tc>
        <w:tc>
          <w:tcPr>
            <w:tcW w:w="4536" w:type="dxa"/>
          </w:tcPr>
          <w:p w14:paraId="78E7F42A" w14:textId="77777777" w:rsidR="00D26D10" w:rsidRPr="004A68E6" w:rsidRDefault="00110063" w:rsidP="00EF6AF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BE1F31" w:rsidRPr="004A68E6" w:rsidRDefault="000F3459" w:rsidP="00BE1F31">
            <w:pPr>
              <w:pStyle w:val="Zkladntext2"/>
              <w:ind w:left="601"/>
              <w:contextualSpacing/>
              <w:rPr>
                <w:color w:val="000000" w:themeColor="text1"/>
                <w:sz w:val="22"/>
                <w:szCs w:val="22"/>
                <w:lang w:bidi="en-GB"/>
              </w:rPr>
            </w:pPr>
          </w:p>
        </w:tc>
      </w:tr>
      <w:tr w:rsidR="008E097F" w:rsidRPr="004A68E6" w14:paraId="78E7F432" w14:textId="77777777" w:rsidTr="00365E1A">
        <w:tc>
          <w:tcPr>
            <w:tcW w:w="4536" w:type="dxa"/>
          </w:tcPr>
          <w:p w14:paraId="78E7F42D" w14:textId="77777777" w:rsidR="006E18AF"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0F3459" w:rsidP="008E097F">
            <w:pPr>
              <w:pStyle w:val="Zkladntext2"/>
              <w:ind w:left="601"/>
              <w:contextualSpacing/>
              <w:rPr>
                <w:color w:val="000000" w:themeColor="text1"/>
                <w:sz w:val="22"/>
                <w:szCs w:val="22"/>
              </w:rPr>
            </w:pPr>
          </w:p>
          <w:p w14:paraId="78E7F42F" w14:textId="77777777" w:rsidR="006F1DD6" w:rsidRPr="004A68E6" w:rsidRDefault="000F3459" w:rsidP="008E097F">
            <w:pPr>
              <w:pStyle w:val="Zkladntext2"/>
              <w:contextualSpacing/>
              <w:rPr>
                <w:color w:val="000000" w:themeColor="text1"/>
                <w:sz w:val="22"/>
                <w:szCs w:val="22"/>
              </w:rPr>
            </w:pPr>
          </w:p>
        </w:tc>
        <w:tc>
          <w:tcPr>
            <w:tcW w:w="4536" w:type="dxa"/>
          </w:tcPr>
          <w:p w14:paraId="78E7F430" w14:textId="77777777" w:rsidR="00AD71B7" w:rsidRPr="004A68E6" w:rsidRDefault="00110063" w:rsidP="00EF6AF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0F3459" w:rsidP="00BE1F31">
            <w:pPr>
              <w:pStyle w:val="Zkladntext2"/>
              <w:ind w:left="601"/>
              <w:contextualSpacing/>
              <w:rPr>
                <w:color w:val="000000" w:themeColor="text1"/>
                <w:sz w:val="22"/>
                <w:szCs w:val="22"/>
                <w:lang w:bidi="en-GB"/>
              </w:rPr>
            </w:pPr>
          </w:p>
        </w:tc>
      </w:tr>
      <w:tr w:rsidR="008E097F" w:rsidRPr="004A68E6" w14:paraId="78E7F445" w14:textId="77777777" w:rsidTr="00365E1A">
        <w:tc>
          <w:tcPr>
            <w:tcW w:w="4536" w:type="dxa"/>
          </w:tcPr>
          <w:p w14:paraId="78E7F441" w14:textId="77777777" w:rsidR="00AD71B7" w:rsidRDefault="00110063" w:rsidP="00EF6AFE">
            <w:pPr>
              <w:pStyle w:val="Zkladntext2"/>
              <w:numPr>
                <w:ilvl w:val="0"/>
                <w:numId w:val="2"/>
              </w:numPr>
              <w:ind w:left="599" w:hanging="599"/>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B471A5" w:rsidRDefault="000F3459" w:rsidP="00B471A5">
            <w:pPr>
              <w:pStyle w:val="Zkladntext2"/>
              <w:contextualSpacing/>
              <w:rPr>
                <w:color w:val="000000" w:themeColor="text1"/>
                <w:sz w:val="22"/>
                <w:szCs w:val="22"/>
              </w:rPr>
            </w:pPr>
          </w:p>
          <w:p w14:paraId="78E7F443" w14:textId="77777777" w:rsidR="00B471A5" w:rsidRPr="004A68E6" w:rsidRDefault="000F3459" w:rsidP="00B471A5">
            <w:pPr>
              <w:pStyle w:val="Zkladntext2"/>
              <w:contextualSpacing/>
              <w:rPr>
                <w:color w:val="000000" w:themeColor="text1"/>
                <w:sz w:val="22"/>
                <w:szCs w:val="22"/>
              </w:rPr>
            </w:pPr>
          </w:p>
        </w:tc>
        <w:tc>
          <w:tcPr>
            <w:tcW w:w="4536" w:type="dxa"/>
          </w:tcPr>
          <w:p w14:paraId="78E7F444" w14:textId="77777777" w:rsidR="006E64F5" w:rsidRPr="004A68E6" w:rsidRDefault="00110063" w:rsidP="00EF6AFE">
            <w:pPr>
              <w:pStyle w:val="Zkladntext2"/>
              <w:numPr>
                <w:ilvl w:val="0"/>
                <w:numId w:val="22"/>
              </w:numPr>
              <w:ind w:left="605"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365E1A" w:rsidRPr="004A68E6" w14:paraId="78E7F44D" w14:textId="77777777" w:rsidTr="00365E1A">
        <w:tc>
          <w:tcPr>
            <w:tcW w:w="4536" w:type="dxa"/>
          </w:tcPr>
          <w:p w14:paraId="78E7F447" w14:textId="77777777" w:rsidR="00B471A5" w:rsidRPr="004A68E6" w:rsidRDefault="000F3459" w:rsidP="008E097F">
            <w:pPr>
              <w:pStyle w:val="Zkladntext2"/>
              <w:ind w:left="601" w:hanging="601"/>
              <w:contextualSpacing/>
              <w:rPr>
                <w:b/>
                <w:color w:val="000000" w:themeColor="text1"/>
                <w:sz w:val="22"/>
                <w:szCs w:val="22"/>
              </w:rPr>
            </w:pPr>
          </w:p>
          <w:p w14:paraId="78E7F448" w14:textId="39665D42" w:rsidR="00365E1A" w:rsidRPr="004A68E6" w:rsidRDefault="00110063"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F3459">
              <w:rPr>
                <w:b/>
                <w:color w:val="000000" w:themeColor="text1"/>
                <w:sz w:val="22"/>
                <w:szCs w:val="22"/>
              </w:rPr>
              <w:t>30. 6. 2022</w:t>
            </w:r>
          </w:p>
          <w:p w14:paraId="78E7F449" w14:textId="77777777" w:rsidR="006E64F5" w:rsidRPr="004A68E6" w:rsidRDefault="000F3459" w:rsidP="008E097F">
            <w:pPr>
              <w:pStyle w:val="Zkladntext2"/>
              <w:ind w:left="601" w:hanging="601"/>
              <w:contextualSpacing/>
              <w:rPr>
                <w:color w:val="000000" w:themeColor="text1"/>
                <w:sz w:val="22"/>
                <w:szCs w:val="22"/>
              </w:rPr>
            </w:pPr>
          </w:p>
        </w:tc>
        <w:tc>
          <w:tcPr>
            <w:tcW w:w="4536" w:type="dxa"/>
          </w:tcPr>
          <w:p w14:paraId="78E7F44B" w14:textId="77777777" w:rsidR="00B471A5" w:rsidRPr="004A68E6" w:rsidRDefault="000F3459" w:rsidP="00365E1A">
            <w:pPr>
              <w:pStyle w:val="Zkladntext2"/>
              <w:contextualSpacing/>
              <w:rPr>
                <w:b/>
                <w:color w:val="000000" w:themeColor="text1"/>
                <w:sz w:val="22"/>
                <w:szCs w:val="22"/>
              </w:rPr>
            </w:pPr>
          </w:p>
          <w:p w14:paraId="78E7F44C" w14:textId="69ABACA2" w:rsidR="00365E1A" w:rsidRPr="004A68E6" w:rsidRDefault="00110063" w:rsidP="00365E1A">
            <w:pPr>
              <w:pStyle w:val="Zkladntext2"/>
              <w:contextualSpacing/>
              <w:rPr>
                <w:b/>
                <w:color w:val="000000" w:themeColor="text1"/>
                <w:sz w:val="22"/>
                <w:szCs w:val="22"/>
                <w:lang w:bidi="en-GB"/>
              </w:rPr>
            </w:pPr>
            <w:r w:rsidRPr="004A68E6">
              <w:rPr>
                <w:b/>
                <w:color w:val="000000" w:themeColor="text1"/>
                <w:sz w:val="22"/>
                <w:szCs w:val="22"/>
              </w:rPr>
              <w:t xml:space="preserve">V/ </w:t>
            </w:r>
            <w:r w:rsidRPr="004A68E6">
              <w:rPr>
                <w:b/>
                <w:i/>
                <w:iCs/>
                <w:color w:val="000000" w:themeColor="text1"/>
                <w:sz w:val="22"/>
                <w:szCs w:val="22"/>
              </w:rPr>
              <w:t xml:space="preserve">In </w:t>
            </w:r>
            <w:r w:rsidR="000F3459">
              <w:rPr>
                <w:b/>
                <w:i/>
                <w:iCs/>
                <w:color w:val="000000" w:themeColor="text1"/>
                <w:sz w:val="22"/>
                <w:szCs w:val="22"/>
              </w:rPr>
              <w:t>Třinec</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F3459">
              <w:rPr>
                <w:b/>
                <w:color w:val="000000" w:themeColor="text1"/>
                <w:sz w:val="22"/>
                <w:szCs w:val="22"/>
              </w:rPr>
              <w:t>17. 6. 2022</w:t>
            </w:r>
          </w:p>
        </w:tc>
      </w:tr>
      <w:tr w:rsidR="00365E1A" w:rsidRPr="004A68E6" w14:paraId="78E7F45E" w14:textId="77777777" w:rsidTr="00365E1A">
        <w:tc>
          <w:tcPr>
            <w:tcW w:w="4536" w:type="dxa"/>
          </w:tcPr>
          <w:p w14:paraId="78E7F44E" w14:textId="77777777" w:rsidR="00893B0E" w:rsidRPr="004A68E6" w:rsidRDefault="000F3459" w:rsidP="00365E1A">
            <w:pPr>
              <w:keepNext/>
              <w:keepLines/>
              <w:contextualSpacing/>
              <w:jc w:val="both"/>
              <w:rPr>
                <w:color w:val="000000" w:themeColor="text1"/>
                <w:sz w:val="22"/>
                <w:szCs w:val="22"/>
              </w:rPr>
            </w:pPr>
          </w:p>
          <w:p w14:paraId="78E7F44F" w14:textId="77777777" w:rsidR="00893B0E" w:rsidRPr="004A68E6" w:rsidRDefault="000F3459" w:rsidP="00365E1A">
            <w:pPr>
              <w:keepNext/>
              <w:keepLines/>
              <w:contextualSpacing/>
              <w:jc w:val="both"/>
              <w:rPr>
                <w:color w:val="000000" w:themeColor="text1"/>
                <w:sz w:val="22"/>
                <w:szCs w:val="22"/>
              </w:rPr>
            </w:pPr>
          </w:p>
          <w:p w14:paraId="78E7F450" w14:textId="77777777" w:rsidR="00E329CE" w:rsidRPr="004A68E6" w:rsidRDefault="000F3459" w:rsidP="00365E1A">
            <w:pPr>
              <w:keepNext/>
              <w:keepLines/>
              <w:contextualSpacing/>
              <w:jc w:val="both"/>
              <w:rPr>
                <w:color w:val="000000" w:themeColor="text1"/>
                <w:sz w:val="22"/>
                <w:szCs w:val="22"/>
              </w:rPr>
            </w:pPr>
          </w:p>
          <w:p w14:paraId="78E7F451" w14:textId="77777777" w:rsidR="00E329CE" w:rsidRPr="004A68E6" w:rsidRDefault="000F3459" w:rsidP="00365E1A">
            <w:pPr>
              <w:keepNext/>
              <w:keepLines/>
              <w:contextualSpacing/>
              <w:jc w:val="both"/>
              <w:rPr>
                <w:color w:val="000000" w:themeColor="text1"/>
                <w:sz w:val="22"/>
                <w:szCs w:val="22"/>
              </w:rPr>
            </w:pPr>
          </w:p>
          <w:p w14:paraId="78E7F452" w14:textId="77777777" w:rsidR="00365E1A" w:rsidRPr="004A68E6" w:rsidRDefault="00110063"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325C1C76" w:rsidR="00365E1A" w:rsidRPr="004A68E6" w:rsidRDefault="00993A5B" w:rsidP="00365E1A">
            <w:pPr>
              <w:pStyle w:val="Zkladntext2"/>
              <w:contextualSpacing/>
              <w:rPr>
                <w:b/>
                <w:color w:val="000000" w:themeColor="text1"/>
                <w:sz w:val="22"/>
                <w:szCs w:val="22"/>
              </w:rPr>
            </w:pPr>
            <w:r>
              <w:rPr>
                <w:b/>
                <w:color w:val="000000" w:themeColor="text1"/>
                <w:sz w:val="22"/>
                <w:szCs w:val="22"/>
              </w:rPr>
              <w:t>Viatris</w:t>
            </w:r>
            <w:r w:rsidR="00110063" w:rsidRPr="004A68E6">
              <w:rPr>
                <w:b/>
                <w:color w:val="000000" w:themeColor="text1"/>
                <w:sz w:val="22"/>
                <w:szCs w:val="22"/>
              </w:rPr>
              <w:t xml:space="preserve"> CZ s.r.o. </w:t>
            </w:r>
          </w:p>
          <w:p w14:paraId="303B9033" w14:textId="78B9C052" w:rsidR="007405B7" w:rsidRDefault="00110063" w:rsidP="002746F4">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6" w14:textId="51A4897E" w:rsidR="002746F4" w:rsidRPr="004A68E6" w:rsidRDefault="002746F4" w:rsidP="008E097F">
            <w:pPr>
              <w:pStyle w:val="Zkladntext2"/>
              <w:ind w:left="601" w:hanging="601"/>
              <w:contextualSpacing/>
              <w:rPr>
                <w:color w:val="000000" w:themeColor="text1"/>
                <w:sz w:val="22"/>
                <w:szCs w:val="22"/>
              </w:rPr>
            </w:pPr>
          </w:p>
        </w:tc>
        <w:tc>
          <w:tcPr>
            <w:tcW w:w="4536" w:type="dxa"/>
          </w:tcPr>
          <w:p w14:paraId="78E7F457" w14:textId="77777777" w:rsidR="00893B0E" w:rsidRPr="004A68E6" w:rsidRDefault="000F3459" w:rsidP="00365E1A">
            <w:pPr>
              <w:keepNext/>
              <w:keepLines/>
              <w:contextualSpacing/>
              <w:jc w:val="both"/>
              <w:rPr>
                <w:color w:val="000000" w:themeColor="text1"/>
                <w:sz w:val="22"/>
                <w:szCs w:val="22"/>
              </w:rPr>
            </w:pPr>
          </w:p>
          <w:p w14:paraId="78E7F458" w14:textId="77777777" w:rsidR="00893B0E" w:rsidRPr="004A68E6" w:rsidRDefault="000F3459" w:rsidP="00365E1A">
            <w:pPr>
              <w:keepNext/>
              <w:keepLines/>
              <w:contextualSpacing/>
              <w:jc w:val="both"/>
              <w:rPr>
                <w:color w:val="000000" w:themeColor="text1"/>
                <w:sz w:val="22"/>
                <w:szCs w:val="22"/>
              </w:rPr>
            </w:pPr>
          </w:p>
          <w:p w14:paraId="78E7F459" w14:textId="77777777" w:rsidR="00E329CE" w:rsidRPr="004A68E6" w:rsidRDefault="000F3459" w:rsidP="00365E1A">
            <w:pPr>
              <w:keepNext/>
              <w:keepLines/>
              <w:contextualSpacing/>
              <w:jc w:val="both"/>
              <w:rPr>
                <w:color w:val="000000" w:themeColor="text1"/>
                <w:sz w:val="22"/>
                <w:szCs w:val="22"/>
              </w:rPr>
            </w:pPr>
          </w:p>
          <w:p w14:paraId="78E7F45A" w14:textId="77777777" w:rsidR="00E329CE" w:rsidRPr="004A68E6" w:rsidRDefault="000F3459" w:rsidP="00365E1A">
            <w:pPr>
              <w:keepNext/>
              <w:keepLines/>
              <w:contextualSpacing/>
              <w:jc w:val="both"/>
              <w:rPr>
                <w:color w:val="000000" w:themeColor="text1"/>
                <w:sz w:val="22"/>
                <w:szCs w:val="22"/>
              </w:rPr>
            </w:pPr>
          </w:p>
          <w:p w14:paraId="78E7F45B" w14:textId="77777777" w:rsidR="00365E1A" w:rsidRPr="004A68E6" w:rsidRDefault="00110063"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A2349A3" w14:textId="2EF8F692" w:rsidR="002746F4" w:rsidRPr="00E22E37" w:rsidRDefault="00110063" w:rsidP="00901B23">
            <w:pPr>
              <w:pStyle w:val="Zkladntext2"/>
              <w:contextualSpacing/>
              <w:rPr>
                <w:b/>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00E22E37" w:rsidRPr="00E22E37">
              <w:rPr>
                <w:b/>
                <w:color w:val="000000" w:themeColor="text1"/>
                <w:sz w:val="22"/>
                <w:szCs w:val="22"/>
              </w:rPr>
              <w:t>Nemocnice Třinec, příspěvková organizace</w:t>
            </w:r>
          </w:p>
          <w:p w14:paraId="78E7F45D" w14:textId="1363F6E7" w:rsidR="00893B0E" w:rsidRPr="004A68E6" w:rsidRDefault="00E22E37" w:rsidP="00901B23">
            <w:pPr>
              <w:pStyle w:val="Zkladntext2"/>
              <w:contextualSpacing/>
              <w:rPr>
                <w:color w:val="000000" w:themeColor="text1"/>
                <w:sz w:val="22"/>
                <w:szCs w:val="22"/>
                <w:lang w:bidi="en-GB"/>
              </w:rPr>
            </w:pPr>
            <w:r>
              <w:rPr>
                <w:bCs/>
                <w:noProof/>
                <w:color w:val="000000" w:themeColor="text1"/>
                <w:sz w:val="22"/>
                <w:szCs w:val="22"/>
              </w:rPr>
              <w:t>Ing. Jiří Veverka, ředitel</w:t>
            </w:r>
            <w:r w:rsidR="00110063" w:rsidRPr="00A32C0A">
              <w:rPr>
                <w:bCs/>
                <w:noProof/>
                <w:color w:val="000000" w:themeColor="text1"/>
                <w:sz w:val="22"/>
                <w:szCs w:val="22"/>
              </w:rPr>
              <w:t xml:space="preserve">/ </w:t>
            </w:r>
            <w:r w:rsidR="00110063" w:rsidRPr="00BB53D7">
              <w:rPr>
                <w:bCs/>
                <w:color w:val="000000" w:themeColor="text1"/>
                <w:sz w:val="22"/>
                <w:szCs w:val="22"/>
              </w:rPr>
              <w:fldChar w:fldCharType="end"/>
            </w:r>
            <w:proofErr w:type="spellStart"/>
            <w:r w:rsidR="009A22DF" w:rsidRPr="009A22DF">
              <w:rPr>
                <w:bCs/>
                <w:i/>
                <w:iCs/>
                <w:color w:val="000000" w:themeColor="text1"/>
                <w:sz w:val="22"/>
                <w:szCs w:val="22"/>
              </w:rPr>
              <w:t>Director</w:t>
            </w:r>
            <w:proofErr w:type="spellEnd"/>
          </w:p>
        </w:tc>
      </w:tr>
    </w:tbl>
    <w:p w14:paraId="78E7F47D" w14:textId="12BCA43A" w:rsidR="002E2A9B" w:rsidRDefault="000F3459" w:rsidP="008E097F">
      <w:pPr>
        <w:pStyle w:val="Zkladntext2"/>
        <w:ind w:left="567" w:hanging="567"/>
        <w:contextualSpacing/>
        <w:rPr>
          <w:color w:val="000000" w:themeColor="text1"/>
          <w:sz w:val="22"/>
          <w:szCs w:val="22"/>
        </w:rPr>
      </w:pPr>
    </w:p>
    <w:p w14:paraId="69F4F1E0" w14:textId="74F0100A" w:rsidR="00993A5B" w:rsidRDefault="00993A5B" w:rsidP="008E097F">
      <w:pPr>
        <w:pStyle w:val="Zkladntext2"/>
        <w:ind w:left="567" w:hanging="567"/>
        <w:contextualSpacing/>
        <w:rPr>
          <w:color w:val="000000" w:themeColor="text1"/>
          <w:sz w:val="22"/>
          <w:szCs w:val="22"/>
        </w:rPr>
      </w:pPr>
    </w:p>
    <w:p w14:paraId="38A43E87" w14:textId="359ED589" w:rsidR="00993A5B" w:rsidRDefault="00993A5B" w:rsidP="008E097F">
      <w:pPr>
        <w:pStyle w:val="Zkladntext2"/>
        <w:ind w:left="567" w:hanging="567"/>
        <w:contextualSpacing/>
        <w:rPr>
          <w:color w:val="000000" w:themeColor="text1"/>
          <w:sz w:val="22"/>
          <w:szCs w:val="22"/>
        </w:rPr>
      </w:pPr>
    </w:p>
    <w:p w14:paraId="2972BBB8" w14:textId="3198383E" w:rsidR="00E22E37" w:rsidRDefault="00E22E37" w:rsidP="008E097F">
      <w:pPr>
        <w:pStyle w:val="Zkladntext2"/>
        <w:ind w:left="567" w:hanging="567"/>
        <w:contextualSpacing/>
        <w:rPr>
          <w:color w:val="000000" w:themeColor="text1"/>
          <w:sz w:val="22"/>
          <w:szCs w:val="22"/>
        </w:rPr>
      </w:pPr>
    </w:p>
    <w:p w14:paraId="37B2776B" w14:textId="411052A0" w:rsidR="00E22E37" w:rsidRDefault="00E22E37" w:rsidP="008E097F">
      <w:pPr>
        <w:pStyle w:val="Zkladntext2"/>
        <w:ind w:left="567" w:hanging="567"/>
        <w:contextualSpacing/>
        <w:rPr>
          <w:color w:val="000000" w:themeColor="text1"/>
          <w:sz w:val="22"/>
          <w:szCs w:val="22"/>
        </w:rPr>
      </w:pPr>
    </w:p>
    <w:p w14:paraId="2A3EA070" w14:textId="3F9DBA23" w:rsidR="00E22E37" w:rsidRDefault="00E22E37" w:rsidP="008E097F">
      <w:pPr>
        <w:pStyle w:val="Zkladntext2"/>
        <w:ind w:left="567" w:hanging="567"/>
        <w:contextualSpacing/>
        <w:rPr>
          <w:color w:val="000000" w:themeColor="text1"/>
          <w:sz w:val="22"/>
          <w:szCs w:val="22"/>
        </w:rPr>
      </w:pPr>
    </w:p>
    <w:p w14:paraId="20FA9534" w14:textId="483AA01E" w:rsidR="00E22E37" w:rsidRDefault="00E22E37" w:rsidP="008E097F">
      <w:pPr>
        <w:pStyle w:val="Zkladntext2"/>
        <w:ind w:left="567" w:hanging="567"/>
        <w:contextualSpacing/>
        <w:rPr>
          <w:color w:val="000000" w:themeColor="text1"/>
          <w:sz w:val="22"/>
          <w:szCs w:val="22"/>
        </w:rPr>
      </w:pPr>
    </w:p>
    <w:p w14:paraId="0C1D6988" w14:textId="5F663695" w:rsidR="00E22E37" w:rsidRDefault="00E22E37" w:rsidP="008E097F">
      <w:pPr>
        <w:pStyle w:val="Zkladntext2"/>
        <w:ind w:left="567" w:hanging="567"/>
        <w:contextualSpacing/>
        <w:rPr>
          <w:color w:val="000000" w:themeColor="text1"/>
          <w:sz w:val="22"/>
          <w:szCs w:val="22"/>
        </w:rPr>
      </w:pPr>
    </w:p>
    <w:p w14:paraId="6F48EA76" w14:textId="77777777" w:rsidR="00E22E37" w:rsidRDefault="00E22E37" w:rsidP="008E097F">
      <w:pPr>
        <w:pStyle w:val="Zkladntext2"/>
        <w:ind w:left="567" w:hanging="567"/>
        <w:contextualSpacing/>
        <w:rPr>
          <w:color w:val="000000" w:themeColor="text1"/>
          <w:sz w:val="22"/>
          <w:szCs w:val="22"/>
        </w:rPr>
      </w:pPr>
    </w:p>
    <w:p w14:paraId="03048E1D" w14:textId="60CCA408" w:rsidR="00E22E37" w:rsidRDefault="00E22E37" w:rsidP="008E097F">
      <w:pPr>
        <w:pStyle w:val="Zkladntext2"/>
        <w:ind w:left="567" w:hanging="567"/>
        <w:contextualSpacing/>
        <w:rPr>
          <w:color w:val="000000" w:themeColor="text1"/>
          <w:sz w:val="22"/>
          <w:szCs w:val="22"/>
        </w:rPr>
      </w:pPr>
    </w:p>
    <w:p w14:paraId="25BDBB46" w14:textId="77777777" w:rsidR="00E22E37" w:rsidRDefault="00E22E37" w:rsidP="008E097F">
      <w:pPr>
        <w:pStyle w:val="Zkladntext2"/>
        <w:ind w:left="567" w:hanging="567"/>
        <w:contextualSpacing/>
        <w:rPr>
          <w:color w:val="000000" w:themeColor="text1"/>
          <w:sz w:val="22"/>
          <w:szCs w:val="22"/>
        </w:rPr>
      </w:pPr>
    </w:p>
    <w:p w14:paraId="7536402B" w14:textId="48350E02" w:rsidR="00993A5B" w:rsidRDefault="00993A5B" w:rsidP="008E097F">
      <w:pPr>
        <w:pStyle w:val="Zkladntext2"/>
        <w:ind w:left="567" w:hanging="567"/>
        <w:contextualSpacing/>
        <w:rPr>
          <w:color w:val="000000" w:themeColor="text1"/>
          <w:sz w:val="22"/>
          <w:szCs w:val="22"/>
        </w:rPr>
      </w:pPr>
    </w:p>
    <w:tbl>
      <w:tblPr>
        <w:tblStyle w:val="Mkatabulky"/>
        <w:tblW w:w="9067" w:type="dxa"/>
        <w:tblLook w:val="04A0" w:firstRow="1" w:lastRow="0" w:firstColumn="1" w:lastColumn="0" w:noHBand="0" w:noVBand="1"/>
      </w:tblPr>
      <w:tblGrid>
        <w:gridCol w:w="4675"/>
        <w:gridCol w:w="4392"/>
      </w:tblGrid>
      <w:tr w:rsidR="00FD2150" w:rsidRPr="00192D81" w14:paraId="6A9955A4" w14:textId="77777777" w:rsidTr="0079201F">
        <w:tc>
          <w:tcPr>
            <w:tcW w:w="4675" w:type="dxa"/>
          </w:tcPr>
          <w:p w14:paraId="71E19C09" w14:textId="77777777" w:rsidR="00FD2150" w:rsidRPr="00192D81" w:rsidRDefault="00FD2150" w:rsidP="0079201F">
            <w:pPr>
              <w:pStyle w:val="Zkladntext2"/>
              <w:jc w:val="center"/>
              <w:rPr>
                <w:b/>
                <w:sz w:val="20"/>
              </w:rPr>
            </w:pPr>
            <w:bookmarkStart w:id="0" w:name="_Hlk97728427"/>
            <w:r w:rsidRPr="00192D81">
              <w:rPr>
                <w:b/>
                <w:sz w:val="20"/>
              </w:rPr>
              <w:lastRenderedPageBreak/>
              <w:t>Příloha č. 1 – seznam Výrobků</w:t>
            </w:r>
          </w:p>
        </w:tc>
        <w:tc>
          <w:tcPr>
            <w:tcW w:w="4392" w:type="dxa"/>
          </w:tcPr>
          <w:p w14:paraId="772BE912" w14:textId="5636DC25" w:rsidR="00FD2150" w:rsidRPr="00192D81" w:rsidRDefault="00FD2150" w:rsidP="0079201F">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r w:rsidR="00264495">
              <w:rPr>
                <w:b/>
                <w:sz w:val="20"/>
                <w:lang w:bidi="en-GB"/>
              </w:rPr>
              <w:t xml:space="preserve"> </w:t>
            </w:r>
            <w:proofErr w:type="spellStart"/>
            <w:r w:rsidRPr="00192D81">
              <w:rPr>
                <w:b/>
                <w:sz w:val="20"/>
                <w:lang w:bidi="en-GB"/>
              </w:rPr>
              <w:t>Product</w:t>
            </w:r>
            <w:proofErr w:type="spellEnd"/>
            <w:r w:rsidRPr="00192D81">
              <w:rPr>
                <w:b/>
                <w:sz w:val="20"/>
                <w:lang w:bidi="en-GB"/>
              </w:rPr>
              <w:t xml:space="preserve"> List</w:t>
            </w:r>
          </w:p>
        </w:tc>
      </w:tr>
      <w:bookmarkEnd w:id="0"/>
    </w:tbl>
    <w:p w14:paraId="17776965" w14:textId="77777777" w:rsidR="00FD2150" w:rsidRDefault="00FD2150" w:rsidP="00FD2150">
      <w:pPr>
        <w:spacing w:after="160" w:line="259" w:lineRule="auto"/>
      </w:pPr>
    </w:p>
    <w:tbl>
      <w:tblPr>
        <w:tblStyle w:val="Mkatabulky"/>
        <w:tblW w:w="9151" w:type="dxa"/>
        <w:jc w:val="center"/>
        <w:tblLook w:val="04A0" w:firstRow="1" w:lastRow="0" w:firstColumn="1" w:lastColumn="0" w:noHBand="0" w:noVBand="1"/>
      </w:tblPr>
      <w:tblGrid>
        <w:gridCol w:w="1145"/>
        <w:gridCol w:w="4037"/>
        <w:gridCol w:w="1365"/>
        <w:gridCol w:w="2604"/>
      </w:tblGrid>
      <w:tr w:rsidR="00FD2150" w:rsidRPr="00206102" w14:paraId="3CE8C9EF" w14:textId="77777777" w:rsidTr="0079201F">
        <w:trPr>
          <w:trHeight w:val="580"/>
          <w:tblHeader/>
          <w:jc w:val="center"/>
        </w:trPr>
        <w:tc>
          <w:tcPr>
            <w:tcW w:w="1145" w:type="dxa"/>
            <w:tcBorders>
              <w:bottom w:val="single" w:sz="4" w:space="0" w:color="auto"/>
            </w:tcBorders>
            <w:hideMark/>
          </w:tcPr>
          <w:p w14:paraId="5B1301FC" w14:textId="77777777" w:rsidR="00FD2150" w:rsidRPr="00206102" w:rsidRDefault="00FD2150" w:rsidP="0079201F">
            <w:pPr>
              <w:rPr>
                <w:b/>
                <w:bCs/>
              </w:rPr>
            </w:pPr>
            <w:r w:rsidRPr="00206102">
              <w:rPr>
                <w:b/>
                <w:bCs/>
              </w:rPr>
              <w:t xml:space="preserve">MIC kód/ MIC </w:t>
            </w:r>
            <w:proofErr w:type="spellStart"/>
            <w:r>
              <w:rPr>
                <w:b/>
                <w:bCs/>
              </w:rPr>
              <w:t>C</w:t>
            </w:r>
            <w:r w:rsidRPr="00206102">
              <w:rPr>
                <w:b/>
                <w:bCs/>
              </w:rPr>
              <w:t>ode</w:t>
            </w:r>
            <w:proofErr w:type="spellEnd"/>
          </w:p>
        </w:tc>
        <w:tc>
          <w:tcPr>
            <w:tcW w:w="4037" w:type="dxa"/>
            <w:tcBorders>
              <w:bottom w:val="single" w:sz="4" w:space="0" w:color="auto"/>
            </w:tcBorders>
            <w:hideMark/>
          </w:tcPr>
          <w:p w14:paraId="4A4724B0" w14:textId="755EF055" w:rsidR="00FD2150" w:rsidRPr="00206102" w:rsidRDefault="00FD2150" w:rsidP="00264495">
            <w:pPr>
              <w:rPr>
                <w:b/>
                <w:bCs/>
              </w:rPr>
            </w:pPr>
            <w:r w:rsidRPr="00206102">
              <w:rPr>
                <w:b/>
                <w:bCs/>
              </w:rPr>
              <w:t xml:space="preserve">Název přípravku/ 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1365" w:type="dxa"/>
            <w:tcBorders>
              <w:bottom w:val="single" w:sz="4" w:space="0" w:color="auto"/>
            </w:tcBorders>
            <w:hideMark/>
          </w:tcPr>
          <w:p w14:paraId="26573DE5" w14:textId="77777777" w:rsidR="00FD2150" w:rsidRPr="00206102" w:rsidRDefault="00FD2150" w:rsidP="0079201F">
            <w:pPr>
              <w:rPr>
                <w:b/>
                <w:bCs/>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604" w:type="dxa"/>
            <w:tcBorders>
              <w:bottom w:val="single" w:sz="4" w:space="0" w:color="auto"/>
            </w:tcBorders>
            <w:hideMark/>
          </w:tcPr>
          <w:p w14:paraId="7BEE4F62" w14:textId="77777777" w:rsidR="00FD2150" w:rsidRDefault="00FD2150" w:rsidP="0079201F">
            <w:pPr>
              <w:rPr>
                <w:b/>
                <w:bCs/>
              </w:rPr>
            </w:pPr>
            <w:r w:rsidRPr="00206102">
              <w:rPr>
                <w:b/>
                <w:bCs/>
              </w:rPr>
              <w:t xml:space="preserve">Balení přípravku/ </w:t>
            </w:r>
          </w:p>
          <w:p w14:paraId="0068509A" w14:textId="77777777" w:rsidR="00FD2150" w:rsidRPr="00206102" w:rsidRDefault="00FD2150" w:rsidP="0079201F">
            <w:pPr>
              <w:rPr>
                <w:b/>
                <w:bCs/>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FD2150" w:rsidRPr="005218BF" w14:paraId="27DBCFC3" w14:textId="77777777" w:rsidTr="0079201F">
        <w:tblPrEx>
          <w:jc w:val="left"/>
        </w:tblPrEx>
        <w:trPr>
          <w:trHeight w:val="290"/>
        </w:trPr>
        <w:tc>
          <w:tcPr>
            <w:tcW w:w="1145" w:type="dxa"/>
            <w:noWrap/>
            <w:hideMark/>
          </w:tcPr>
          <w:p w14:paraId="4997B330" w14:textId="77777777" w:rsidR="00FD2150" w:rsidRPr="005218BF" w:rsidRDefault="00FD2150" w:rsidP="0079201F">
            <w:pPr>
              <w:rPr>
                <w:color w:val="000000"/>
              </w:rPr>
            </w:pPr>
            <w:r w:rsidRPr="005218BF">
              <w:rPr>
                <w:color w:val="000000"/>
              </w:rPr>
              <w:t>MYL0369</w:t>
            </w:r>
          </w:p>
        </w:tc>
        <w:tc>
          <w:tcPr>
            <w:tcW w:w="4037" w:type="dxa"/>
            <w:noWrap/>
            <w:hideMark/>
          </w:tcPr>
          <w:p w14:paraId="5BC206BC" w14:textId="77777777" w:rsidR="00FD2150" w:rsidRPr="005218BF" w:rsidRDefault="00FD2150" w:rsidP="0079201F">
            <w:pPr>
              <w:rPr>
                <w:color w:val="000000"/>
              </w:rPr>
            </w:pPr>
            <w:proofErr w:type="spellStart"/>
            <w:r w:rsidRPr="005218BF">
              <w:rPr>
                <w:color w:val="000000"/>
              </w:rPr>
              <w:t>Betaserc</w:t>
            </w:r>
            <w:proofErr w:type="spellEnd"/>
            <w:r w:rsidRPr="005218BF">
              <w:rPr>
                <w:color w:val="000000"/>
              </w:rPr>
              <w:t xml:space="preserve"> 16</w:t>
            </w:r>
          </w:p>
        </w:tc>
        <w:tc>
          <w:tcPr>
            <w:tcW w:w="1365" w:type="dxa"/>
            <w:noWrap/>
            <w:hideMark/>
          </w:tcPr>
          <w:p w14:paraId="3D89536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58509E75" w14:textId="77777777" w:rsidR="00FD2150" w:rsidRPr="005218BF" w:rsidRDefault="00FD2150" w:rsidP="0079201F">
            <w:pPr>
              <w:rPr>
                <w:color w:val="000000"/>
              </w:rPr>
            </w:pPr>
            <w:r w:rsidRPr="005218BF">
              <w:rPr>
                <w:color w:val="000000"/>
              </w:rPr>
              <w:t>60 x 16 mg</w:t>
            </w:r>
          </w:p>
        </w:tc>
      </w:tr>
      <w:tr w:rsidR="00FD2150" w:rsidRPr="005218BF" w14:paraId="2E50EE36" w14:textId="77777777" w:rsidTr="0079201F">
        <w:tblPrEx>
          <w:jc w:val="left"/>
        </w:tblPrEx>
        <w:trPr>
          <w:trHeight w:val="290"/>
        </w:trPr>
        <w:tc>
          <w:tcPr>
            <w:tcW w:w="1145" w:type="dxa"/>
            <w:noWrap/>
            <w:hideMark/>
          </w:tcPr>
          <w:p w14:paraId="36BE3CD7" w14:textId="77777777" w:rsidR="00FD2150" w:rsidRPr="005218BF" w:rsidRDefault="00FD2150" w:rsidP="0079201F">
            <w:pPr>
              <w:rPr>
                <w:color w:val="000000"/>
              </w:rPr>
            </w:pPr>
            <w:r w:rsidRPr="005218BF">
              <w:rPr>
                <w:color w:val="000000"/>
              </w:rPr>
              <w:t>MYL0823</w:t>
            </w:r>
          </w:p>
        </w:tc>
        <w:tc>
          <w:tcPr>
            <w:tcW w:w="4037" w:type="dxa"/>
            <w:noWrap/>
            <w:hideMark/>
          </w:tcPr>
          <w:p w14:paraId="3B30C525" w14:textId="77777777" w:rsidR="00FD2150" w:rsidRPr="005218BF" w:rsidRDefault="00FD2150" w:rsidP="0079201F">
            <w:pPr>
              <w:rPr>
                <w:color w:val="000000"/>
              </w:rPr>
            </w:pPr>
            <w:proofErr w:type="spellStart"/>
            <w:r w:rsidRPr="005218BF">
              <w:rPr>
                <w:color w:val="000000"/>
              </w:rPr>
              <w:t>Betaserc</w:t>
            </w:r>
            <w:proofErr w:type="spellEnd"/>
            <w:r w:rsidRPr="005218BF">
              <w:rPr>
                <w:color w:val="000000"/>
              </w:rPr>
              <w:t xml:space="preserve"> 24</w:t>
            </w:r>
          </w:p>
        </w:tc>
        <w:tc>
          <w:tcPr>
            <w:tcW w:w="1365" w:type="dxa"/>
            <w:noWrap/>
            <w:hideMark/>
          </w:tcPr>
          <w:p w14:paraId="5907E96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1F919013" w14:textId="77777777" w:rsidR="00FD2150" w:rsidRPr="005218BF" w:rsidRDefault="00FD2150" w:rsidP="0079201F">
            <w:pPr>
              <w:rPr>
                <w:color w:val="000000"/>
              </w:rPr>
            </w:pPr>
            <w:r w:rsidRPr="005218BF">
              <w:rPr>
                <w:color w:val="000000"/>
              </w:rPr>
              <w:t>100 x 24 mg</w:t>
            </w:r>
          </w:p>
        </w:tc>
      </w:tr>
      <w:tr w:rsidR="00FD2150" w:rsidRPr="005218BF" w14:paraId="4855D46E" w14:textId="77777777" w:rsidTr="0079201F">
        <w:tblPrEx>
          <w:jc w:val="left"/>
        </w:tblPrEx>
        <w:trPr>
          <w:trHeight w:val="290"/>
        </w:trPr>
        <w:tc>
          <w:tcPr>
            <w:tcW w:w="1145" w:type="dxa"/>
            <w:noWrap/>
            <w:hideMark/>
          </w:tcPr>
          <w:p w14:paraId="71CF6821" w14:textId="77777777" w:rsidR="00FD2150" w:rsidRPr="005218BF" w:rsidRDefault="00FD2150" w:rsidP="0079201F">
            <w:pPr>
              <w:rPr>
                <w:color w:val="000000"/>
              </w:rPr>
            </w:pPr>
            <w:r w:rsidRPr="005218BF">
              <w:rPr>
                <w:color w:val="000000"/>
              </w:rPr>
              <w:t>MYL0370</w:t>
            </w:r>
          </w:p>
        </w:tc>
        <w:tc>
          <w:tcPr>
            <w:tcW w:w="4037" w:type="dxa"/>
            <w:noWrap/>
            <w:hideMark/>
          </w:tcPr>
          <w:p w14:paraId="3CDAA403" w14:textId="77777777" w:rsidR="00FD2150" w:rsidRPr="005218BF" w:rsidRDefault="00FD2150" w:rsidP="0079201F">
            <w:pPr>
              <w:rPr>
                <w:color w:val="000000"/>
              </w:rPr>
            </w:pPr>
            <w:proofErr w:type="spellStart"/>
            <w:r w:rsidRPr="005218BF">
              <w:rPr>
                <w:color w:val="000000"/>
              </w:rPr>
              <w:t>Betaserc</w:t>
            </w:r>
            <w:proofErr w:type="spellEnd"/>
            <w:r w:rsidRPr="005218BF">
              <w:rPr>
                <w:color w:val="000000"/>
              </w:rPr>
              <w:t xml:space="preserve"> 24</w:t>
            </w:r>
          </w:p>
        </w:tc>
        <w:tc>
          <w:tcPr>
            <w:tcW w:w="1365" w:type="dxa"/>
            <w:noWrap/>
            <w:hideMark/>
          </w:tcPr>
          <w:p w14:paraId="2AD2E1D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772E5A94" w14:textId="77777777" w:rsidR="00FD2150" w:rsidRPr="005218BF" w:rsidRDefault="00FD2150" w:rsidP="0079201F">
            <w:pPr>
              <w:rPr>
                <w:color w:val="000000"/>
              </w:rPr>
            </w:pPr>
            <w:r w:rsidRPr="005218BF">
              <w:rPr>
                <w:color w:val="000000"/>
              </w:rPr>
              <w:t>50 x 24 mg</w:t>
            </w:r>
          </w:p>
        </w:tc>
      </w:tr>
      <w:tr w:rsidR="00FD2150" w:rsidRPr="005218BF" w14:paraId="11030562" w14:textId="77777777" w:rsidTr="0079201F">
        <w:tblPrEx>
          <w:jc w:val="left"/>
        </w:tblPrEx>
        <w:trPr>
          <w:trHeight w:val="290"/>
        </w:trPr>
        <w:tc>
          <w:tcPr>
            <w:tcW w:w="1145" w:type="dxa"/>
            <w:noWrap/>
            <w:hideMark/>
          </w:tcPr>
          <w:p w14:paraId="1FC352C2" w14:textId="77777777" w:rsidR="00FD2150" w:rsidRPr="005218BF" w:rsidRDefault="00FD2150" w:rsidP="0079201F">
            <w:pPr>
              <w:rPr>
                <w:color w:val="000000"/>
              </w:rPr>
            </w:pPr>
            <w:r w:rsidRPr="005218BF">
              <w:rPr>
                <w:color w:val="000000"/>
              </w:rPr>
              <w:t>MYL0371</w:t>
            </w:r>
          </w:p>
        </w:tc>
        <w:tc>
          <w:tcPr>
            <w:tcW w:w="4037" w:type="dxa"/>
            <w:noWrap/>
            <w:hideMark/>
          </w:tcPr>
          <w:p w14:paraId="234AAB4E" w14:textId="77777777" w:rsidR="00FD2150" w:rsidRPr="005218BF" w:rsidRDefault="00FD2150" w:rsidP="0079201F">
            <w:pPr>
              <w:rPr>
                <w:color w:val="000000"/>
              </w:rPr>
            </w:pPr>
            <w:proofErr w:type="spellStart"/>
            <w:r w:rsidRPr="005218BF">
              <w:rPr>
                <w:color w:val="000000"/>
              </w:rPr>
              <w:t>Betaserc</w:t>
            </w:r>
            <w:proofErr w:type="spellEnd"/>
            <w:r w:rsidRPr="005218BF">
              <w:rPr>
                <w:color w:val="000000"/>
              </w:rPr>
              <w:t xml:space="preserve"> 8</w:t>
            </w:r>
          </w:p>
        </w:tc>
        <w:tc>
          <w:tcPr>
            <w:tcW w:w="1365" w:type="dxa"/>
            <w:noWrap/>
            <w:hideMark/>
          </w:tcPr>
          <w:p w14:paraId="029A861D"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7D17B18A" w14:textId="77777777" w:rsidR="00FD2150" w:rsidRPr="005218BF" w:rsidRDefault="00FD2150" w:rsidP="0079201F">
            <w:pPr>
              <w:rPr>
                <w:color w:val="000000"/>
              </w:rPr>
            </w:pPr>
            <w:r w:rsidRPr="005218BF">
              <w:rPr>
                <w:color w:val="000000"/>
              </w:rPr>
              <w:t>100 x 8 mg</w:t>
            </w:r>
          </w:p>
        </w:tc>
      </w:tr>
      <w:tr w:rsidR="00FD2150" w:rsidRPr="005218BF" w14:paraId="508F175E" w14:textId="77777777" w:rsidTr="0079201F">
        <w:tblPrEx>
          <w:jc w:val="left"/>
        </w:tblPrEx>
        <w:trPr>
          <w:trHeight w:val="290"/>
        </w:trPr>
        <w:tc>
          <w:tcPr>
            <w:tcW w:w="1145" w:type="dxa"/>
            <w:noWrap/>
            <w:hideMark/>
          </w:tcPr>
          <w:p w14:paraId="3BF22997" w14:textId="77777777" w:rsidR="00FD2150" w:rsidRPr="005218BF" w:rsidRDefault="00FD2150" w:rsidP="0079201F">
            <w:pPr>
              <w:rPr>
                <w:color w:val="000000"/>
              </w:rPr>
            </w:pPr>
            <w:r w:rsidRPr="005218BF">
              <w:rPr>
                <w:color w:val="000000"/>
              </w:rPr>
              <w:t>MYL0033</w:t>
            </w:r>
          </w:p>
        </w:tc>
        <w:tc>
          <w:tcPr>
            <w:tcW w:w="4037" w:type="dxa"/>
            <w:noWrap/>
            <w:hideMark/>
          </w:tcPr>
          <w:p w14:paraId="5432470B" w14:textId="77777777" w:rsidR="00FD2150" w:rsidRPr="005218BF" w:rsidRDefault="00FD2150" w:rsidP="0079201F">
            <w:pPr>
              <w:rPr>
                <w:color w:val="000000"/>
              </w:rPr>
            </w:pPr>
            <w:proofErr w:type="spellStart"/>
            <w:r w:rsidRPr="005218BF">
              <w:rPr>
                <w:color w:val="000000"/>
              </w:rPr>
              <w:t>Bisoprolol</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27DC4BE3"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4958039A" w14:textId="77777777" w:rsidR="00FD2150" w:rsidRPr="005218BF" w:rsidRDefault="00FD2150" w:rsidP="0079201F">
            <w:pPr>
              <w:rPr>
                <w:color w:val="000000"/>
              </w:rPr>
            </w:pPr>
            <w:r w:rsidRPr="005218BF">
              <w:rPr>
                <w:color w:val="000000"/>
              </w:rPr>
              <w:t>100 x 10 mg</w:t>
            </w:r>
          </w:p>
        </w:tc>
      </w:tr>
      <w:tr w:rsidR="00FD2150" w:rsidRPr="005218BF" w14:paraId="65F5CFE2" w14:textId="77777777" w:rsidTr="0079201F">
        <w:tblPrEx>
          <w:jc w:val="left"/>
        </w:tblPrEx>
        <w:trPr>
          <w:trHeight w:val="290"/>
        </w:trPr>
        <w:tc>
          <w:tcPr>
            <w:tcW w:w="1145" w:type="dxa"/>
            <w:noWrap/>
            <w:hideMark/>
          </w:tcPr>
          <w:p w14:paraId="1C80449F" w14:textId="77777777" w:rsidR="00FD2150" w:rsidRPr="005218BF" w:rsidRDefault="00FD2150" w:rsidP="0079201F">
            <w:pPr>
              <w:rPr>
                <w:color w:val="000000"/>
              </w:rPr>
            </w:pPr>
            <w:r w:rsidRPr="005218BF">
              <w:rPr>
                <w:color w:val="000000"/>
              </w:rPr>
              <w:t>MYL0034</w:t>
            </w:r>
          </w:p>
        </w:tc>
        <w:tc>
          <w:tcPr>
            <w:tcW w:w="4037" w:type="dxa"/>
            <w:noWrap/>
            <w:hideMark/>
          </w:tcPr>
          <w:p w14:paraId="7FD54892" w14:textId="77777777" w:rsidR="00FD2150" w:rsidRPr="005218BF" w:rsidRDefault="00FD2150" w:rsidP="0079201F">
            <w:pPr>
              <w:rPr>
                <w:color w:val="000000"/>
              </w:rPr>
            </w:pPr>
            <w:proofErr w:type="spellStart"/>
            <w:r w:rsidRPr="005218BF">
              <w:rPr>
                <w:color w:val="000000"/>
              </w:rPr>
              <w:t>Bisoprolol</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344E0DD0"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3174B94F" w14:textId="77777777" w:rsidR="00FD2150" w:rsidRPr="005218BF" w:rsidRDefault="00FD2150" w:rsidP="0079201F">
            <w:pPr>
              <w:rPr>
                <w:color w:val="000000"/>
              </w:rPr>
            </w:pPr>
            <w:r w:rsidRPr="005218BF">
              <w:rPr>
                <w:color w:val="000000"/>
              </w:rPr>
              <w:t>30 x 10 mg</w:t>
            </w:r>
          </w:p>
        </w:tc>
      </w:tr>
      <w:tr w:rsidR="00FD2150" w:rsidRPr="005218BF" w14:paraId="28ED45CE" w14:textId="77777777" w:rsidTr="0079201F">
        <w:tblPrEx>
          <w:jc w:val="left"/>
        </w:tblPrEx>
        <w:trPr>
          <w:trHeight w:val="290"/>
        </w:trPr>
        <w:tc>
          <w:tcPr>
            <w:tcW w:w="1145" w:type="dxa"/>
            <w:noWrap/>
            <w:hideMark/>
          </w:tcPr>
          <w:p w14:paraId="2234F62F" w14:textId="77777777" w:rsidR="00FD2150" w:rsidRPr="005218BF" w:rsidRDefault="00FD2150" w:rsidP="0079201F">
            <w:pPr>
              <w:rPr>
                <w:color w:val="000000"/>
              </w:rPr>
            </w:pPr>
            <w:r w:rsidRPr="005218BF">
              <w:rPr>
                <w:color w:val="000000"/>
              </w:rPr>
              <w:t>MYL0035</w:t>
            </w:r>
          </w:p>
        </w:tc>
        <w:tc>
          <w:tcPr>
            <w:tcW w:w="4037" w:type="dxa"/>
            <w:noWrap/>
            <w:hideMark/>
          </w:tcPr>
          <w:p w14:paraId="64D51DD2" w14:textId="77777777" w:rsidR="00FD2150" w:rsidRPr="005218BF" w:rsidRDefault="00FD2150" w:rsidP="0079201F">
            <w:pPr>
              <w:rPr>
                <w:color w:val="000000"/>
              </w:rPr>
            </w:pPr>
            <w:proofErr w:type="spellStart"/>
            <w:r w:rsidRPr="005218BF">
              <w:rPr>
                <w:color w:val="000000"/>
              </w:rPr>
              <w:t>Bisoprolol</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2,5 mg</w:t>
            </w:r>
          </w:p>
        </w:tc>
        <w:tc>
          <w:tcPr>
            <w:tcW w:w="1365" w:type="dxa"/>
            <w:noWrap/>
            <w:hideMark/>
          </w:tcPr>
          <w:p w14:paraId="5EE5FCB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381C18B9" w14:textId="77777777" w:rsidR="00FD2150" w:rsidRPr="005218BF" w:rsidRDefault="00FD2150" w:rsidP="0079201F">
            <w:pPr>
              <w:rPr>
                <w:color w:val="000000"/>
              </w:rPr>
            </w:pPr>
            <w:r w:rsidRPr="005218BF">
              <w:rPr>
                <w:color w:val="000000"/>
              </w:rPr>
              <w:t>30 x 2,5 mg</w:t>
            </w:r>
          </w:p>
        </w:tc>
      </w:tr>
      <w:tr w:rsidR="00FD2150" w:rsidRPr="005218BF" w14:paraId="4658F3AA" w14:textId="77777777" w:rsidTr="0079201F">
        <w:tblPrEx>
          <w:jc w:val="left"/>
        </w:tblPrEx>
        <w:trPr>
          <w:trHeight w:val="290"/>
        </w:trPr>
        <w:tc>
          <w:tcPr>
            <w:tcW w:w="1145" w:type="dxa"/>
            <w:noWrap/>
            <w:hideMark/>
          </w:tcPr>
          <w:p w14:paraId="319BA616" w14:textId="77777777" w:rsidR="00FD2150" w:rsidRPr="005218BF" w:rsidRDefault="00FD2150" w:rsidP="0079201F">
            <w:pPr>
              <w:rPr>
                <w:color w:val="000000"/>
              </w:rPr>
            </w:pPr>
            <w:r w:rsidRPr="005218BF">
              <w:rPr>
                <w:color w:val="000000"/>
              </w:rPr>
              <w:t>MYL0036</w:t>
            </w:r>
          </w:p>
        </w:tc>
        <w:tc>
          <w:tcPr>
            <w:tcW w:w="4037" w:type="dxa"/>
            <w:noWrap/>
            <w:hideMark/>
          </w:tcPr>
          <w:p w14:paraId="3B3F60F3" w14:textId="77777777" w:rsidR="00FD2150" w:rsidRPr="005218BF" w:rsidRDefault="00FD2150" w:rsidP="0079201F">
            <w:pPr>
              <w:rPr>
                <w:color w:val="000000"/>
              </w:rPr>
            </w:pPr>
            <w:proofErr w:type="spellStart"/>
            <w:r w:rsidRPr="005218BF">
              <w:rPr>
                <w:color w:val="000000"/>
              </w:rPr>
              <w:t>Bisoprolol</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097724A5"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3AC583AA" w14:textId="77777777" w:rsidR="00FD2150" w:rsidRPr="005218BF" w:rsidRDefault="00FD2150" w:rsidP="0079201F">
            <w:pPr>
              <w:rPr>
                <w:color w:val="000000"/>
              </w:rPr>
            </w:pPr>
            <w:r w:rsidRPr="005218BF">
              <w:rPr>
                <w:color w:val="000000"/>
              </w:rPr>
              <w:t>100 x 5 mg</w:t>
            </w:r>
          </w:p>
        </w:tc>
      </w:tr>
      <w:tr w:rsidR="00FD2150" w:rsidRPr="005218BF" w14:paraId="4F492054" w14:textId="77777777" w:rsidTr="0079201F">
        <w:tblPrEx>
          <w:jc w:val="left"/>
        </w:tblPrEx>
        <w:trPr>
          <w:trHeight w:val="290"/>
        </w:trPr>
        <w:tc>
          <w:tcPr>
            <w:tcW w:w="1145" w:type="dxa"/>
            <w:noWrap/>
            <w:hideMark/>
          </w:tcPr>
          <w:p w14:paraId="5D88919B" w14:textId="77777777" w:rsidR="00FD2150" w:rsidRPr="005218BF" w:rsidRDefault="00FD2150" w:rsidP="0079201F">
            <w:pPr>
              <w:rPr>
                <w:color w:val="000000"/>
              </w:rPr>
            </w:pPr>
            <w:r w:rsidRPr="005218BF">
              <w:rPr>
                <w:color w:val="000000"/>
              </w:rPr>
              <w:t>MYL0037</w:t>
            </w:r>
          </w:p>
        </w:tc>
        <w:tc>
          <w:tcPr>
            <w:tcW w:w="4037" w:type="dxa"/>
            <w:noWrap/>
            <w:hideMark/>
          </w:tcPr>
          <w:p w14:paraId="5B46C0C6" w14:textId="77777777" w:rsidR="00FD2150" w:rsidRPr="005218BF" w:rsidRDefault="00FD2150" w:rsidP="0079201F">
            <w:pPr>
              <w:rPr>
                <w:color w:val="000000"/>
              </w:rPr>
            </w:pPr>
            <w:proofErr w:type="spellStart"/>
            <w:r w:rsidRPr="005218BF">
              <w:rPr>
                <w:color w:val="000000"/>
              </w:rPr>
              <w:t>Bisoprolol</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445E4120"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6EF53041" w14:textId="77777777" w:rsidR="00FD2150" w:rsidRPr="005218BF" w:rsidRDefault="00FD2150" w:rsidP="0079201F">
            <w:pPr>
              <w:rPr>
                <w:color w:val="000000"/>
              </w:rPr>
            </w:pPr>
            <w:r w:rsidRPr="005218BF">
              <w:rPr>
                <w:color w:val="000000"/>
              </w:rPr>
              <w:t>30 x 5 mg</w:t>
            </w:r>
          </w:p>
        </w:tc>
      </w:tr>
      <w:tr w:rsidR="00FD2150" w:rsidRPr="005218BF" w14:paraId="5588A7B4" w14:textId="77777777" w:rsidTr="0079201F">
        <w:tblPrEx>
          <w:jc w:val="left"/>
        </w:tblPrEx>
        <w:trPr>
          <w:trHeight w:val="290"/>
        </w:trPr>
        <w:tc>
          <w:tcPr>
            <w:tcW w:w="1145" w:type="dxa"/>
            <w:noWrap/>
            <w:hideMark/>
          </w:tcPr>
          <w:p w14:paraId="436A13F4" w14:textId="77777777" w:rsidR="00FD2150" w:rsidRPr="005218BF" w:rsidRDefault="00FD2150" w:rsidP="0079201F">
            <w:pPr>
              <w:rPr>
                <w:color w:val="000000"/>
              </w:rPr>
            </w:pPr>
            <w:r w:rsidRPr="005218BF">
              <w:rPr>
                <w:color w:val="000000"/>
              </w:rPr>
              <w:t>MYL0164</w:t>
            </w:r>
          </w:p>
        </w:tc>
        <w:tc>
          <w:tcPr>
            <w:tcW w:w="4037" w:type="dxa"/>
            <w:noWrap/>
            <w:hideMark/>
          </w:tcPr>
          <w:p w14:paraId="578C3E86" w14:textId="77777777" w:rsidR="00FD2150" w:rsidRPr="005218BF" w:rsidRDefault="00FD2150" w:rsidP="0079201F">
            <w:pPr>
              <w:rPr>
                <w:color w:val="000000"/>
              </w:rPr>
            </w:pPr>
            <w:proofErr w:type="spellStart"/>
            <w:r w:rsidRPr="005218BF">
              <w:rPr>
                <w:color w:val="000000"/>
              </w:rPr>
              <w:t>Desloratadin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3A476E13"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6156AF1C" w14:textId="77777777" w:rsidR="00FD2150" w:rsidRPr="005218BF" w:rsidRDefault="00FD2150" w:rsidP="0079201F">
            <w:pPr>
              <w:rPr>
                <w:color w:val="000000"/>
              </w:rPr>
            </w:pPr>
            <w:r w:rsidRPr="005218BF">
              <w:rPr>
                <w:color w:val="000000"/>
              </w:rPr>
              <w:t>30 x 5 mg</w:t>
            </w:r>
          </w:p>
        </w:tc>
      </w:tr>
      <w:tr w:rsidR="00FD2150" w:rsidRPr="005218BF" w14:paraId="754419D1" w14:textId="77777777" w:rsidTr="0079201F">
        <w:tblPrEx>
          <w:jc w:val="left"/>
        </w:tblPrEx>
        <w:trPr>
          <w:trHeight w:val="290"/>
        </w:trPr>
        <w:tc>
          <w:tcPr>
            <w:tcW w:w="1145" w:type="dxa"/>
            <w:noWrap/>
            <w:hideMark/>
          </w:tcPr>
          <w:p w14:paraId="769678C2" w14:textId="77777777" w:rsidR="00FD2150" w:rsidRPr="005218BF" w:rsidRDefault="00FD2150" w:rsidP="0079201F">
            <w:pPr>
              <w:rPr>
                <w:color w:val="000000"/>
              </w:rPr>
            </w:pPr>
            <w:r w:rsidRPr="005218BF">
              <w:rPr>
                <w:color w:val="000000"/>
              </w:rPr>
              <w:t>MYL0165</w:t>
            </w:r>
          </w:p>
        </w:tc>
        <w:tc>
          <w:tcPr>
            <w:tcW w:w="4037" w:type="dxa"/>
            <w:noWrap/>
            <w:hideMark/>
          </w:tcPr>
          <w:p w14:paraId="05A3988D" w14:textId="77777777" w:rsidR="00FD2150" w:rsidRPr="005218BF" w:rsidRDefault="00FD2150" w:rsidP="0079201F">
            <w:pPr>
              <w:rPr>
                <w:color w:val="000000"/>
              </w:rPr>
            </w:pPr>
            <w:proofErr w:type="spellStart"/>
            <w:r w:rsidRPr="005218BF">
              <w:rPr>
                <w:color w:val="000000"/>
              </w:rPr>
              <w:t>Desloratadin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70200640"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79CCBD3" w14:textId="77777777" w:rsidR="00FD2150" w:rsidRPr="005218BF" w:rsidRDefault="00FD2150" w:rsidP="0079201F">
            <w:pPr>
              <w:rPr>
                <w:color w:val="000000"/>
              </w:rPr>
            </w:pPr>
            <w:r w:rsidRPr="005218BF">
              <w:rPr>
                <w:color w:val="000000"/>
              </w:rPr>
              <w:t>50 x 5 mg</w:t>
            </w:r>
          </w:p>
        </w:tc>
      </w:tr>
      <w:tr w:rsidR="00FD2150" w:rsidRPr="005218BF" w14:paraId="4450FE2F" w14:textId="77777777" w:rsidTr="0079201F">
        <w:tblPrEx>
          <w:jc w:val="left"/>
        </w:tblPrEx>
        <w:trPr>
          <w:trHeight w:val="290"/>
        </w:trPr>
        <w:tc>
          <w:tcPr>
            <w:tcW w:w="1145" w:type="dxa"/>
            <w:noWrap/>
            <w:hideMark/>
          </w:tcPr>
          <w:p w14:paraId="509F61A8" w14:textId="77777777" w:rsidR="00FD2150" w:rsidRPr="005218BF" w:rsidRDefault="00FD2150" w:rsidP="0079201F">
            <w:pPr>
              <w:rPr>
                <w:color w:val="000000"/>
              </w:rPr>
            </w:pPr>
            <w:r w:rsidRPr="005218BF">
              <w:rPr>
                <w:color w:val="000000"/>
              </w:rPr>
              <w:t>MYL0166</w:t>
            </w:r>
          </w:p>
        </w:tc>
        <w:tc>
          <w:tcPr>
            <w:tcW w:w="4037" w:type="dxa"/>
            <w:noWrap/>
            <w:hideMark/>
          </w:tcPr>
          <w:p w14:paraId="0D725841" w14:textId="77777777" w:rsidR="00FD2150" w:rsidRPr="005218BF" w:rsidRDefault="00FD2150" w:rsidP="0079201F">
            <w:pPr>
              <w:rPr>
                <w:color w:val="000000"/>
              </w:rPr>
            </w:pPr>
            <w:proofErr w:type="spellStart"/>
            <w:r w:rsidRPr="005218BF">
              <w:rPr>
                <w:color w:val="000000"/>
              </w:rPr>
              <w:t>Desloratadin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76B07081"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69D8FC39" w14:textId="77777777" w:rsidR="00FD2150" w:rsidRPr="005218BF" w:rsidRDefault="00FD2150" w:rsidP="0079201F">
            <w:pPr>
              <w:rPr>
                <w:color w:val="000000"/>
              </w:rPr>
            </w:pPr>
            <w:r w:rsidRPr="005218BF">
              <w:rPr>
                <w:color w:val="000000"/>
              </w:rPr>
              <w:t>90 x 5 mg</w:t>
            </w:r>
          </w:p>
        </w:tc>
      </w:tr>
      <w:tr w:rsidR="00FD2150" w:rsidRPr="005218BF" w14:paraId="7F137179" w14:textId="77777777" w:rsidTr="0079201F">
        <w:tblPrEx>
          <w:jc w:val="left"/>
        </w:tblPrEx>
        <w:trPr>
          <w:trHeight w:val="290"/>
        </w:trPr>
        <w:tc>
          <w:tcPr>
            <w:tcW w:w="1145" w:type="dxa"/>
            <w:noWrap/>
            <w:hideMark/>
          </w:tcPr>
          <w:p w14:paraId="723424FE" w14:textId="77777777" w:rsidR="00FD2150" w:rsidRPr="005218BF" w:rsidRDefault="00FD2150" w:rsidP="0079201F">
            <w:pPr>
              <w:rPr>
                <w:color w:val="000000"/>
              </w:rPr>
            </w:pPr>
            <w:r w:rsidRPr="005218BF">
              <w:rPr>
                <w:color w:val="000000"/>
              </w:rPr>
              <w:t>MYL0049</w:t>
            </w:r>
          </w:p>
        </w:tc>
        <w:tc>
          <w:tcPr>
            <w:tcW w:w="4037" w:type="dxa"/>
            <w:noWrap/>
            <w:hideMark/>
          </w:tcPr>
          <w:p w14:paraId="557C0EE5" w14:textId="77777777" w:rsidR="00FD2150" w:rsidRPr="005218BF" w:rsidRDefault="00FD2150" w:rsidP="0079201F">
            <w:pPr>
              <w:rPr>
                <w:color w:val="000000"/>
              </w:rPr>
            </w:pPr>
            <w:proofErr w:type="spellStart"/>
            <w:r w:rsidRPr="005218BF">
              <w:rPr>
                <w:color w:val="000000"/>
              </w:rPr>
              <w:t>Dorzogen</w:t>
            </w:r>
            <w:proofErr w:type="spellEnd"/>
            <w:r w:rsidRPr="005218BF">
              <w:rPr>
                <w:color w:val="000000"/>
              </w:rPr>
              <w:t xml:space="preserve"> </w:t>
            </w:r>
            <w:proofErr w:type="spellStart"/>
            <w:r w:rsidRPr="005218BF">
              <w:rPr>
                <w:color w:val="000000"/>
              </w:rPr>
              <w:t>Combi</w:t>
            </w:r>
            <w:proofErr w:type="spellEnd"/>
            <w:r w:rsidRPr="005218BF">
              <w:rPr>
                <w:color w:val="000000"/>
              </w:rPr>
              <w:t xml:space="preserve"> 20 mg/ml + 5 mg/ml</w:t>
            </w:r>
          </w:p>
        </w:tc>
        <w:tc>
          <w:tcPr>
            <w:tcW w:w="1365" w:type="dxa"/>
            <w:noWrap/>
            <w:hideMark/>
          </w:tcPr>
          <w:p w14:paraId="13545351" w14:textId="77777777" w:rsidR="00FD2150" w:rsidRPr="005218BF" w:rsidRDefault="00FD2150" w:rsidP="0079201F">
            <w:pPr>
              <w:rPr>
                <w:color w:val="000000"/>
              </w:rPr>
            </w:pPr>
            <w:proofErr w:type="spellStart"/>
            <w:r w:rsidRPr="005218BF">
              <w:rPr>
                <w:color w:val="000000"/>
              </w:rPr>
              <w:t>oph</w:t>
            </w:r>
            <w:proofErr w:type="spellEnd"/>
            <w:r w:rsidRPr="005218BF">
              <w:rPr>
                <w:color w:val="000000"/>
              </w:rPr>
              <w:t xml:space="preserve"> </w:t>
            </w:r>
            <w:proofErr w:type="spellStart"/>
            <w:r w:rsidRPr="005218BF">
              <w:rPr>
                <w:color w:val="000000"/>
              </w:rPr>
              <w:t>gtt</w:t>
            </w:r>
            <w:proofErr w:type="spellEnd"/>
            <w:r w:rsidRPr="005218BF">
              <w:rPr>
                <w:color w:val="000000"/>
              </w:rPr>
              <w:t xml:space="preserve"> sol </w:t>
            </w:r>
          </w:p>
        </w:tc>
        <w:tc>
          <w:tcPr>
            <w:tcW w:w="2604" w:type="dxa"/>
            <w:noWrap/>
            <w:hideMark/>
          </w:tcPr>
          <w:p w14:paraId="250D0206" w14:textId="77777777" w:rsidR="00FD2150" w:rsidRPr="005218BF" w:rsidRDefault="00FD2150" w:rsidP="0079201F">
            <w:pPr>
              <w:rPr>
                <w:color w:val="000000"/>
              </w:rPr>
            </w:pPr>
            <w:r w:rsidRPr="005218BF">
              <w:rPr>
                <w:color w:val="000000"/>
              </w:rPr>
              <w:t>3 x 5 ml</w:t>
            </w:r>
          </w:p>
        </w:tc>
      </w:tr>
      <w:tr w:rsidR="00FD2150" w:rsidRPr="005218BF" w14:paraId="46DBCC4D" w14:textId="77777777" w:rsidTr="0079201F">
        <w:tblPrEx>
          <w:jc w:val="left"/>
        </w:tblPrEx>
        <w:trPr>
          <w:trHeight w:val="290"/>
        </w:trPr>
        <w:tc>
          <w:tcPr>
            <w:tcW w:w="1145" w:type="dxa"/>
            <w:noWrap/>
            <w:hideMark/>
          </w:tcPr>
          <w:p w14:paraId="27F5323C" w14:textId="77777777" w:rsidR="00FD2150" w:rsidRPr="005218BF" w:rsidRDefault="00FD2150" w:rsidP="0079201F">
            <w:pPr>
              <w:rPr>
                <w:color w:val="000000"/>
              </w:rPr>
            </w:pPr>
            <w:r w:rsidRPr="005218BF">
              <w:rPr>
                <w:color w:val="000000"/>
              </w:rPr>
              <w:t>MYL0064</w:t>
            </w:r>
          </w:p>
        </w:tc>
        <w:tc>
          <w:tcPr>
            <w:tcW w:w="4037" w:type="dxa"/>
            <w:noWrap/>
            <w:hideMark/>
          </w:tcPr>
          <w:p w14:paraId="0494E445"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2 mg</w:t>
            </w:r>
          </w:p>
        </w:tc>
        <w:tc>
          <w:tcPr>
            <w:tcW w:w="1365" w:type="dxa"/>
            <w:noWrap/>
            <w:hideMark/>
          </w:tcPr>
          <w:p w14:paraId="5F05CE95"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7CD307B6" w14:textId="77777777" w:rsidR="00FD2150" w:rsidRPr="005218BF" w:rsidRDefault="00FD2150" w:rsidP="0079201F">
            <w:pPr>
              <w:rPr>
                <w:color w:val="000000"/>
              </w:rPr>
            </w:pPr>
            <w:r w:rsidRPr="005218BF">
              <w:rPr>
                <w:color w:val="000000"/>
              </w:rPr>
              <w:t>30 x 2 mg</w:t>
            </w:r>
          </w:p>
        </w:tc>
      </w:tr>
      <w:tr w:rsidR="00FD2150" w:rsidRPr="005218BF" w14:paraId="661A471E" w14:textId="77777777" w:rsidTr="0079201F">
        <w:tblPrEx>
          <w:jc w:val="left"/>
        </w:tblPrEx>
        <w:trPr>
          <w:trHeight w:val="290"/>
        </w:trPr>
        <w:tc>
          <w:tcPr>
            <w:tcW w:w="1145" w:type="dxa"/>
            <w:noWrap/>
            <w:hideMark/>
          </w:tcPr>
          <w:p w14:paraId="7939711F" w14:textId="77777777" w:rsidR="00FD2150" w:rsidRPr="005218BF" w:rsidRDefault="00FD2150" w:rsidP="0079201F">
            <w:pPr>
              <w:rPr>
                <w:color w:val="000000"/>
              </w:rPr>
            </w:pPr>
            <w:r w:rsidRPr="005218BF">
              <w:rPr>
                <w:color w:val="000000"/>
              </w:rPr>
              <w:t>MYL0065</w:t>
            </w:r>
          </w:p>
        </w:tc>
        <w:tc>
          <w:tcPr>
            <w:tcW w:w="4037" w:type="dxa"/>
            <w:noWrap/>
            <w:hideMark/>
          </w:tcPr>
          <w:p w14:paraId="2BB5B995"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2 mg</w:t>
            </w:r>
          </w:p>
        </w:tc>
        <w:tc>
          <w:tcPr>
            <w:tcW w:w="1365" w:type="dxa"/>
            <w:noWrap/>
            <w:hideMark/>
          </w:tcPr>
          <w:p w14:paraId="759D64C3"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322F92AA" w14:textId="77777777" w:rsidR="00FD2150" w:rsidRPr="005218BF" w:rsidRDefault="00FD2150" w:rsidP="0079201F">
            <w:pPr>
              <w:rPr>
                <w:color w:val="000000"/>
              </w:rPr>
            </w:pPr>
            <w:r w:rsidRPr="005218BF">
              <w:rPr>
                <w:color w:val="000000"/>
              </w:rPr>
              <w:t>90 x 2 mg</w:t>
            </w:r>
          </w:p>
        </w:tc>
      </w:tr>
      <w:tr w:rsidR="00FD2150" w:rsidRPr="005218BF" w14:paraId="5FA88FB7" w14:textId="77777777" w:rsidTr="0079201F">
        <w:tblPrEx>
          <w:jc w:val="left"/>
        </w:tblPrEx>
        <w:trPr>
          <w:trHeight w:val="290"/>
        </w:trPr>
        <w:tc>
          <w:tcPr>
            <w:tcW w:w="1145" w:type="dxa"/>
            <w:noWrap/>
            <w:hideMark/>
          </w:tcPr>
          <w:p w14:paraId="19272F0E" w14:textId="77777777" w:rsidR="00FD2150" w:rsidRPr="005218BF" w:rsidRDefault="00FD2150" w:rsidP="0079201F">
            <w:pPr>
              <w:rPr>
                <w:color w:val="000000"/>
              </w:rPr>
            </w:pPr>
            <w:r w:rsidRPr="005218BF">
              <w:rPr>
                <w:color w:val="000000"/>
              </w:rPr>
              <w:t>MYL0066</w:t>
            </w:r>
          </w:p>
        </w:tc>
        <w:tc>
          <w:tcPr>
            <w:tcW w:w="4037" w:type="dxa"/>
            <w:noWrap/>
            <w:hideMark/>
          </w:tcPr>
          <w:p w14:paraId="0F44E7CF"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3 mg</w:t>
            </w:r>
          </w:p>
        </w:tc>
        <w:tc>
          <w:tcPr>
            <w:tcW w:w="1365" w:type="dxa"/>
            <w:noWrap/>
            <w:hideMark/>
          </w:tcPr>
          <w:p w14:paraId="617D9AC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2AA6E4E9" w14:textId="77777777" w:rsidR="00FD2150" w:rsidRPr="005218BF" w:rsidRDefault="00FD2150" w:rsidP="0079201F">
            <w:pPr>
              <w:rPr>
                <w:color w:val="000000"/>
              </w:rPr>
            </w:pPr>
            <w:r w:rsidRPr="005218BF">
              <w:rPr>
                <w:color w:val="000000"/>
              </w:rPr>
              <w:t>30 x 3 mg</w:t>
            </w:r>
          </w:p>
        </w:tc>
      </w:tr>
      <w:tr w:rsidR="00FD2150" w:rsidRPr="005218BF" w14:paraId="45F79BBF" w14:textId="77777777" w:rsidTr="0079201F">
        <w:tblPrEx>
          <w:jc w:val="left"/>
        </w:tblPrEx>
        <w:trPr>
          <w:trHeight w:val="290"/>
        </w:trPr>
        <w:tc>
          <w:tcPr>
            <w:tcW w:w="1145" w:type="dxa"/>
            <w:noWrap/>
            <w:hideMark/>
          </w:tcPr>
          <w:p w14:paraId="609E4DD9" w14:textId="77777777" w:rsidR="00FD2150" w:rsidRPr="005218BF" w:rsidRDefault="00FD2150" w:rsidP="0079201F">
            <w:pPr>
              <w:rPr>
                <w:color w:val="000000"/>
              </w:rPr>
            </w:pPr>
            <w:r w:rsidRPr="005218BF">
              <w:rPr>
                <w:color w:val="000000"/>
              </w:rPr>
              <w:t>MYL0067</w:t>
            </w:r>
          </w:p>
        </w:tc>
        <w:tc>
          <w:tcPr>
            <w:tcW w:w="4037" w:type="dxa"/>
            <w:noWrap/>
            <w:hideMark/>
          </w:tcPr>
          <w:p w14:paraId="341D6D07"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3 mg</w:t>
            </w:r>
          </w:p>
        </w:tc>
        <w:tc>
          <w:tcPr>
            <w:tcW w:w="1365" w:type="dxa"/>
            <w:noWrap/>
            <w:hideMark/>
          </w:tcPr>
          <w:p w14:paraId="67EC6E4C"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745041C2" w14:textId="77777777" w:rsidR="00FD2150" w:rsidRPr="005218BF" w:rsidRDefault="00FD2150" w:rsidP="0079201F">
            <w:pPr>
              <w:rPr>
                <w:color w:val="000000"/>
              </w:rPr>
            </w:pPr>
            <w:r w:rsidRPr="005218BF">
              <w:rPr>
                <w:color w:val="000000"/>
              </w:rPr>
              <w:t>90 x 3 mg</w:t>
            </w:r>
          </w:p>
        </w:tc>
      </w:tr>
      <w:tr w:rsidR="00FD2150" w:rsidRPr="005218BF" w14:paraId="6B50B358" w14:textId="77777777" w:rsidTr="0079201F">
        <w:tblPrEx>
          <w:jc w:val="left"/>
        </w:tblPrEx>
        <w:trPr>
          <w:trHeight w:val="290"/>
        </w:trPr>
        <w:tc>
          <w:tcPr>
            <w:tcW w:w="1145" w:type="dxa"/>
            <w:noWrap/>
            <w:hideMark/>
          </w:tcPr>
          <w:p w14:paraId="471EDA5C" w14:textId="77777777" w:rsidR="00FD2150" w:rsidRPr="005218BF" w:rsidRDefault="00FD2150" w:rsidP="0079201F">
            <w:pPr>
              <w:rPr>
                <w:color w:val="000000"/>
              </w:rPr>
            </w:pPr>
            <w:r w:rsidRPr="005218BF">
              <w:rPr>
                <w:color w:val="000000"/>
              </w:rPr>
              <w:t>MYL0068</w:t>
            </w:r>
          </w:p>
        </w:tc>
        <w:tc>
          <w:tcPr>
            <w:tcW w:w="4037" w:type="dxa"/>
            <w:noWrap/>
            <w:hideMark/>
          </w:tcPr>
          <w:p w14:paraId="05ABCB73"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4 mg</w:t>
            </w:r>
          </w:p>
        </w:tc>
        <w:tc>
          <w:tcPr>
            <w:tcW w:w="1365" w:type="dxa"/>
            <w:noWrap/>
            <w:hideMark/>
          </w:tcPr>
          <w:p w14:paraId="2AA8ADF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242645CE" w14:textId="77777777" w:rsidR="00FD2150" w:rsidRPr="005218BF" w:rsidRDefault="00FD2150" w:rsidP="0079201F">
            <w:pPr>
              <w:rPr>
                <w:color w:val="000000"/>
              </w:rPr>
            </w:pPr>
            <w:r w:rsidRPr="005218BF">
              <w:rPr>
                <w:color w:val="000000"/>
              </w:rPr>
              <w:t>30 x 4 mg</w:t>
            </w:r>
          </w:p>
        </w:tc>
      </w:tr>
      <w:tr w:rsidR="00FD2150" w:rsidRPr="005218BF" w14:paraId="44CDD40C" w14:textId="77777777" w:rsidTr="0079201F">
        <w:tblPrEx>
          <w:jc w:val="left"/>
        </w:tblPrEx>
        <w:trPr>
          <w:trHeight w:val="290"/>
        </w:trPr>
        <w:tc>
          <w:tcPr>
            <w:tcW w:w="1145" w:type="dxa"/>
            <w:noWrap/>
            <w:hideMark/>
          </w:tcPr>
          <w:p w14:paraId="11FD2A10" w14:textId="77777777" w:rsidR="00FD2150" w:rsidRPr="005218BF" w:rsidRDefault="00FD2150" w:rsidP="0079201F">
            <w:pPr>
              <w:rPr>
                <w:color w:val="000000"/>
              </w:rPr>
            </w:pPr>
            <w:r w:rsidRPr="005218BF">
              <w:rPr>
                <w:color w:val="000000"/>
              </w:rPr>
              <w:t>MYL0069</w:t>
            </w:r>
          </w:p>
        </w:tc>
        <w:tc>
          <w:tcPr>
            <w:tcW w:w="4037" w:type="dxa"/>
            <w:noWrap/>
            <w:hideMark/>
          </w:tcPr>
          <w:p w14:paraId="38435B4A" w14:textId="77777777" w:rsidR="00FD2150" w:rsidRPr="005218BF" w:rsidRDefault="00FD2150" w:rsidP="0079201F">
            <w:pPr>
              <w:rPr>
                <w:color w:val="000000"/>
              </w:rPr>
            </w:pPr>
            <w:proofErr w:type="spellStart"/>
            <w:r w:rsidRPr="005218BF">
              <w:rPr>
                <w:color w:val="000000"/>
              </w:rPr>
              <w:t>Glimepirid</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4 mg</w:t>
            </w:r>
          </w:p>
        </w:tc>
        <w:tc>
          <w:tcPr>
            <w:tcW w:w="1365" w:type="dxa"/>
            <w:noWrap/>
            <w:hideMark/>
          </w:tcPr>
          <w:p w14:paraId="0B11F78F"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4B52DBFA" w14:textId="77777777" w:rsidR="00FD2150" w:rsidRPr="005218BF" w:rsidRDefault="00FD2150" w:rsidP="0079201F">
            <w:pPr>
              <w:rPr>
                <w:color w:val="000000"/>
              </w:rPr>
            </w:pPr>
            <w:r w:rsidRPr="005218BF">
              <w:rPr>
                <w:color w:val="000000"/>
              </w:rPr>
              <w:t>90 x 4 mg</w:t>
            </w:r>
          </w:p>
        </w:tc>
      </w:tr>
      <w:tr w:rsidR="00FD2150" w:rsidRPr="005218BF" w14:paraId="58279DF6" w14:textId="77777777" w:rsidTr="0079201F">
        <w:tblPrEx>
          <w:jc w:val="left"/>
        </w:tblPrEx>
        <w:trPr>
          <w:trHeight w:val="290"/>
        </w:trPr>
        <w:tc>
          <w:tcPr>
            <w:tcW w:w="1145" w:type="dxa"/>
            <w:noWrap/>
            <w:hideMark/>
          </w:tcPr>
          <w:p w14:paraId="274C9C1D" w14:textId="77777777" w:rsidR="00FD2150" w:rsidRPr="005218BF" w:rsidRDefault="00FD2150" w:rsidP="0079201F">
            <w:pPr>
              <w:rPr>
                <w:color w:val="000000"/>
              </w:rPr>
            </w:pPr>
            <w:r w:rsidRPr="005218BF">
              <w:rPr>
                <w:color w:val="000000"/>
              </w:rPr>
              <w:t>MYL0400</w:t>
            </w:r>
          </w:p>
        </w:tc>
        <w:tc>
          <w:tcPr>
            <w:tcW w:w="4037" w:type="dxa"/>
            <w:noWrap/>
            <w:hideMark/>
          </w:tcPr>
          <w:p w14:paraId="410DD083" w14:textId="77777777" w:rsidR="00FD2150" w:rsidRPr="005218BF" w:rsidRDefault="00FD2150" w:rsidP="0079201F">
            <w:pPr>
              <w:rPr>
                <w:color w:val="000000"/>
              </w:rPr>
            </w:pPr>
            <w:proofErr w:type="spellStart"/>
            <w:r w:rsidRPr="005218BF">
              <w:rPr>
                <w:color w:val="000000"/>
              </w:rPr>
              <w:t>Isoptin</w:t>
            </w:r>
            <w:proofErr w:type="spellEnd"/>
            <w:r w:rsidRPr="005218BF">
              <w:rPr>
                <w:color w:val="000000"/>
              </w:rPr>
              <w:t xml:space="preserve"> 40 mg</w:t>
            </w:r>
          </w:p>
        </w:tc>
        <w:tc>
          <w:tcPr>
            <w:tcW w:w="1365" w:type="dxa"/>
            <w:noWrap/>
            <w:hideMark/>
          </w:tcPr>
          <w:p w14:paraId="4A051279"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3FA2807A" w14:textId="77777777" w:rsidR="00FD2150" w:rsidRPr="005218BF" w:rsidRDefault="00FD2150" w:rsidP="0079201F">
            <w:pPr>
              <w:rPr>
                <w:color w:val="000000"/>
              </w:rPr>
            </w:pPr>
            <w:r w:rsidRPr="005218BF">
              <w:rPr>
                <w:color w:val="000000"/>
              </w:rPr>
              <w:t>50 x 40 mg</w:t>
            </w:r>
          </w:p>
        </w:tc>
      </w:tr>
      <w:tr w:rsidR="00FD2150" w:rsidRPr="005218BF" w14:paraId="6317E65E" w14:textId="77777777" w:rsidTr="0079201F">
        <w:tblPrEx>
          <w:jc w:val="left"/>
        </w:tblPrEx>
        <w:trPr>
          <w:trHeight w:val="290"/>
        </w:trPr>
        <w:tc>
          <w:tcPr>
            <w:tcW w:w="1145" w:type="dxa"/>
            <w:noWrap/>
            <w:hideMark/>
          </w:tcPr>
          <w:p w14:paraId="02E3D7D0" w14:textId="77777777" w:rsidR="00FD2150" w:rsidRPr="005218BF" w:rsidRDefault="00FD2150" w:rsidP="0079201F">
            <w:pPr>
              <w:rPr>
                <w:color w:val="000000"/>
              </w:rPr>
            </w:pPr>
            <w:r w:rsidRPr="005218BF">
              <w:rPr>
                <w:color w:val="000000"/>
              </w:rPr>
              <w:t>MYL0401</w:t>
            </w:r>
          </w:p>
        </w:tc>
        <w:tc>
          <w:tcPr>
            <w:tcW w:w="4037" w:type="dxa"/>
            <w:noWrap/>
            <w:hideMark/>
          </w:tcPr>
          <w:p w14:paraId="79DAFA2F" w14:textId="77777777" w:rsidR="00FD2150" w:rsidRPr="005218BF" w:rsidRDefault="00FD2150" w:rsidP="0079201F">
            <w:pPr>
              <w:rPr>
                <w:color w:val="000000"/>
              </w:rPr>
            </w:pPr>
            <w:proofErr w:type="spellStart"/>
            <w:r w:rsidRPr="005218BF">
              <w:rPr>
                <w:color w:val="000000"/>
              </w:rPr>
              <w:t>Isoptin</w:t>
            </w:r>
            <w:proofErr w:type="spellEnd"/>
            <w:r w:rsidRPr="005218BF">
              <w:rPr>
                <w:color w:val="000000"/>
              </w:rPr>
              <w:t xml:space="preserve"> 80 mg</w:t>
            </w:r>
          </w:p>
        </w:tc>
        <w:tc>
          <w:tcPr>
            <w:tcW w:w="1365" w:type="dxa"/>
            <w:noWrap/>
            <w:hideMark/>
          </w:tcPr>
          <w:p w14:paraId="60BCE30C"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495F2B96" w14:textId="77777777" w:rsidR="00FD2150" w:rsidRPr="005218BF" w:rsidRDefault="00FD2150" w:rsidP="0079201F">
            <w:pPr>
              <w:rPr>
                <w:color w:val="000000"/>
              </w:rPr>
            </w:pPr>
            <w:r w:rsidRPr="005218BF">
              <w:rPr>
                <w:color w:val="000000"/>
              </w:rPr>
              <w:t>50 x 80 mg</w:t>
            </w:r>
          </w:p>
        </w:tc>
      </w:tr>
      <w:tr w:rsidR="00FD2150" w:rsidRPr="005218BF" w14:paraId="3CE586E3" w14:textId="77777777" w:rsidTr="0079201F">
        <w:tblPrEx>
          <w:jc w:val="left"/>
        </w:tblPrEx>
        <w:trPr>
          <w:trHeight w:val="290"/>
        </w:trPr>
        <w:tc>
          <w:tcPr>
            <w:tcW w:w="1145" w:type="dxa"/>
            <w:noWrap/>
            <w:hideMark/>
          </w:tcPr>
          <w:p w14:paraId="26ED8BED" w14:textId="77777777" w:rsidR="00FD2150" w:rsidRPr="005218BF" w:rsidRDefault="00FD2150" w:rsidP="0079201F">
            <w:pPr>
              <w:rPr>
                <w:color w:val="000000"/>
              </w:rPr>
            </w:pPr>
            <w:r w:rsidRPr="005218BF">
              <w:rPr>
                <w:color w:val="000000"/>
              </w:rPr>
              <w:t>MYL0402</w:t>
            </w:r>
          </w:p>
        </w:tc>
        <w:tc>
          <w:tcPr>
            <w:tcW w:w="4037" w:type="dxa"/>
            <w:noWrap/>
            <w:hideMark/>
          </w:tcPr>
          <w:p w14:paraId="021DCC88" w14:textId="77777777" w:rsidR="00FD2150" w:rsidRPr="005218BF" w:rsidRDefault="00FD2150" w:rsidP="0079201F">
            <w:pPr>
              <w:rPr>
                <w:color w:val="000000"/>
              </w:rPr>
            </w:pPr>
            <w:proofErr w:type="spellStart"/>
            <w:r w:rsidRPr="005218BF">
              <w:rPr>
                <w:color w:val="000000"/>
              </w:rPr>
              <w:t>Isoptin</w:t>
            </w:r>
            <w:proofErr w:type="spellEnd"/>
            <w:r w:rsidRPr="005218BF">
              <w:rPr>
                <w:color w:val="000000"/>
              </w:rPr>
              <w:t xml:space="preserve"> SR 240 mg</w:t>
            </w:r>
          </w:p>
        </w:tc>
        <w:tc>
          <w:tcPr>
            <w:tcW w:w="1365" w:type="dxa"/>
            <w:noWrap/>
            <w:hideMark/>
          </w:tcPr>
          <w:p w14:paraId="4C3C312E"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pro</w:t>
            </w:r>
          </w:p>
        </w:tc>
        <w:tc>
          <w:tcPr>
            <w:tcW w:w="2604" w:type="dxa"/>
            <w:noWrap/>
            <w:hideMark/>
          </w:tcPr>
          <w:p w14:paraId="3C379F42" w14:textId="77777777" w:rsidR="00FD2150" w:rsidRPr="005218BF" w:rsidRDefault="00FD2150" w:rsidP="0079201F">
            <w:pPr>
              <w:rPr>
                <w:color w:val="000000"/>
              </w:rPr>
            </w:pPr>
            <w:r w:rsidRPr="005218BF">
              <w:rPr>
                <w:color w:val="000000"/>
              </w:rPr>
              <w:t>100 x 240 mg</w:t>
            </w:r>
          </w:p>
        </w:tc>
      </w:tr>
      <w:tr w:rsidR="00FD2150" w:rsidRPr="005218BF" w14:paraId="4FD6DDEA" w14:textId="77777777" w:rsidTr="0079201F">
        <w:tblPrEx>
          <w:jc w:val="left"/>
        </w:tblPrEx>
        <w:trPr>
          <w:trHeight w:val="290"/>
        </w:trPr>
        <w:tc>
          <w:tcPr>
            <w:tcW w:w="1145" w:type="dxa"/>
            <w:noWrap/>
            <w:hideMark/>
          </w:tcPr>
          <w:p w14:paraId="4C74791F" w14:textId="77777777" w:rsidR="00FD2150" w:rsidRPr="005218BF" w:rsidRDefault="00FD2150" w:rsidP="0079201F">
            <w:pPr>
              <w:rPr>
                <w:color w:val="000000"/>
              </w:rPr>
            </w:pPr>
            <w:r w:rsidRPr="005218BF">
              <w:rPr>
                <w:color w:val="000000"/>
              </w:rPr>
              <w:t>MYL0403</w:t>
            </w:r>
          </w:p>
        </w:tc>
        <w:tc>
          <w:tcPr>
            <w:tcW w:w="4037" w:type="dxa"/>
            <w:noWrap/>
            <w:hideMark/>
          </w:tcPr>
          <w:p w14:paraId="2B577F1E" w14:textId="77777777" w:rsidR="00FD2150" w:rsidRPr="005218BF" w:rsidRDefault="00FD2150" w:rsidP="0079201F">
            <w:pPr>
              <w:rPr>
                <w:color w:val="000000"/>
              </w:rPr>
            </w:pPr>
            <w:proofErr w:type="spellStart"/>
            <w:r w:rsidRPr="005218BF">
              <w:rPr>
                <w:color w:val="000000"/>
              </w:rPr>
              <w:t>Isoptin</w:t>
            </w:r>
            <w:proofErr w:type="spellEnd"/>
            <w:r w:rsidRPr="005218BF">
              <w:rPr>
                <w:color w:val="000000"/>
              </w:rPr>
              <w:t xml:space="preserve"> SR 240 mg</w:t>
            </w:r>
          </w:p>
        </w:tc>
        <w:tc>
          <w:tcPr>
            <w:tcW w:w="1365" w:type="dxa"/>
            <w:noWrap/>
            <w:hideMark/>
          </w:tcPr>
          <w:p w14:paraId="56B4681B"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pro</w:t>
            </w:r>
          </w:p>
        </w:tc>
        <w:tc>
          <w:tcPr>
            <w:tcW w:w="2604" w:type="dxa"/>
            <w:noWrap/>
            <w:hideMark/>
          </w:tcPr>
          <w:p w14:paraId="620AB537" w14:textId="77777777" w:rsidR="00FD2150" w:rsidRPr="005218BF" w:rsidRDefault="00FD2150" w:rsidP="0079201F">
            <w:pPr>
              <w:rPr>
                <w:color w:val="000000"/>
              </w:rPr>
            </w:pPr>
            <w:r w:rsidRPr="005218BF">
              <w:rPr>
                <w:color w:val="000000"/>
              </w:rPr>
              <w:t>30 x 240 mg</w:t>
            </w:r>
          </w:p>
        </w:tc>
      </w:tr>
      <w:tr w:rsidR="00FD2150" w:rsidRPr="005218BF" w14:paraId="7C1A7944" w14:textId="77777777" w:rsidTr="0079201F">
        <w:tblPrEx>
          <w:jc w:val="left"/>
        </w:tblPrEx>
        <w:trPr>
          <w:trHeight w:val="290"/>
        </w:trPr>
        <w:tc>
          <w:tcPr>
            <w:tcW w:w="1145" w:type="dxa"/>
            <w:noWrap/>
            <w:hideMark/>
          </w:tcPr>
          <w:p w14:paraId="010C392C" w14:textId="77777777" w:rsidR="00FD2150" w:rsidRPr="005218BF" w:rsidRDefault="00FD2150" w:rsidP="0079201F">
            <w:pPr>
              <w:rPr>
                <w:color w:val="000000"/>
              </w:rPr>
            </w:pPr>
            <w:r w:rsidRPr="005218BF">
              <w:rPr>
                <w:color w:val="000000"/>
              </w:rPr>
              <w:t>MYL0404</w:t>
            </w:r>
          </w:p>
        </w:tc>
        <w:tc>
          <w:tcPr>
            <w:tcW w:w="4037" w:type="dxa"/>
            <w:noWrap/>
            <w:hideMark/>
          </w:tcPr>
          <w:p w14:paraId="4CF9F452" w14:textId="77777777" w:rsidR="00FD2150" w:rsidRPr="005218BF" w:rsidRDefault="00FD2150" w:rsidP="0079201F">
            <w:pPr>
              <w:rPr>
                <w:color w:val="000000"/>
              </w:rPr>
            </w:pPr>
            <w:proofErr w:type="spellStart"/>
            <w:r w:rsidRPr="005218BF">
              <w:rPr>
                <w:color w:val="000000"/>
              </w:rPr>
              <w:t>Klacid</w:t>
            </w:r>
            <w:proofErr w:type="spellEnd"/>
            <w:r w:rsidRPr="005218BF">
              <w:rPr>
                <w:color w:val="000000"/>
              </w:rPr>
              <w:t xml:space="preserve"> 125 mg/5 ml</w:t>
            </w:r>
          </w:p>
        </w:tc>
        <w:tc>
          <w:tcPr>
            <w:tcW w:w="1365" w:type="dxa"/>
            <w:noWrap/>
            <w:hideMark/>
          </w:tcPr>
          <w:p w14:paraId="2C1ED57E" w14:textId="77777777" w:rsidR="00FD2150" w:rsidRPr="005218BF" w:rsidRDefault="00FD2150" w:rsidP="0079201F">
            <w:pPr>
              <w:rPr>
                <w:color w:val="000000"/>
              </w:rPr>
            </w:pPr>
            <w:proofErr w:type="spellStart"/>
            <w:r w:rsidRPr="005218BF">
              <w:rPr>
                <w:color w:val="000000"/>
              </w:rPr>
              <w:t>por</w:t>
            </w:r>
            <w:proofErr w:type="spellEnd"/>
            <w:r w:rsidRPr="005218BF">
              <w:rPr>
                <w:color w:val="000000"/>
              </w:rPr>
              <w:t xml:space="preserve"> </w:t>
            </w:r>
            <w:proofErr w:type="spellStart"/>
            <w:r w:rsidRPr="005218BF">
              <w:rPr>
                <w:color w:val="000000"/>
              </w:rPr>
              <w:t>gra</w:t>
            </w:r>
            <w:proofErr w:type="spellEnd"/>
            <w:r w:rsidRPr="005218BF">
              <w:rPr>
                <w:color w:val="000000"/>
              </w:rPr>
              <w:t xml:space="preserve"> </w:t>
            </w:r>
            <w:proofErr w:type="spellStart"/>
            <w:r w:rsidRPr="005218BF">
              <w:rPr>
                <w:color w:val="000000"/>
              </w:rPr>
              <w:t>sus</w:t>
            </w:r>
            <w:proofErr w:type="spellEnd"/>
          </w:p>
        </w:tc>
        <w:tc>
          <w:tcPr>
            <w:tcW w:w="2604" w:type="dxa"/>
            <w:noWrap/>
            <w:hideMark/>
          </w:tcPr>
          <w:p w14:paraId="35F110B3" w14:textId="77777777" w:rsidR="00FD2150" w:rsidRPr="005218BF" w:rsidRDefault="00FD2150" w:rsidP="0079201F">
            <w:pPr>
              <w:rPr>
                <w:color w:val="000000"/>
              </w:rPr>
            </w:pPr>
            <w:r w:rsidRPr="005218BF">
              <w:rPr>
                <w:color w:val="000000"/>
              </w:rPr>
              <w:t>1 x 100 ml</w:t>
            </w:r>
          </w:p>
        </w:tc>
      </w:tr>
      <w:tr w:rsidR="00FD2150" w:rsidRPr="005218BF" w14:paraId="65E4AB6C" w14:textId="77777777" w:rsidTr="0079201F">
        <w:tblPrEx>
          <w:jc w:val="left"/>
        </w:tblPrEx>
        <w:trPr>
          <w:trHeight w:val="290"/>
        </w:trPr>
        <w:tc>
          <w:tcPr>
            <w:tcW w:w="1145" w:type="dxa"/>
            <w:noWrap/>
            <w:hideMark/>
          </w:tcPr>
          <w:p w14:paraId="1EAB2888" w14:textId="77777777" w:rsidR="00FD2150" w:rsidRPr="005218BF" w:rsidRDefault="00FD2150" w:rsidP="0079201F">
            <w:pPr>
              <w:rPr>
                <w:color w:val="000000"/>
              </w:rPr>
            </w:pPr>
            <w:r w:rsidRPr="005218BF">
              <w:rPr>
                <w:color w:val="000000"/>
              </w:rPr>
              <w:t>MYL0407</w:t>
            </w:r>
          </w:p>
        </w:tc>
        <w:tc>
          <w:tcPr>
            <w:tcW w:w="4037" w:type="dxa"/>
            <w:noWrap/>
            <w:hideMark/>
          </w:tcPr>
          <w:p w14:paraId="273EA294" w14:textId="77777777" w:rsidR="00FD2150" w:rsidRPr="005218BF" w:rsidRDefault="00FD2150" w:rsidP="0079201F">
            <w:pPr>
              <w:rPr>
                <w:color w:val="000000"/>
              </w:rPr>
            </w:pPr>
            <w:proofErr w:type="spellStart"/>
            <w:r w:rsidRPr="005218BF">
              <w:rPr>
                <w:color w:val="000000"/>
              </w:rPr>
              <w:t>Klacid</w:t>
            </w:r>
            <w:proofErr w:type="spellEnd"/>
            <w:r w:rsidRPr="005218BF">
              <w:rPr>
                <w:color w:val="000000"/>
              </w:rPr>
              <w:t xml:space="preserve"> 250 mg</w:t>
            </w:r>
          </w:p>
        </w:tc>
        <w:tc>
          <w:tcPr>
            <w:tcW w:w="1365" w:type="dxa"/>
            <w:noWrap/>
            <w:hideMark/>
          </w:tcPr>
          <w:p w14:paraId="28EFD1F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3560403" w14:textId="77777777" w:rsidR="00FD2150" w:rsidRPr="005218BF" w:rsidRDefault="00FD2150" w:rsidP="0079201F">
            <w:pPr>
              <w:rPr>
                <w:color w:val="000000"/>
              </w:rPr>
            </w:pPr>
            <w:r w:rsidRPr="005218BF">
              <w:rPr>
                <w:color w:val="000000"/>
              </w:rPr>
              <w:t>14 x 250 mg</w:t>
            </w:r>
          </w:p>
        </w:tc>
      </w:tr>
      <w:tr w:rsidR="00FD2150" w:rsidRPr="005218BF" w14:paraId="14F05732" w14:textId="77777777" w:rsidTr="0079201F">
        <w:tblPrEx>
          <w:jc w:val="left"/>
        </w:tblPrEx>
        <w:trPr>
          <w:trHeight w:val="290"/>
        </w:trPr>
        <w:tc>
          <w:tcPr>
            <w:tcW w:w="1145" w:type="dxa"/>
            <w:noWrap/>
            <w:hideMark/>
          </w:tcPr>
          <w:p w14:paraId="10914141" w14:textId="77777777" w:rsidR="00FD2150" w:rsidRPr="005218BF" w:rsidRDefault="00FD2150" w:rsidP="0079201F">
            <w:pPr>
              <w:rPr>
                <w:color w:val="000000"/>
              </w:rPr>
            </w:pPr>
            <w:r w:rsidRPr="005218BF">
              <w:rPr>
                <w:color w:val="000000"/>
              </w:rPr>
              <w:t>MYL0410</w:t>
            </w:r>
          </w:p>
        </w:tc>
        <w:tc>
          <w:tcPr>
            <w:tcW w:w="4037" w:type="dxa"/>
            <w:noWrap/>
            <w:hideMark/>
          </w:tcPr>
          <w:p w14:paraId="2F81071F" w14:textId="77777777" w:rsidR="00FD2150" w:rsidRPr="005218BF" w:rsidRDefault="00FD2150" w:rsidP="0079201F">
            <w:pPr>
              <w:rPr>
                <w:color w:val="000000"/>
              </w:rPr>
            </w:pPr>
            <w:proofErr w:type="spellStart"/>
            <w:r w:rsidRPr="005218BF">
              <w:rPr>
                <w:color w:val="000000"/>
              </w:rPr>
              <w:t>Klacid</w:t>
            </w:r>
            <w:proofErr w:type="spellEnd"/>
            <w:r w:rsidRPr="005218BF">
              <w:rPr>
                <w:color w:val="000000"/>
              </w:rPr>
              <w:t xml:space="preserve"> 500 mg</w:t>
            </w:r>
          </w:p>
        </w:tc>
        <w:tc>
          <w:tcPr>
            <w:tcW w:w="1365" w:type="dxa"/>
            <w:noWrap/>
            <w:hideMark/>
          </w:tcPr>
          <w:p w14:paraId="03FB060F"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5024201A" w14:textId="77777777" w:rsidR="00FD2150" w:rsidRPr="005218BF" w:rsidRDefault="00FD2150" w:rsidP="0079201F">
            <w:pPr>
              <w:rPr>
                <w:color w:val="000000"/>
              </w:rPr>
            </w:pPr>
            <w:r w:rsidRPr="005218BF">
              <w:rPr>
                <w:color w:val="000000"/>
              </w:rPr>
              <w:t>14 x 500 mg</w:t>
            </w:r>
          </w:p>
        </w:tc>
      </w:tr>
      <w:tr w:rsidR="00FD2150" w:rsidRPr="005218BF" w14:paraId="07578DB2" w14:textId="77777777" w:rsidTr="0079201F">
        <w:tblPrEx>
          <w:jc w:val="left"/>
        </w:tblPrEx>
        <w:trPr>
          <w:trHeight w:val="290"/>
        </w:trPr>
        <w:tc>
          <w:tcPr>
            <w:tcW w:w="1145" w:type="dxa"/>
            <w:noWrap/>
            <w:hideMark/>
          </w:tcPr>
          <w:p w14:paraId="634DD328" w14:textId="77777777" w:rsidR="00FD2150" w:rsidRPr="005218BF" w:rsidRDefault="00FD2150" w:rsidP="0079201F">
            <w:pPr>
              <w:rPr>
                <w:color w:val="000000"/>
              </w:rPr>
            </w:pPr>
            <w:r w:rsidRPr="005218BF">
              <w:rPr>
                <w:color w:val="000000"/>
              </w:rPr>
              <w:t>MYL0413</w:t>
            </w:r>
          </w:p>
        </w:tc>
        <w:tc>
          <w:tcPr>
            <w:tcW w:w="4037" w:type="dxa"/>
            <w:noWrap/>
            <w:hideMark/>
          </w:tcPr>
          <w:p w14:paraId="3BAA9600" w14:textId="77777777" w:rsidR="00FD2150" w:rsidRPr="005218BF" w:rsidRDefault="00FD2150" w:rsidP="0079201F">
            <w:pPr>
              <w:rPr>
                <w:color w:val="000000"/>
              </w:rPr>
            </w:pPr>
            <w:proofErr w:type="spellStart"/>
            <w:r w:rsidRPr="005218BF">
              <w:rPr>
                <w:color w:val="000000"/>
              </w:rPr>
              <w:t>Klacid</w:t>
            </w:r>
            <w:proofErr w:type="spellEnd"/>
            <w:r w:rsidRPr="005218BF">
              <w:rPr>
                <w:color w:val="000000"/>
              </w:rPr>
              <w:t xml:space="preserve"> SR 500 mg</w:t>
            </w:r>
          </w:p>
        </w:tc>
        <w:tc>
          <w:tcPr>
            <w:tcW w:w="1365" w:type="dxa"/>
            <w:noWrap/>
            <w:hideMark/>
          </w:tcPr>
          <w:p w14:paraId="1A494A21"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08AD9C73" w14:textId="77777777" w:rsidR="00FD2150" w:rsidRPr="005218BF" w:rsidRDefault="00FD2150" w:rsidP="0079201F">
            <w:pPr>
              <w:rPr>
                <w:color w:val="000000"/>
              </w:rPr>
            </w:pPr>
            <w:r w:rsidRPr="005218BF">
              <w:rPr>
                <w:color w:val="000000"/>
              </w:rPr>
              <w:t>14 x 500 mg</w:t>
            </w:r>
          </w:p>
        </w:tc>
      </w:tr>
      <w:tr w:rsidR="00FD2150" w:rsidRPr="005218BF" w14:paraId="565B1E1D" w14:textId="77777777" w:rsidTr="0079201F">
        <w:tblPrEx>
          <w:jc w:val="left"/>
        </w:tblPrEx>
        <w:trPr>
          <w:trHeight w:val="290"/>
        </w:trPr>
        <w:tc>
          <w:tcPr>
            <w:tcW w:w="1145" w:type="dxa"/>
            <w:noWrap/>
            <w:hideMark/>
          </w:tcPr>
          <w:p w14:paraId="44E395B1" w14:textId="77777777" w:rsidR="00FD2150" w:rsidRPr="005218BF" w:rsidRDefault="00FD2150" w:rsidP="0079201F">
            <w:pPr>
              <w:rPr>
                <w:color w:val="000000"/>
              </w:rPr>
            </w:pPr>
            <w:r w:rsidRPr="005218BF">
              <w:rPr>
                <w:color w:val="000000"/>
              </w:rPr>
              <w:t>MYL0416</w:t>
            </w:r>
          </w:p>
        </w:tc>
        <w:tc>
          <w:tcPr>
            <w:tcW w:w="4037" w:type="dxa"/>
            <w:noWrap/>
            <w:hideMark/>
          </w:tcPr>
          <w:p w14:paraId="69F291B2" w14:textId="77777777" w:rsidR="00FD2150" w:rsidRPr="005218BF" w:rsidRDefault="00FD2150" w:rsidP="0079201F">
            <w:pPr>
              <w:rPr>
                <w:color w:val="000000"/>
              </w:rPr>
            </w:pPr>
            <w:proofErr w:type="spellStart"/>
            <w:r w:rsidRPr="005218BF">
              <w:rPr>
                <w:color w:val="000000"/>
              </w:rPr>
              <w:t>Kreon</w:t>
            </w:r>
            <w:proofErr w:type="spellEnd"/>
            <w:r w:rsidRPr="005218BF">
              <w:rPr>
                <w:color w:val="000000"/>
              </w:rPr>
              <w:t xml:space="preserve"> 25 000</w:t>
            </w:r>
          </w:p>
        </w:tc>
        <w:tc>
          <w:tcPr>
            <w:tcW w:w="1365" w:type="dxa"/>
            <w:noWrap/>
            <w:hideMark/>
          </w:tcPr>
          <w:p w14:paraId="19CC572C" w14:textId="77777777" w:rsidR="00FD2150" w:rsidRPr="005218BF" w:rsidRDefault="00FD2150" w:rsidP="0079201F">
            <w:pPr>
              <w:rPr>
                <w:color w:val="000000"/>
              </w:rPr>
            </w:pPr>
            <w:proofErr w:type="spellStart"/>
            <w:r w:rsidRPr="005218BF">
              <w:rPr>
                <w:color w:val="000000"/>
              </w:rPr>
              <w:t>cps</w:t>
            </w:r>
            <w:proofErr w:type="spellEnd"/>
            <w:r w:rsidRPr="005218BF">
              <w:rPr>
                <w:color w:val="000000"/>
              </w:rPr>
              <w:t xml:space="preserve"> </w:t>
            </w:r>
            <w:proofErr w:type="spellStart"/>
            <w:r w:rsidRPr="005218BF">
              <w:rPr>
                <w:color w:val="000000"/>
              </w:rPr>
              <w:t>etd</w:t>
            </w:r>
            <w:proofErr w:type="spellEnd"/>
          </w:p>
        </w:tc>
        <w:tc>
          <w:tcPr>
            <w:tcW w:w="2604" w:type="dxa"/>
            <w:noWrap/>
            <w:hideMark/>
          </w:tcPr>
          <w:p w14:paraId="4F38EFFA" w14:textId="77777777" w:rsidR="00FD2150" w:rsidRPr="005218BF" w:rsidRDefault="00FD2150" w:rsidP="0079201F">
            <w:pPr>
              <w:rPr>
                <w:color w:val="000000"/>
              </w:rPr>
            </w:pPr>
            <w:r w:rsidRPr="005218BF">
              <w:rPr>
                <w:color w:val="000000"/>
              </w:rPr>
              <w:t>50</w:t>
            </w:r>
          </w:p>
        </w:tc>
      </w:tr>
      <w:tr w:rsidR="00FD2150" w:rsidRPr="005218BF" w14:paraId="77F56977" w14:textId="77777777" w:rsidTr="0079201F">
        <w:tblPrEx>
          <w:jc w:val="left"/>
        </w:tblPrEx>
        <w:trPr>
          <w:trHeight w:val="290"/>
        </w:trPr>
        <w:tc>
          <w:tcPr>
            <w:tcW w:w="1145" w:type="dxa"/>
            <w:noWrap/>
            <w:hideMark/>
          </w:tcPr>
          <w:p w14:paraId="009F25A4" w14:textId="77777777" w:rsidR="00FD2150" w:rsidRPr="005218BF" w:rsidRDefault="00FD2150" w:rsidP="0079201F">
            <w:pPr>
              <w:rPr>
                <w:color w:val="000000"/>
              </w:rPr>
            </w:pPr>
            <w:r w:rsidRPr="005218BF">
              <w:rPr>
                <w:color w:val="000000"/>
              </w:rPr>
              <w:t>MYL0443</w:t>
            </w:r>
          </w:p>
        </w:tc>
        <w:tc>
          <w:tcPr>
            <w:tcW w:w="4037" w:type="dxa"/>
            <w:noWrap/>
            <w:hideMark/>
          </w:tcPr>
          <w:p w14:paraId="7473B5A7" w14:textId="77777777" w:rsidR="00FD2150" w:rsidRPr="005218BF" w:rsidRDefault="00FD2150" w:rsidP="0079201F">
            <w:pPr>
              <w:rPr>
                <w:color w:val="000000"/>
              </w:rPr>
            </w:pPr>
            <w:proofErr w:type="spellStart"/>
            <w:r w:rsidRPr="005218BF">
              <w:rPr>
                <w:color w:val="000000"/>
              </w:rPr>
              <w:t>Levelanz</w:t>
            </w:r>
            <w:proofErr w:type="spellEnd"/>
            <w:r w:rsidRPr="005218BF">
              <w:rPr>
                <w:color w:val="000000"/>
              </w:rPr>
              <w:t xml:space="preserve"> 1000 mg</w:t>
            </w:r>
          </w:p>
        </w:tc>
        <w:tc>
          <w:tcPr>
            <w:tcW w:w="1365" w:type="dxa"/>
            <w:noWrap/>
            <w:hideMark/>
          </w:tcPr>
          <w:p w14:paraId="160CC6E6"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033734E8" w14:textId="77777777" w:rsidR="00FD2150" w:rsidRPr="005218BF" w:rsidRDefault="00FD2150" w:rsidP="0079201F">
            <w:pPr>
              <w:rPr>
                <w:color w:val="000000"/>
              </w:rPr>
            </w:pPr>
            <w:r w:rsidRPr="005218BF">
              <w:rPr>
                <w:color w:val="000000"/>
              </w:rPr>
              <w:t>56 x 1000 mg</w:t>
            </w:r>
          </w:p>
        </w:tc>
      </w:tr>
      <w:tr w:rsidR="00FD2150" w:rsidRPr="005218BF" w14:paraId="705E61CE" w14:textId="77777777" w:rsidTr="0079201F">
        <w:tblPrEx>
          <w:jc w:val="left"/>
        </w:tblPrEx>
        <w:trPr>
          <w:trHeight w:val="290"/>
        </w:trPr>
        <w:tc>
          <w:tcPr>
            <w:tcW w:w="1145" w:type="dxa"/>
            <w:noWrap/>
            <w:hideMark/>
          </w:tcPr>
          <w:p w14:paraId="1CDBFB7D" w14:textId="77777777" w:rsidR="00FD2150" w:rsidRPr="005218BF" w:rsidRDefault="00FD2150" w:rsidP="0079201F">
            <w:pPr>
              <w:rPr>
                <w:color w:val="000000"/>
              </w:rPr>
            </w:pPr>
            <w:r w:rsidRPr="005218BF">
              <w:rPr>
                <w:color w:val="000000"/>
              </w:rPr>
              <w:t>MYL0445</w:t>
            </w:r>
          </w:p>
        </w:tc>
        <w:tc>
          <w:tcPr>
            <w:tcW w:w="4037" w:type="dxa"/>
            <w:noWrap/>
            <w:hideMark/>
          </w:tcPr>
          <w:p w14:paraId="3E4B9B30" w14:textId="77777777" w:rsidR="00FD2150" w:rsidRPr="005218BF" w:rsidRDefault="00FD2150" w:rsidP="0079201F">
            <w:pPr>
              <w:rPr>
                <w:color w:val="000000"/>
              </w:rPr>
            </w:pPr>
            <w:proofErr w:type="spellStart"/>
            <w:r w:rsidRPr="005218BF">
              <w:rPr>
                <w:color w:val="000000"/>
              </w:rPr>
              <w:t>Levelanz</w:t>
            </w:r>
            <w:proofErr w:type="spellEnd"/>
            <w:r w:rsidRPr="005218BF">
              <w:rPr>
                <w:color w:val="000000"/>
              </w:rPr>
              <w:t xml:space="preserve"> 250 mg</w:t>
            </w:r>
          </w:p>
        </w:tc>
        <w:tc>
          <w:tcPr>
            <w:tcW w:w="1365" w:type="dxa"/>
            <w:noWrap/>
            <w:hideMark/>
          </w:tcPr>
          <w:p w14:paraId="758D63CA"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4C3A370A" w14:textId="77777777" w:rsidR="00FD2150" w:rsidRPr="005218BF" w:rsidRDefault="00FD2150" w:rsidP="0079201F">
            <w:pPr>
              <w:rPr>
                <w:color w:val="000000"/>
              </w:rPr>
            </w:pPr>
            <w:r w:rsidRPr="005218BF">
              <w:rPr>
                <w:color w:val="000000"/>
              </w:rPr>
              <w:t>56 x 250 mg</w:t>
            </w:r>
          </w:p>
        </w:tc>
      </w:tr>
      <w:tr w:rsidR="00FD2150" w:rsidRPr="005218BF" w14:paraId="1357F444" w14:textId="77777777" w:rsidTr="0079201F">
        <w:tblPrEx>
          <w:jc w:val="left"/>
        </w:tblPrEx>
        <w:trPr>
          <w:trHeight w:val="290"/>
        </w:trPr>
        <w:tc>
          <w:tcPr>
            <w:tcW w:w="1145" w:type="dxa"/>
            <w:noWrap/>
            <w:hideMark/>
          </w:tcPr>
          <w:p w14:paraId="6FDB209B" w14:textId="77777777" w:rsidR="00FD2150" w:rsidRPr="005218BF" w:rsidRDefault="00FD2150" w:rsidP="0079201F">
            <w:pPr>
              <w:rPr>
                <w:color w:val="000000"/>
              </w:rPr>
            </w:pPr>
            <w:r w:rsidRPr="005218BF">
              <w:rPr>
                <w:color w:val="000000"/>
              </w:rPr>
              <w:t>MYL0447</w:t>
            </w:r>
          </w:p>
        </w:tc>
        <w:tc>
          <w:tcPr>
            <w:tcW w:w="4037" w:type="dxa"/>
            <w:noWrap/>
            <w:hideMark/>
          </w:tcPr>
          <w:p w14:paraId="447ED56A" w14:textId="77777777" w:rsidR="00FD2150" w:rsidRPr="005218BF" w:rsidRDefault="00FD2150" w:rsidP="0079201F">
            <w:pPr>
              <w:rPr>
                <w:color w:val="000000"/>
              </w:rPr>
            </w:pPr>
            <w:proofErr w:type="spellStart"/>
            <w:r w:rsidRPr="005218BF">
              <w:rPr>
                <w:color w:val="000000"/>
              </w:rPr>
              <w:t>Levelanz</w:t>
            </w:r>
            <w:proofErr w:type="spellEnd"/>
            <w:r w:rsidRPr="005218BF">
              <w:rPr>
                <w:color w:val="000000"/>
              </w:rPr>
              <w:t xml:space="preserve"> 500 mg</w:t>
            </w:r>
          </w:p>
        </w:tc>
        <w:tc>
          <w:tcPr>
            <w:tcW w:w="1365" w:type="dxa"/>
            <w:noWrap/>
            <w:hideMark/>
          </w:tcPr>
          <w:p w14:paraId="50CE2E21"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0CC940A" w14:textId="77777777" w:rsidR="00FD2150" w:rsidRPr="005218BF" w:rsidRDefault="00FD2150" w:rsidP="0079201F">
            <w:pPr>
              <w:rPr>
                <w:color w:val="000000"/>
              </w:rPr>
            </w:pPr>
            <w:r w:rsidRPr="005218BF">
              <w:rPr>
                <w:color w:val="000000"/>
              </w:rPr>
              <w:t>56 x 500 mg</w:t>
            </w:r>
          </w:p>
        </w:tc>
      </w:tr>
      <w:tr w:rsidR="00FD2150" w:rsidRPr="005218BF" w14:paraId="311E727C" w14:textId="77777777" w:rsidTr="0079201F">
        <w:tblPrEx>
          <w:jc w:val="left"/>
        </w:tblPrEx>
        <w:trPr>
          <w:trHeight w:val="290"/>
        </w:trPr>
        <w:tc>
          <w:tcPr>
            <w:tcW w:w="1145" w:type="dxa"/>
            <w:noWrap/>
            <w:hideMark/>
          </w:tcPr>
          <w:p w14:paraId="304283C2" w14:textId="77777777" w:rsidR="00FD2150" w:rsidRPr="005218BF" w:rsidRDefault="00FD2150" w:rsidP="0079201F">
            <w:pPr>
              <w:rPr>
                <w:color w:val="000000"/>
              </w:rPr>
            </w:pPr>
            <w:r w:rsidRPr="005218BF">
              <w:rPr>
                <w:color w:val="000000"/>
              </w:rPr>
              <w:t>MYL0449</w:t>
            </w:r>
          </w:p>
        </w:tc>
        <w:tc>
          <w:tcPr>
            <w:tcW w:w="4037" w:type="dxa"/>
            <w:noWrap/>
            <w:hideMark/>
          </w:tcPr>
          <w:p w14:paraId="02C58604" w14:textId="77777777" w:rsidR="00FD2150" w:rsidRPr="005218BF" w:rsidRDefault="00FD2150" w:rsidP="0079201F">
            <w:pPr>
              <w:rPr>
                <w:color w:val="000000"/>
              </w:rPr>
            </w:pPr>
            <w:proofErr w:type="spellStart"/>
            <w:r w:rsidRPr="005218BF">
              <w:rPr>
                <w:color w:val="000000"/>
              </w:rPr>
              <w:t>Levelanz</w:t>
            </w:r>
            <w:proofErr w:type="spellEnd"/>
            <w:r w:rsidRPr="005218BF">
              <w:rPr>
                <w:color w:val="000000"/>
              </w:rPr>
              <w:t xml:space="preserve"> 500 mg</w:t>
            </w:r>
          </w:p>
        </w:tc>
        <w:tc>
          <w:tcPr>
            <w:tcW w:w="1365" w:type="dxa"/>
            <w:noWrap/>
            <w:hideMark/>
          </w:tcPr>
          <w:p w14:paraId="6EB30770"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65315889" w14:textId="77777777" w:rsidR="00FD2150" w:rsidRPr="005218BF" w:rsidRDefault="00FD2150" w:rsidP="0079201F">
            <w:pPr>
              <w:rPr>
                <w:color w:val="000000"/>
              </w:rPr>
            </w:pPr>
            <w:r w:rsidRPr="005218BF">
              <w:rPr>
                <w:color w:val="000000"/>
              </w:rPr>
              <w:t>98 x 500 mg</w:t>
            </w:r>
          </w:p>
        </w:tc>
      </w:tr>
      <w:tr w:rsidR="00FD2150" w:rsidRPr="005218BF" w14:paraId="7730A941" w14:textId="77777777" w:rsidTr="0079201F">
        <w:tblPrEx>
          <w:jc w:val="left"/>
        </w:tblPrEx>
        <w:trPr>
          <w:trHeight w:val="290"/>
        </w:trPr>
        <w:tc>
          <w:tcPr>
            <w:tcW w:w="1145" w:type="dxa"/>
            <w:noWrap/>
            <w:hideMark/>
          </w:tcPr>
          <w:p w14:paraId="781ADC68" w14:textId="77777777" w:rsidR="00FD2150" w:rsidRPr="005218BF" w:rsidRDefault="00FD2150" w:rsidP="0079201F">
            <w:pPr>
              <w:rPr>
                <w:color w:val="000000"/>
              </w:rPr>
            </w:pPr>
            <w:r w:rsidRPr="005218BF">
              <w:rPr>
                <w:color w:val="000000"/>
              </w:rPr>
              <w:t>MYL0419</w:t>
            </w:r>
          </w:p>
        </w:tc>
        <w:tc>
          <w:tcPr>
            <w:tcW w:w="4037" w:type="dxa"/>
            <w:noWrap/>
            <w:hideMark/>
          </w:tcPr>
          <w:p w14:paraId="3986680F"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267 M</w:t>
            </w:r>
          </w:p>
        </w:tc>
        <w:tc>
          <w:tcPr>
            <w:tcW w:w="1365" w:type="dxa"/>
            <w:noWrap/>
            <w:hideMark/>
          </w:tcPr>
          <w:p w14:paraId="7452DF0A" w14:textId="77777777" w:rsidR="00FD2150" w:rsidRPr="005218BF" w:rsidRDefault="00FD2150" w:rsidP="0079201F">
            <w:pPr>
              <w:rPr>
                <w:color w:val="000000"/>
              </w:rPr>
            </w:pPr>
            <w:proofErr w:type="spellStart"/>
            <w:r w:rsidRPr="005218BF">
              <w:rPr>
                <w:color w:val="000000"/>
              </w:rPr>
              <w:t>cps</w:t>
            </w:r>
            <w:proofErr w:type="spellEnd"/>
            <w:r w:rsidRPr="005218BF">
              <w:rPr>
                <w:color w:val="000000"/>
              </w:rPr>
              <w:t xml:space="preserve"> dur</w:t>
            </w:r>
          </w:p>
        </w:tc>
        <w:tc>
          <w:tcPr>
            <w:tcW w:w="2604" w:type="dxa"/>
            <w:noWrap/>
            <w:hideMark/>
          </w:tcPr>
          <w:p w14:paraId="2A436970" w14:textId="77777777" w:rsidR="00FD2150" w:rsidRPr="005218BF" w:rsidRDefault="00FD2150" w:rsidP="0079201F">
            <w:pPr>
              <w:rPr>
                <w:color w:val="000000"/>
              </w:rPr>
            </w:pPr>
            <w:r w:rsidRPr="005218BF">
              <w:rPr>
                <w:color w:val="000000"/>
              </w:rPr>
              <w:t>90 x 267 mg</w:t>
            </w:r>
          </w:p>
        </w:tc>
      </w:tr>
      <w:tr w:rsidR="00FD2150" w:rsidRPr="005218BF" w14:paraId="3204DB31" w14:textId="77777777" w:rsidTr="0079201F">
        <w:tblPrEx>
          <w:jc w:val="left"/>
        </w:tblPrEx>
        <w:trPr>
          <w:trHeight w:val="290"/>
        </w:trPr>
        <w:tc>
          <w:tcPr>
            <w:tcW w:w="1145" w:type="dxa"/>
            <w:noWrap/>
            <w:hideMark/>
          </w:tcPr>
          <w:p w14:paraId="20DA0BF7" w14:textId="77777777" w:rsidR="00FD2150" w:rsidRPr="005218BF" w:rsidRDefault="00FD2150" w:rsidP="0079201F">
            <w:pPr>
              <w:rPr>
                <w:color w:val="000000"/>
              </w:rPr>
            </w:pPr>
            <w:r w:rsidRPr="005218BF">
              <w:rPr>
                <w:color w:val="000000"/>
              </w:rPr>
              <w:t>MYL0420</w:t>
            </w:r>
          </w:p>
        </w:tc>
        <w:tc>
          <w:tcPr>
            <w:tcW w:w="4037" w:type="dxa"/>
            <w:noWrap/>
            <w:hideMark/>
          </w:tcPr>
          <w:p w14:paraId="6809C531"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w:t>
            </w:r>
            <w:proofErr w:type="spellStart"/>
            <w:r w:rsidRPr="005218BF">
              <w:rPr>
                <w:color w:val="000000"/>
              </w:rPr>
              <w:t>Nt</w:t>
            </w:r>
            <w:proofErr w:type="spellEnd"/>
            <w:r w:rsidRPr="005218BF">
              <w:rPr>
                <w:color w:val="000000"/>
              </w:rPr>
              <w:t xml:space="preserve"> 145 mg</w:t>
            </w:r>
          </w:p>
        </w:tc>
        <w:tc>
          <w:tcPr>
            <w:tcW w:w="1365" w:type="dxa"/>
            <w:noWrap/>
            <w:hideMark/>
          </w:tcPr>
          <w:p w14:paraId="59DEC70F"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5287779E" w14:textId="77777777" w:rsidR="00FD2150" w:rsidRPr="005218BF" w:rsidRDefault="00FD2150" w:rsidP="0079201F">
            <w:pPr>
              <w:rPr>
                <w:color w:val="000000"/>
              </w:rPr>
            </w:pPr>
            <w:r w:rsidRPr="005218BF">
              <w:rPr>
                <w:color w:val="000000"/>
              </w:rPr>
              <w:t xml:space="preserve">30 x </w:t>
            </w:r>
            <w:proofErr w:type="gramStart"/>
            <w:r w:rsidRPr="005218BF">
              <w:rPr>
                <w:color w:val="000000"/>
              </w:rPr>
              <w:t>145  mg</w:t>
            </w:r>
            <w:proofErr w:type="gramEnd"/>
          </w:p>
        </w:tc>
      </w:tr>
      <w:tr w:rsidR="00FD2150" w:rsidRPr="005218BF" w14:paraId="36706F1B" w14:textId="77777777" w:rsidTr="0079201F">
        <w:tblPrEx>
          <w:jc w:val="left"/>
        </w:tblPrEx>
        <w:trPr>
          <w:trHeight w:val="290"/>
        </w:trPr>
        <w:tc>
          <w:tcPr>
            <w:tcW w:w="1145" w:type="dxa"/>
            <w:noWrap/>
            <w:hideMark/>
          </w:tcPr>
          <w:p w14:paraId="7F59A4C3" w14:textId="77777777" w:rsidR="00FD2150" w:rsidRPr="005218BF" w:rsidRDefault="00FD2150" w:rsidP="0079201F">
            <w:pPr>
              <w:rPr>
                <w:color w:val="000000"/>
              </w:rPr>
            </w:pPr>
            <w:r w:rsidRPr="005218BF">
              <w:rPr>
                <w:color w:val="000000"/>
              </w:rPr>
              <w:t>MYL0421</w:t>
            </w:r>
          </w:p>
        </w:tc>
        <w:tc>
          <w:tcPr>
            <w:tcW w:w="4037" w:type="dxa"/>
            <w:noWrap/>
            <w:hideMark/>
          </w:tcPr>
          <w:p w14:paraId="2D12D55C"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w:t>
            </w:r>
            <w:proofErr w:type="spellStart"/>
            <w:r w:rsidRPr="005218BF">
              <w:rPr>
                <w:color w:val="000000"/>
              </w:rPr>
              <w:t>Nt</w:t>
            </w:r>
            <w:proofErr w:type="spellEnd"/>
            <w:r w:rsidRPr="005218BF">
              <w:rPr>
                <w:color w:val="000000"/>
              </w:rPr>
              <w:t xml:space="preserve"> 145 mg</w:t>
            </w:r>
          </w:p>
        </w:tc>
        <w:tc>
          <w:tcPr>
            <w:tcW w:w="1365" w:type="dxa"/>
            <w:noWrap/>
            <w:hideMark/>
          </w:tcPr>
          <w:p w14:paraId="46900276"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DBB531E" w14:textId="77777777" w:rsidR="00FD2150" w:rsidRPr="005218BF" w:rsidRDefault="00FD2150" w:rsidP="0079201F">
            <w:pPr>
              <w:rPr>
                <w:color w:val="000000"/>
              </w:rPr>
            </w:pPr>
            <w:r w:rsidRPr="005218BF">
              <w:rPr>
                <w:color w:val="000000"/>
              </w:rPr>
              <w:t xml:space="preserve">90 x </w:t>
            </w:r>
            <w:proofErr w:type="gramStart"/>
            <w:r w:rsidRPr="005218BF">
              <w:rPr>
                <w:color w:val="000000"/>
              </w:rPr>
              <w:t>145  mg</w:t>
            </w:r>
            <w:proofErr w:type="gramEnd"/>
          </w:p>
        </w:tc>
      </w:tr>
      <w:tr w:rsidR="00FD2150" w:rsidRPr="005218BF" w14:paraId="6819093F" w14:textId="77777777" w:rsidTr="0079201F">
        <w:tblPrEx>
          <w:jc w:val="left"/>
        </w:tblPrEx>
        <w:trPr>
          <w:trHeight w:val="290"/>
        </w:trPr>
        <w:tc>
          <w:tcPr>
            <w:tcW w:w="1145" w:type="dxa"/>
            <w:noWrap/>
            <w:hideMark/>
          </w:tcPr>
          <w:p w14:paraId="1263240C" w14:textId="77777777" w:rsidR="00FD2150" w:rsidRPr="005218BF" w:rsidRDefault="00FD2150" w:rsidP="0079201F">
            <w:pPr>
              <w:rPr>
                <w:color w:val="000000"/>
              </w:rPr>
            </w:pPr>
            <w:r w:rsidRPr="005218BF">
              <w:rPr>
                <w:color w:val="000000"/>
              </w:rPr>
              <w:t>MYL0422</w:t>
            </w:r>
          </w:p>
        </w:tc>
        <w:tc>
          <w:tcPr>
            <w:tcW w:w="4037" w:type="dxa"/>
            <w:noWrap/>
            <w:hideMark/>
          </w:tcPr>
          <w:p w14:paraId="006A8D8C"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S 215 mg</w:t>
            </w:r>
          </w:p>
        </w:tc>
        <w:tc>
          <w:tcPr>
            <w:tcW w:w="1365" w:type="dxa"/>
            <w:noWrap/>
            <w:hideMark/>
          </w:tcPr>
          <w:p w14:paraId="12C4D548"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2436DF16" w14:textId="77777777" w:rsidR="00FD2150" w:rsidRPr="005218BF" w:rsidRDefault="00FD2150" w:rsidP="0079201F">
            <w:pPr>
              <w:rPr>
                <w:color w:val="000000"/>
              </w:rPr>
            </w:pPr>
            <w:r w:rsidRPr="005218BF">
              <w:rPr>
                <w:color w:val="000000"/>
              </w:rPr>
              <w:t>100 x 215 mg</w:t>
            </w:r>
          </w:p>
        </w:tc>
      </w:tr>
      <w:tr w:rsidR="00FD2150" w:rsidRPr="005218BF" w14:paraId="19B02D63" w14:textId="77777777" w:rsidTr="0079201F">
        <w:tblPrEx>
          <w:jc w:val="left"/>
        </w:tblPrEx>
        <w:trPr>
          <w:trHeight w:val="290"/>
        </w:trPr>
        <w:tc>
          <w:tcPr>
            <w:tcW w:w="1145" w:type="dxa"/>
            <w:noWrap/>
            <w:hideMark/>
          </w:tcPr>
          <w:p w14:paraId="2384AB90" w14:textId="77777777" w:rsidR="00FD2150" w:rsidRPr="005218BF" w:rsidRDefault="00FD2150" w:rsidP="0079201F">
            <w:pPr>
              <w:rPr>
                <w:color w:val="000000"/>
              </w:rPr>
            </w:pPr>
            <w:r w:rsidRPr="005218BF">
              <w:rPr>
                <w:color w:val="000000"/>
              </w:rPr>
              <w:t>MYL0423</w:t>
            </w:r>
          </w:p>
        </w:tc>
        <w:tc>
          <w:tcPr>
            <w:tcW w:w="4037" w:type="dxa"/>
            <w:noWrap/>
            <w:hideMark/>
          </w:tcPr>
          <w:p w14:paraId="33B6843C"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S 215 mg</w:t>
            </w:r>
          </w:p>
        </w:tc>
        <w:tc>
          <w:tcPr>
            <w:tcW w:w="1365" w:type="dxa"/>
            <w:noWrap/>
            <w:hideMark/>
          </w:tcPr>
          <w:p w14:paraId="7BFBD23A"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06BCF283" w14:textId="77777777" w:rsidR="00FD2150" w:rsidRPr="005218BF" w:rsidRDefault="00FD2150" w:rsidP="0079201F">
            <w:pPr>
              <w:rPr>
                <w:color w:val="000000"/>
              </w:rPr>
            </w:pPr>
            <w:r w:rsidRPr="005218BF">
              <w:rPr>
                <w:color w:val="000000"/>
              </w:rPr>
              <w:t>30 x 215 mg</w:t>
            </w:r>
          </w:p>
        </w:tc>
      </w:tr>
      <w:tr w:rsidR="00FD2150" w:rsidRPr="005218BF" w14:paraId="041F25D4" w14:textId="77777777" w:rsidTr="0079201F">
        <w:tblPrEx>
          <w:jc w:val="left"/>
        </w:tblPrEx>
        <w:trPr>
          <w:trHeight w:val="290"/>
        </w:trPr>
        <w:tc>
          <w:tcPr>
            <w:tcW w:w="1145" w:type="dxa"/>
            <w:noWrap/>
            <w:hideMark/>
          </w:tcPr>
          <w:p w14:paraId="16C9DF5F" w14:textId="77777777" w:rsidR="00FD2150" w:rsidRPr="005218BF" w:rsidRDefault="00FD2150" w:rsidP="0079201F">
            <w:pPr>
              <w:rPr>
                <w:color w:val="000000"/>
              </w:rPr>
            </w:pPr>
            <w:r w:rsidRPr="005218BF">
              <w:rPr>
                <w:color w:val="000000"/>
              </w:rPr>
              <w:t>MYL0424</w:t>
            </w:r>
          </w:p>
        </w:tc>
        <w:tc>
          <w:tcPr>
            <w:tcW w:w="4037" w:type="dxa"/>
            <w:noWrap/>
            <w:hideMark/>
          </w:tcPr>
          <w:p w14:paraId="598B0006" w14:textId="77777777" w:rsidR="00FD2150" w:rsidRPr="005218BF" w:rsidRDefault="00FD2150" w:rsidP="0079201F">
            <w:pPr>
              <w:rPr>
                <w:color w:val="000000"/>
              </w:rPr>
            </w:pPr>
            <w:proofErr w:type="spellStart"/>
            <w:r w:rsidRPr="005218BF">
              <w:rPr>
                <w:color w:val="000000"/>
              </w:rPr>
              <w:t>Lipanthyl</w:t>
            </w:r>
            <w:proofErr w:type="spellEnd"/>
            <w:r w:rsidRPr="005218BF">
              <w:rPr>
                <w:color w:val="000000"/>
              </w:rPr>
              <w:t xml:space="preserve"> Supra 160 mg</w:t>
            </w:r>
          </w:p>
        </w:tc>
        <w:tc>
          <w:tcPr>
            <w:tcW w:w="1365" w:type="dxa"/>
            <w:noWrap/>
            <w:hideMark/>
          </w:tcPr>
          <w:p w14:paraId="448CCF1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68F1177E" w14:textId="77777777" w:rsidR="00FD2150" w:rsidRPr="005218BF" w:rsidRDefault="00FD2150" w:rsidP="0079201F">
            <w:pPr>
              <w:rPr>
                <w:color w:val="000000"/>
              </w:rPr>
            </w:pPr>
            <w:r w:rsidRPr="005218BF">
              <w:rPr>
                <w:color w:val="000000"/>
              </w:rPr>
              <w:t>90 x 160 mg</w:t>
            </w:r>
          </w:p>
        </w:tc>
      </w:tr>
      <w:tr w:rsidR="00FD2150" w:rsidRPr="005218BF" w14:paraId="278C3E5D" w14:textId="77777777" w:rsidTr="0079201F">
        <w:tblPrEx>
          <w:jc w:val="left"/>
        </w:tblPrEx>
        <w:trPr>
          <w:trHeight w:val="290"/>
        </w:trPr>
        <w:tc>
          <w:tcPr>
            <w:tcW w:w="1145" w:type="dxa"/>
            <w:noWrap/>
            <w:hideMark/>
          </w:tcPr>
          <w:p w14:paraId="39FADC74" w14:textId="77777777" w:rsidR="00FD2150" w:rsidRPr="005218BF" w:rsidRDefault="00FD2150" w:rsidP="0079201F">
            <w:pPr>
              <w:rPr>
                <w:color w:val="000000"/>
              </w:rPr>
            </w:pPr>
            <w:r w:rsidRPr="005218BF">
              <w:rPr>
                <w:color w:val="000000"/>
              </w:rPr>
              <w:t>MYL0094</w:t>
            </w:r>
          </w:p>
        </w:tc>
        <w:tc>
          <w:tcPr>
            <w:tcW w:w="4037" w:type="dxa"/>
            <w:noWrap/>
            <w:hideMark/>
          </w:tcPr>
          <w:p w14:paraId="67E82EF2"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1000 mg</w:t>
            </w:r>
          </w:p>
        </w:tc>
        <w:tc>
          <w:tcPr>
            <w:tcW w:w="1365" w:type="dxa"/>
            <w:noWrap/>
            <w:hideMark/>
          </w:tcPr>
          <w:p w14:paraId="515DEDD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B79B7C8" w14:textId="77777777" w:rsidR="00FD2150" w:rsidRPr="005218BF" w:rsidRDefault="00FD2150" w:rsidP="0079201F">
            <w:pPr>
              <w:rPr>
                <w:color w:val="000000"/>
              </w:rPr>
            </w:pPr>
            <w:r w:rsidRPr="005218BF">
              <w:rPr>
                <w:color w:val="000000"/>
              </w:rPr>
              <w:t>120 x 1 000 mg</w:t>
            </w:r>
          </w:p>
        </w:tc>
      </w:tr>
      <w:tr w:rsidR="00FD2150" w:rsidRPr="005218BF" w14:paraId="4DCA2C8D" w14:textId="77777777" w:rsidTr="0079201F">
        <w:tblPrEx>
          <w:jc w:val="left"/>
        </w:tblPrEx>
        <w:trPr>
          <w:trHeight w:val="290"/>
        </w:trPr>
        <w:tc>
          <w:tcPr>
            <w:tcW w:w="1145" w:type="dxa"/>
            <w:noWrap/>
            <w:hideMark/>
          </w:tcPr>
          <w:p w14:paraId="4A412CEF" w14:textId="77777777" w:rsidR="00FD2150" w:rsidRPr="005218BF" w:rsidRDefault="00FD2150" w:rsidP="0079201F">
            <w:pPr>
              <w:rPr>
                <w:color w:val="000000"/>
              </w:rPr>
            </w:pPr>
            <w:r w:rsidRPr="005218BF">
              <w:rPr>
                <w:color w:val="000000"/>
              </w:rPr>
              <w:t>MYL0095</w:t>
            </w:r>
          </w:p>
        </w:tc>
        <w:tc>
          <w:tcPr>
            <w:tcW w:w="4037" w:type="dxa"/>
            <w:noWrap/>
            <w:hideMark/>
          </w:tcPr>
          <w:p w14:paraId="41659AAD"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1000 mg</w:t>
            </w:r>
          </w:p>
        </w:tc>
        <w:tc>
          <w:tcPr>
            <w:tcW w:w="1365" w:type="dxa"/>
            <w:noWrap/>
            <w:hideMark/>
          </w:tcPr>
          <w:p w14:paraId="71EBAE1E"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7983BBD7" w14:textId="77777777" w:rsidR="00FD2150" w:rsidRPr="005218BF" w:rsidRDefault="00FD2150" w:rsidP="0079201F">
            <w:pPr>
              <w:rPr>
                <w:color w:val="000000"/>
              </w:rPr>
            </w:pPr>
            <w:r w:rsidRPr="005218BF">
              <w:rPr>
                <w:color w:val="000000"/>
              </w:rPr>
              <w:t>60 x 1 000 mg</w:t>
            </w:r>
          </w:p>
        </w:tc>
      </w:tr>
      <w:tr w:rsidR="00FD2150" w:rsidRPr="005218BF" w14:paraId="6FA97FF5" w14:textId="77777777" w:rsidTr="0079201F">
        <w:tblPrEx>
          <w:jc w:val="left"/>
        </w:tblPrEx>
        <w:trPr>
          <w:trHeight w:val="290"/>
        </w:trPr>
        <w:tc>
          <w:tcPr>
            <w:tcW w:w="1145" w:type="dxa"/>
            <w:noWrap/>
            <w:hideMark/>
          </w:tcPr>
          <w:p w14:paraId="601C0A64" w14:textId="77777777" w:rsidR="00FD2150" w:rsidRPr="005218BF" w:rsidRDefault="00FD2150" w:rsidP="0079201F">
            <w:pPr>
              <w:rPr>
                <w:color w:val="000000"/>
              </w:rPr>
            </w:pPr>
            <w:r w:rsidRPr="005218BF">
              <w:rPr>
                <w:color w:val="000000"/>
              </w:rPr>
              <w:t>MYL0096</w:t>
            </w:r>
          </w:p>
        </w:tc>
        <w:tc>
          <w:tcPr>
            <w:tcW w:w="4037" w:type="dxa"/>
            <w:noWrap/>
            <w:hideMark/>
          </w:tcPr>
          <w:p w14:paraId="2EC7911F"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500 mg</w:t>
            </w:r>
          </w:p>
        </w:tc>
        <w:tc>
          <w:tcPr>
            <w:tcW w:w="1365" w:type="dxa"/>
            <w:noWrap/>
            <w:hideMark/>
          </w:tcPr>
          <w:p w14:paraId="3917103A"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44D6633A" w14:textId="77777777" w:rsidR="00FD2150" w:rsidRPr="005218BF" w:rsidRDefault="00FD2150" w:rsidP="0079201F">
            <w:pPr>
              <w:rPr>
                <w:color w:val="000000"/>
              </w:rPr>
            </w:pPr>
            <w:r w:rsidRPr="005218BF">
              <w:rPr>
                <w:color w:val="000000"/>
              </w:rPr>
              <w:t>120 x 500 mg</w:t>
            </w:r>
          </w:p>
        </w:tc>
      </w:tr>
      <w:tr w:rsidR="00FD2150" w:rsidRPr="005218BF" w14:paraId="53B149E2" w14:textId="77777777" w:rsidTr="0079201F">
        <w:tblPrEx>
          <w:jc w:val="left"/>
        </w:tblPrEx>
        <w:trPr>
          <w:trHeight w:val="290"/>
        </w:trPr>
        <w:tc>
          <w:tcPr>
            <w:tcW w:w="1145" w:type="dxa"/>
            <w:noWrap/>
            <w:hideMark/>
          </w:tcPr>
          <w:p w14:paraId="549EDCAE" w14:textId="77777777" w:rsidR="00FD2150" w:rsidRPr="005218BF" w:rsidRDefault="00FD2150" w:rsidP="0079201F">
            <w:pPr>
              <w:rPr>
                <w:color w:val="000000"/>
              </w:rPr>
            </w:pPr>
            <w:r w:rsidRPr="005218BF">
              <w:rPr>
                <w:color w:val="000000"/>
              </w:rPr>
              <w:lastRenderedPageBreak/>
              <w:t>MYL0097</w:t>
            </w:r>
          </w:p>
        </w:tc>
        <w:tc>
          <w:tcPr>
            <w:tcW w:w="4037" w:type="dxa"/>
            <w:noWrap/>
            <w:hideMark/>
          </w:tcPr>
          <w:p w14:paraId="6D84D0A8"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500 mg</w:t>
            </w:r>
          </w:p>
        </w:tc>
        <w:tc>
          <w:tcPr>
            <w:tcW w:w="1365" w:type="dxa"/>
            <w:noWrap/>
            <w:hideMark/>
          </w:tcPr>
          <w:p w14:paraId="1B45A7E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5A463D7A" w14:textId="77777777" w:rsidR="00FD2150" w:rsidRPr="005218BF" w:rsidRDefault="00FD2150" w:rsidP="0079201F">
            <w:pPr>
              <w:rPr>
                <w:color w:val="000000"/>
              </w:rPr>
            </w:pPr>
            <w:r w:rsidRPr="005218BF">
              <w:rPr>
                <w:color w:val="000000"/>
              </w:rPr>
              <w:t>60 x 500 mg</w:t>
            </w:r>
          </w:p>
        </w:tc>
      </w:tr>
      <w:tr w:rsidR="00FD2150" w:rsidRPr="005218BF" w14:paraId="3BC7146C" w14:textId="77777777" w:rsidTr="0079201F">
        <w:tblPrEx>
          <w:jc w:val="left"/>
        </w:tblPrEx>
        <w:trPr>
          <w:trHeight w:val="290"/>
        </w:trPr>
        <w:tc>
          <w:tcPr>
            <w:tcW w:w="1145" w:type="dxa"/>
            <w:noWrap/>
            <w:hideMark/>
          </w:tcPr>
          <w:p w14:paraId="536C57C4" w14:textId="77777777" w:rsidR="00FD2150" w:rsidRPr="005218BF" w:rsidRDefault="00FD2150" w:rsidP="0079201F">
            <w:pPr>
              <w:rPr>
                <w:color w:val="000000"/>
              </w:rPr>
            </w:pPr>
            <w:r w:rsidRPr="005218BF">
              <w:rPr>
                <w:color w:val="000000"/>
              </w:rPr>
              <w:t>MYL0098</w:t>
            </w:r>
          </w:p>
        </w:tc>
        <w:tc>
          <w:tcPr>
            <w:tcW w:w="4037" w:type="dxa"/>
            <w:noWrap/>
            <w:hideMark/>
          </w:tcPr>
          <w:p w14:paraId="7E6FCCEC"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850 mg</w:t>
            </w:r>
          </w:p>
        </w:tc>
        <w:tc>
          <w:tcPr>
            <w:tcW w:w="1365" w:type="dxa"/>
            <w:noWrap/>
            <w:hideMark/>
          </w:tcPr>
          <w:p w14:paraId="221567F5"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2A41DCF9" w14:textId="77777777" w:rsidR="00FD2150" w:rsidRPr="005218BF" w:rsidRDefault="00FD2150" w:rsidP="0079201F">
            <w:pPr>
              <w:rPr>
                <w:color w:val="000000"/>
              </w:rPr>
            </w:pPr>
            <w:r w:rsidRPr="005218BF">
              <w:rPr>
                <w:color w:val="000000"/>
              </w:rPr>
              <w:t>120 x 850 mg</w:t>
            </w:r>
          </w:p>
        </w:tc>
      </w:tr>
      <w:tr w:rsidR="00FD2150" w:rsidRPr="005218BF" w14:paraId="4AB6E0B4" w14:textId="77777777" w:rsidTr="0079201F">
        <w:tblPrEx>
          <w:jc w:val="left"/>
        </w:tblPrEx>
        <w:trPr>
          <w:trHeight w:val="290"/>
        </w:trPr>
        <w:tc>
          <w:tcPr>
            <w:tcW w:w="1145" w:type="dxa"/>
            <w:noWrap/>
            <w:hideMark/>
          </w:tcPr>
          <w:p w14:paraId="5F675683" w14:textId="77777777" w:rsidR="00FD2150" w:rsidRPr="005218BF" w:rsidRDefault="00FD2150" w:rsidP="0079201F">
            <w:pPr>
              <w:rPr>
                <w:color w:val="000000"/>
              </w:rPr>
            </w:pPr>
            <w:r w:rsidRPr="005218BF">
              <w:rPr>
                <w:color w:val="000000"/>
              </w:rPr>
              <w:t>MYL0099</w:t>
            </w:r>
          </w:p>
        </w:tc>
        <w:tc>
          <w:tcPr>
            <w:tcW w:w="4037" w:type="dxa"/>
            <w:noWrap/>
            <w:hideMark/>
          </w:tcPr>
          <w:p w14:paraId="1A6ED348" w14:textId="77777777" w:rsidR="00FD2150" w:rsidRPr="005218BF" w:rsidRDefault="00FD2150" w:rsidP="0079201F">
            <w:pPr>
              <w:rPr>
                <w:color w:val="000000"/>
              </w:rPr>
            </w:pPr>
            <w:proofErr w:type="spellStart"/>
            <w:r w:rsidRPr="005218BF">
              <w:rPr>
                <w:color w:val="000000"/>
              </w:rPr>
              <w:t>Metformin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850 mg</w:t>
            </w:r>
          </w:p>
        </w:tc>
        <w:tc>
          <w:tcPr>
            <w:tcW w:w="1365" w:type="dxa"/>
            <w:noWrap/>
            <w:hideMark/>
          </w:tcPr>
          <w:p w14:paraId="28AC3604"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71A10E84" w14:textId="77777777" w:rsidR="00FD2150" w:rsidRPr="005218BF" w:rsidRDefault="00FD2150" w:rsidP="0079201F">
            <w:pPr>
              <w:rPr>
                <w:color w:val="000000"/>
              </w:rPr>
            </w:pPr>
            <w:r w:rsidRPr="005218BF">
              <w:rPr>
                <w:color w:val="000000"/>
              </w:rPr>
              <w:t>60 x 850 mg</w:t>
            </w:r>
          </w:p>
        </w:tc>
      </w:tr>
      <w:tr w:rsidR="00FD2150" w:rsidRPr="005218BF" w14:paraId="1F32BA3B" w14:textId="77777777" w:rsidTr="0079201F">
        <w:tblPrEx>
          <w:jc w:val="left"/>
        </w:tblPrEx>
        <w:trPr>
          <w:trHeight w:val="290"/>
        </w:trPr>
        <w:tc>
          <w:tcPr>
            <w:tcW w:w="1145" w:type="dxa"/>
            <w:noWrap/>
            <w:hideMark/>
          </w:tcPr>
          <w:p w14:paraId="64D731E1" w14:textId="77777777" w:rsidR="00FD2150" w:rsidRPr="005218BF" w:rsidRDefault="00FD2150" w:rsidP="0079201F">
            <w:pPr>
              <w:rPr>
                <w:color w:val="000000"/>
              </w:rPr>
            </w:pPr>
            <w:r w:rsidRPr="005218BF">
              <w:rPr>
                <w:color w:val="000000"/>
              </w:rPr>
              <w:t>MYL0251</w:t>
            </w:r>
          </w:p>
        </w:tc>
        <w:tc>
          <w:tcPr>
            <w:tcW w:w="4037" w:type="dxa"/>
            <w:noWrap/>
            <w:hideMark/>
          </w:tcPr>
          <w:p w14:paraId="2EA1726F"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02AFE32C" w14:textId="77777777" w:rsidR="00FD2150" w:rsidRPr="005218BF" w:rsidRDefault="00FD2150" w:rsidP="0079201F">
            <w:pPr>
              <w:rPr>
                <w:color w:val="000000"/>
              </w:rPr>
            </w:pPr>
            <w:proofErr w:type="spellStart"/>
            <w:r w:rsidRPr="005218BF">
              <w:rPr>
                <w:color w:val="000000"/>
              </w:rPr>
              <w:t>por</w:t>
            </w:r>
            <w:proofErr w:type="spellEnd"/>
            <w:r w:rsidRPr="005218BF">
              <w:rPr>
                <w:color w:val="000000"/>
              </w:rPr>
              <w:t xml:space="preserve"> </w:t>
            </w:r>
            <w:proofErr w:type="spellStart"/>
            <w:r w:rsidRPr="005218BF">
              <w:rPr>
                <w:color w:val="000000"/>
              </w:rPr>
              <w:t>tbl</w:t>
            </w:r>
            <w:proofErr w:type="spellEnd"/>
            <w:r w:rsidRPr="005218BF">
              <w:rPr>
                <w:color w:val="000000"/>
              </w:rPr>
              <w:t xml:space="preserve"> dis</w:t>
            </w:r>
          </w:p>
        </w:tc>
        <w:tc>
          <w:tcPr>
            <w:tcW w:w="2604" w:type="dxa"/>
            <w:noWrap/>
            <w:hideMark/>
          </w:tcPr>
          <w:p w14:paraId="30AAB01B" w14:textId="77777777" w:rsidR="00FD2150" w:rsidRPr="005218BF" w:rsidRDefault="00FD2150" w:rsidP="0079201F">
            <w:pPr>
              <w:rPr>
                <w:color w:val="000000"/>
              </w:rPr>
            </w:pPr>
            <w:r w:rsidRPr="005218BF">
              <w:rPr>
                <w:color w:val="000000"/>
              </w:rPr>
              <w:t>28 x 1 x 10 mg</w:t>
            </w:r>
          </w:p>
        </w:tc>
      </w:tr>
      <w:tr w:rsidR="00FD2150" w:rsidRPr="005218BF" w14:paraId="3E6119FE" w14:textId="77777777" w:rsidTr="0079201F">
        <w:tblPrEx>
          <w:jc w:val="left"/>
        </w:tblPrEx>
        <w:trPr>
          <w:trHeight w:val="290"/>
        </w:trPr>
        <w:tc>
          <w:tcPr>
            <w:tcW w:w="1145" w:type="dxa"/>
            <w:noWrap/>
            <w:hideMark/>
          </w:tcPr>
          <w:p w14:paraId="781F194F" w14:textId="77777777" w:rsidR="00FD2150" w:rsidRPr="005218BF" w:rsidRDefault="00FD2150" w:rsidP="0079201F">
            <w:pPr>
              <w:rPr>
                <w:color w:val="000000"/>
              </w:rPr>
            </w:pPr>
            <w:r w:rsidRPr="005218BF">
              <w:rPr>
                <w:color w:val="000000"/>
              </w:rPr>
              <w:t>MYL0117</w:t>
            </w:r>
          </w:p>
        </w:tc>
        <w:tc>
          <w:tcPr>
            <w:tcW w:w="4037" w:type="dxa"/>
            <w:noWrap/>
            <w:hideMark/>
          </w:tcPr>
          <w:p w14:paraId="5C1AEE86"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103D6A37"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F208A29" w14:textId="77777777" w:rsidR="00FD2150" w:rsidRPr="005218BF" w:rsidRDefault="00FD2150" w:rsidP="0079201F">
            <w:pPr>
              <w:rPr>
                <w:color w:val="000000"/>
              </w:rPr>
            </w:pPr>
            <w:r w:rsidRPr="005218BF">
              <w:rPr>
                <w:color w:val="000000"/>
              </w:rPr>
              <w:t>28 x 10 mg</w:t>
            </w:r>
          </w:p>
        </w:tc>
      </w:tr>
      <w:tr w:rsidR="00FD2150" w:rsidRPr="005218BF" w14:paraId="7925CD78" w14:textId="77777777" w:rsidTr="0079201F">
        <w:tblPrEx>
          <w:jc w:val="left"/>
        </w:tblPrEx>
        <w:trPr>
          <w:trHeight w:val="290"/>
        </w:trPr>
        <w:tc>
          <w:tcPr>
            <w:tcW w:w="1145" w:type="dxa"/>
            <w:noWrap/>
            <w:hideMark/>
          </w:tcPr>
          <w:p w14:paraId="2E2EE99C" w14:textId="77777777" w:rsidR="00FD2150" w:rsidRPr="005218BF" w:rsidRDefault="00FD2150" w:rsidP="0079201F">
            <w:pPr>
              <w:rPr>
                <w:color w:val="000000"/>
              </w:rPr>
            </w:pPr>
            <w:r w:rsidRPr="005218BF">
              <w:rPr>
                <w:color w:val="000000"/>
              </w:rPr>
              <w:t>MYL0881</w:t>
            </w:r>
          </w:p>
        </w:tc>
        <w:tc>
          <w:tcPr>
            <w:tcW w:w="4037" w:type="dxa"/>
            <w:noWrap/>
            <w:hideMark/>
          </w:tcPr>
          <w:p w14:paraId="58C4D253"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11C58D07" w14:textId="77777777" w:rsidR="00FD2150" w:rsidRPr="005218BF" w:rsidRDefault="00FD2150" w:rsidP="0079201F">
            <w:pPr>
              <w:rPr>
                <w:color w:val="000000"/>
              </w:rPr>
            </w:pPr>
            <w:proofErr w:type="spellStart"/>
            <w:r w:rsidRPr="005218BF">
              <w:rPr>
                <w:color w:val="000000"/>
              </w:rPr>
              <w:t>por</w:t>
            </w:r>
            <w:proofErr w:type="spellEnd"/>
            <w:r w:rsidRPr="005218BF">
              <w:rPr>
                <w:color w:val="000000"/>
              </w:rPr>
              <w:t xml:space="preserve"> </w:t>
            </w:r>
            <w:proofErr w:type="spellStart"/>
            <w:r w:rsidRPr="005218BF">
              <w:rPr>
                <w:color w:val="000000"/>
              </w:rPr>
              <w:t>tbl</w:t>
            </w:r>
            <w:proofErr w:type="spellEnd"/>
            <w:r w:rsidRPr="005218BF">
              <w:rPr>
                <w:color w:val="000000"/>
              </w:rPr>
              <w:t xml:space="preserve"> dis</w:t>
            </w:r>
          </w:p>
        </w:tc>
        <w:tc>
          <w:tcPr>
            <w:tcW w:w="2604" w:type="dxa"/>
            <w:noWrap/>
            <w:hideMark/>
          </w:tcPr>
          <w:p w14:paraId="62BFF4F9" w14:textId="77777777" w:rsidR="00FD2150" w:rsidRPr="005218BF" w:rsidRDefault="00FD2150" w:rsidP="0079201F">
            <w:pPr>
              <w:rPr>
                <w:color w:val="000000"/>
              </w:rPr>
            </w:pPr>
            <w:r w:rsidRPr="005218BF">
              <w:rPr>
                <w:color w:val="000000"/>
              </w:rPr>
              <w:t>56 x 1 x 10 mg</w:t>
            </w:r>
          </w:p>
        </w:tc>
      </w:tr>
      <w:tr w:rsidR="00FD2150" w:rsidRPr="005218BF" w14:paraId="336B3199" w14:textId="77777777" w:rsidTr="0079201F">
        <w:tblPrEx>
          <w:jc w:val="left"/>
        </w:tblPrEx>
        <w:trPr>
          <w:trHeight w:val="290"/>
        </w:trPr>
        <w:tc>
          <w:tcPr>
            <w:tcW w:w="1145" w:type="dxa"/>
            <w:noWrap/>
            <w:hideMark/>
          </w:tcPr>
          <w:p w14:paraId="3A486CB4" w14:textId="77777777" w:rsidR="00FD2150" w:rsidRPr="005218BF" w:rsidRDefault="00FD2150" w:rsidP="0079201F">
            <w:pPr>
              <w:rPr>
                <w:color w:val="000000"/>
              </w:rPr>
            </w:pPr>
            <w:r w:rsidRPr="005218BF">
              <w:rPr>
                <w:color w:val="000000"/>
              </w:rPr>
              <w:t>MYL0822</w:t>
            </w:r>
          </w:p>
        </w:tc>
        <w:tc>
          <w:tcPr>
            <w:tcW w:w="4037" w:type="dxa"/>
            <w:noWrap/>
            <w:hideMark/>
          </w:tcPr>
          <w:p w14:paraId="077F15D4"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 mg</w:t>
            </w:r>
          </w:p>
        </w:tc>
        <w:tc>
          <w:tcPr>
            <w:tcW w:w="1365" w:type="dxa"/>
            <w:noWrap/>
            <w:hideMark/>
          </w:tcPr>
          <w:p w14:paraId="317510BA"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730F7793" w14:textId="77777777" w:rsidR="00FD2150" w:rsidRPr="005218BF" w:rsidRDefault="00FD2150" w:rsidP="0079201F">
            <w:pPr>
              <w:rPr>
                <w:color w:val="000000"/>
              </w:rPr>
            </w:pPr>
            <w:r w:rsidRPr="005218BF">
              <w:rPr>
                <w:color w:val="000000"/>
              </w:rPr>
              <w:t>56 x 10 mg</w:t>
            </w:r>
          </w:p>
        </w:tc>
      </w:tr>
      <w:tr w:rsidR="00FD2150" w:rsidRPr="005218BF" w14:paraId="2A3F1EBE" w14:textId="77777777" w:rsidTr="0079201F">
        <w:tblPrEx>
          <w:jc w:val="left"/>
        </w:tblPrEx>
        <w:trPr>
          <w:trHeight w:val="290"/>
        </w:trPr>
        <w:tc>
          <w:tcPr>
            <w:tcW w:w="1145" w:type="dxa"/>
            <w:noWrap/>
            <w:hideMark/>
          </w:tcPr>
          <w:p w14:paraId="325A8357" w14:textId="77777777" w:rsidR="00FD2150" w:rsidRPr="005218BF" w:rsidRDefault="00FD2150" w:rsidP="0079201F">
            <w:pPr>
              <w:rPr>
                <w:color w:val="000000"/>
              </w:rPr>
            </w:pPr>
            <w:r w:rsidRPr="005218BF">
              <w:rPr>
                <w:color w:val="000000"/>
              </w:rPr>
              <w:t>MYL0252</w:t>
            </w:r>
          </w:p>
        </w:tc>
        <w:tc>
          <w:tcPr>
            <w:tcW w:w="4037" w:type="dxa"/>
            <w:noWrap/>
            <w:hideMark/>
          </w:tcPr>
          <w:p w14:paraId="556D6264"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60648299" w14:textId="77777777" w:rsidR="00FD2150" w:rsidRPr="005218BF" w:rsidRDefault="00FD2150" w:rsidP="0079201F">
            <w:pPr>
              <w:rPr>
                <w:color w:val="000000"/>
              </w:rPr>
            </w:pPr>
            <w:proofErr w:type="spellStart"/>
            <w:r w:rsidRPr="005218BF">
              <w:rPr>
                <w:color w:val="000000"/>
              </w:rPr>
              <w:t>por</w:t>
            </w:r>
            <w:proofErr w:type="spellEnd"/>
            <w:r w:rsidRPr="005218BF">
              <w:rPr>
                <w:color w:val="000000"/>
              </w:rPr>
              <w:t xml:space="preserve"> </w:t>
            </w:r>
            <w:proofErr w:type="spellStart"/>
            <w:r w:rsidRPr="005218BF">
              <w:rPr>
                <w:color w:val="000000"/>
              </w:rPr>
              <w:t>tbl</w:t>
            </w:r>
            <w:proofErr w:type="spellEnd"/>
            <w:r w:rsidRPr="005218BF">
              <w:rPr>
                <w:color w:val="000000"/>
              </w:rPr>
              <w:t xml:space="preserve"> dis</w:t>
            </w:r>
          </w:p>
        </w:tc>
        <w:tc>
          <w:tcPr>
            <w:tcW w:w="2604" w:type="dxa"/>
            <w:noWrap/>
            <w:hideMark/>
          </w:tcPr>
          <w:p w14:paraId="0AF3137B" w14:textId="77777777" w:rsidR="00FD2150" w:rsidRPr="005218BF" w:rsidRDefault="00FD2150" w:rsidP="0079201F">
            <w:pPr>
              <w:rPr>
                <w:color w:val="000000"/>
              </w:rPr>
            </w:pPr>
            <w:r w:rsidRPr="005218BF">
              <w:rPr>
                <w:color w:val="000000"/>
              </w:rPr>
              <w:t>28 x 1 x 5 mg</w:t>
            </w:r>
          </w:p>
        </w:tc>
      </w:tr>
      <w:tr w:rsidR="00FD2150" w:rsidRPr="005218BF" w14:paraId="5A5AD104" w14:textId="77777777" w:rsidTr="0079201F">
        <w:tblPrEx>
          <w:jc w:val="left"/>
        </w:tblPrEx>
        <w:trPr>
          <w:trHeight w:val="290"/>
        </w:trPr>
        <w:tc>
          <w:tcPr>
            <w:tcW w:w="1145" w:type="dxa"/>
            <w:noWrap/>
            <w:hideMark/>
          </w:tcPr>
          <w:p w14:paraId="528B1652" w14:textId="77777777" w:rsidR="00FD2150" w:rsidRPr="005218BF" w:rsidRDefault="00FD2150" w:rsidP="0079201F">
            <w:pPr>
              <w:rPr>
                <w:color w:val="000000"/>
              </w:rPr>
            </w:pPr>
            <w:r w:rsidRPr="005218BF">
              <w:rPr>
                <w:color w:val="000000"/>
              </w:rPr>
              <w:t>MYL0118</w:t>
            </w:r>
          </w:p>
        </w:tc>
        <w:tc>
          <w:tcPr>
            <w:tcW w:w="4037" w:type="dxa"/>
            <w:noWrap/>
            <w:hideMark/>
          </w:tcPr>
          <w:p w14:paraId="3CE42394"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1735ABCD"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010C9272" w14:textId="77777777" w:rsidR="00FD2150" w:rsidRPr="005218BF" w:rsidRDefault="00FD2150" w:rsidP="0079201F">
            <w:pPr>
              <w:rPr>
                <w:color w:val="000000"/>
              </w:rPr>
            </w:pPr>
            <w:r w:rsidRPr="005218BF">
              <w:rPr>
                <w:color w:val="000000"/>
              </w:rPr>
              <w:t>28 x 5 mg</w:t>
            </w:r>
          </w:p>
        </w:tc>
      </w:tr>
      <w:tr w:rsidR="00FD2150" w:rsidRPr="005218BF" w14:paraId="57E80872" w14:textId="77777777" w:rsidTr="0079201F">
        <w:tblPrEx>
          <w:jc w:val="left"/>
        </w:tblPrEx>
        <w:trPr>
          <w:trHeight w:val="290"/>
        </w:trPr>
        <w:tc>
          <w:tcPr>
            <w:tcW w:w="1145" w:type="dxa"/>
            <w:noWrap/>
            <w:hideMark/>
          </w:tcPr>
          <w:p w14:paraId="691169BB" w14:textId="77777777" w:rsidR="00FD2150" w:rsidRPr="005218BF" w:rsidRDefault="00FD2150" w:rsidP="0079201F">
            <w:pPr>
              <w:rPr>
                <w:color w:val="000000"/>
              </w:rPr>
            </w:pPr>
            <w:r w:rsidRPr="005218BF">
              <w:rPr>
                <w:color w:val="000000"/>
              </w:rPr>
              <w:t>MYL0880</w:t>
            </w:r>
          </w:p>
        </w:tc>
        <w:tc>
          <w:tcPr>
            <w:tcW w:w="4037" w:type="dxa"/>
            <w:noWrap/>
            <w:hideMark/>
          </w:tcPr>
          <w:p w14:paraId="5C122A16"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3FE57133" w14:textId="77777777" w:rsidR="00FD2150" w:rsidRPr="005218BF" w:rsidRDefault="00FD2150" w:rsidP="0079201F">
            <w:pPr>
              <w:rPr>
                <w:color w:val="000000"/>
              </w:rPr>
            </w:pPr>
            <w:proofErr w:type="spellStart"/>
            <w:r w:rsidRPr="005218BF">
              <w:rPr>
                <w:color w:val="000000"/>
              </w:rPr>
              <w:t>por</w:t>
            </w:r>
            <w:proofErr w:type="spellEnd"/>
            <w:r w:rsidRPr="005218BF">
              <w:rPr>
                <w:color w:val="000000"/>
              </w:rPr>
              <w:t xml:space="preserve"> </w:t>
            </w:r>
            <w:proofErr w:type="spellStart"/>
            <w:r w:rsidRPr="005218BF">
              <w:rPr>
                <w:color w:val="000000"/>
              </w:rPr>
              <w:t>tbl</w:t>
            </w:r>
            <w:proofErr w:type="spellEnd"/>
            <w:r w:rsidRPr="005218BF">
              <w:rPr>
                <w:color w:val="000000"/>
              </w:rPr>
              <w:t xml:space="preserve"> dis</w:t>
            </w:r>
          </w:p>
        </w:tc>
        <w:tc>
          <w:tcPr>
            <w:tcW w:w="2604" w:type="dxa"/>
            <w:noWrap/>
            <w:hideMark/>
          </w:tcPr>
          <w:p w14:paraId="603477E2" w14:textId="77777777" w:rsidR="00FD2150" w:rsidRPr="005218BF" w:rsidRDefault="00FD2150" w:rsidP="0079201F">
            <w:pPr>
              <w:rPr>
                <w:color w:val="000000"/>
              </w:rPr>
            </w:pPr>
            <w:r w:rsidRPr="005218BF">
              <w:rPr>
                <w:color w:val="000000"/>
              </w:rPr>
              <w:t>56 x 1 x 5 mg</w:t>
            </w:r>
          </w:p>
        </w:tc>
      </w:tr>
      <w:tr w:rsidR="00FD2150" w:rsidRPr="005218BF" w14:paraId="10F3DC6B" w14:textId="77777777" w:rsidTr="0079201F">
        <w:tblPrEx>
          <w:jc w:val="left"/>
        </w:tblPrEx>
        <w:trPr>
          <w:trHeight w:val="290"/>
        </w:trPr>
        <w:tc>
          <w:tcPr>
            <w:tcW w:w="1145" w:type="dxa"/>
            <w:noWrap/>
            <w:hideMark/>
          </w:tcPr>
          <w:p w14:paraId="7B98D41A" w14:textId="77777777" w:rsidR="00FD2150" w:rsidRPr="005218BF" w:rsidRDefault="00FD2150" w:rsidP="0079201F">
            <w:pPr>
              <w:rPr>
                <w:color w:val="000000"/>
              </w:rPr>
            </w:pPr>
            <w:r w:rsidRPr="005218BF">
              <w:rPr>
                <w:color w:val="000000"/>
              </w:rPr>
              <w:t>MYL0885</w:t>
            </w:r>
          </w:p>
        </w:tc>
        <w:tc>
          <w:tcPr>
            <w:tcW w:w="4037" w:type="dxa"/>
            <w:noWrap/>
            <w:hideMark/>
          </w:tcPr>
          <w:p w14:paraId="310DEFB8" w14:textId="77777777" w:rsidR="00FD2150" w:rsidRPr="005218BF" w:rsidRDefault="00FD2150" w:rsidP="0079201F">
            <w:pPr>
              <w:rPr>
                <w:color w:val="000000"/>
              </w:rPr>
            </w:pPr>
            <w:proofErr w:type="spellStart"/>
            <w:r w:rsidRPr="005218BF">
              <w:rPr>
                <w:color w:val="000000"/>
              </w:rPr>
              <w:t>Olanzapin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 mg</w:t>
            </w:r>
          </w:p>
        </w:tc>
        <w:tc>
          <w:tcPr>
            <w:tcW w:w="1365" w:type="dxa"/>
            <w:noWrap/>
            <w:hideMark/>
          </w:tcPr>
          <w:p w14:paraId="7EB22C7F"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14620F5B" w14:textId="77777777" w:rsidR="00FD2150" w:rsidRPr="005218BF" w:rsidRDefault="00FD2150" w:rsidP="0079201F">
            <w:pPr>
              <w:rPr>
                <w:color w:val="000000"/>
              </w:rPr>
            </w:pPr>
            <w:r w:rsidRPr="005218BF">
              <w:rPr>
                <w:color w:val="000000"/>
              </w:rPr>
              <w:t>56 x 5 mg</w:t>
            </w:r>
          </w:p>
        </w:tc>
      </w:tr>
      <w:tr w:rsidR="00FD2150" w:rsidRPr="005218BF" w14:paraId="0E1C6B27" w14:textId="77777777" w:rsidTr="0079201F">
        <w:tblPrEx>
          <w:jc w:val="left"/>
        </w:tblPrEx>
        <w:trPr>
          <w:trHeight w:val="290"/>
        </w:trPr>
        <w:tc>
          <w:tcPr>
            <w:tcW w:w="1145" w:type="dxa"/>
            <w:noWrap/>
            <w:hideMark/>
          </w:tcPr>
          <w:p w14:paraId="765BBDD9" w14:textId="77777777" w:rsidR="00FD2150" w:rsidRPr="005218BF" w:rsidRDefault="00FD2150" w:rsidP="0079201F">
            <w:pPr>
              <w:rPr>
                <w:color w:val="000000"/>
              </w:rPr>
            </w:pPr>
            <w:r w:rsidRPr="005218BF">
              <w:rPr>
                <w:color w:val="000000"/>
              </w:rPr>
              <w:t>MYL0177</w:t>
            </w:r>
          </w:p>
        </w:tc>
        <w:tc>
          <w:tcPr>
            <w:tcW w:w="4037" w:type="dxa"/>
            <w:noWrap/>
            <w:hideMark/>
          </w:tcPr>
          <w:p w14:paraId="388F2AE3" w14:textId="77777777" w:rsidR="00FD2150" w:rsidRPr="005218BF" w:rsidRDefault="00FD2150" w:rsidP="0079201F">
            <w:pPr>
              <w:rPr>
                <w:color w:val="000000"/>
              </w:rPr>
            </w:pPr>
            <w:proofErr w:type="spellStart"/>
            <w:r w:rsidRPr="005218BF">
              <w:rPr>
                <w:color w:val="000000"/>
              </w:rPr>
              <w:t>Pioglitazon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30 mg</w:t>
            </w:r>
          </w:p>
        </w:tc>
        <w:tc>
          <w:tcPr>
            <w:tcW w:w="1365" w:type="dxa"/>
            <w:noWrap/>
            <w:hideMark/>
          </w:tcPr>
          <w:p w14:paraId="676D2672"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nob</w:t>
            </w:r>
            <w:proofErr w:type="spellEnd"/>
          </w:p>
        </w:tc>
        <w:tc>
          <w:tcPr>
            <w:tcW w:w="2604" w:type="dxa"/>
            <w:noWrap/>
            <w:hideMark/>
          </w:tcPr>
          <w:p w14:paraId="6168D767" w14:textId="77777777" w:rsidR="00FD2150" w:rsidRPr="005218BF" w:rsidRDefault="00FD2150" w:rsidP="0079201F">
            <w:pPr>
              <w:rPr>
                <w:color w:val="000000"/>
              </w:rPr>
            </w:pPr>
            <w:r w:rsidRPr="005218BF">
              <w:rPr>
                <w:color w:val="000000"/>
              </w:rPr>
              <w:t>28 x 30 mg</w:t>
            </w:r>
          </w:p>
        </w:tc>
      </w:tr>
      <w:tr w:rsidR="00FD2150" w:rsidRPr="005218BF" w14:paraId="2127B364" w14:textId="77777777" w:rsidTr="0079201F">
        <w:tblPrEx>
          <w:jc w:val="left"/>
        </w:tblPrEx>
        <w:trPr>
          <w:trHeight w:val="290"/>
        </w:trPr>
        <w:tc>
          <w:tcPr>
            <w:tcW w:w="1145" w:type="dxa"/>
            <w:noWrap/>
            <w:hideMark/>
          </w:tcPr>
          <w:p w14:paraId="73477DBF" w14:textId="77777777" w:rsidR="00FD2150" w:rsidRPr="005218BF" w:rsidRDefault="00FD2150" w:rsidP="0079201F">
            <w:pPr>
              <w:rPr>
                <w:color w:val="000000"/>
              </w:rPr>
            </w:pPr>
            <w:r w:rsidRPr="005218BF">
              <w:rPr>
                <w:color w:val="000000"/>
              </w:rPr>
              <w:t>MYL0147</w:t>
            </w:r>
          </w:p>
        </w:tc>
        <w:tc>
          <w:tcPr>
            <w:tcW w:w="4037" w:type="dxa"/>
            <w:noWrap/>
            <w:hideMark/>
          </w:tcPr>
          <w:p w14:paraId="18B00CA3" w14:textId="77777777" w:rsidR="00FD2150" w:rsidRPr="005218BF" w:rsidRDefault="00FD2150" w:rsidP="0079201F">
            <w:pPr>
              <w:rPr>
                <w:color w:val="000000"/>
              </w:rPr>
            </w:pPr>
            <w:proofErr w:type="spellStart"/>
            <w:r w:rsidRPr="005218BF">
              <w:rPr>
                <w:color w:val="000000"/>
              </w:rPr>
              <w:t>Sumatriptan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100 mg</w:t>
            </w:r>
          </w:p>
        </w:tc>
        <w:tc>
          <w:tcPr>
            <w:tcW w:w="1365" w:type="dxa"/>
            <w:noWrap/>
            <w:hideMark/>
          </w:tcPr>
          <w:p w14:paraId="34E1939F"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4CE8FC66" w14:textId="77777777" w:rsidR="00FD2150" w:rsidRPr="005218BF" w:rsidRDefault="00FD2150" w:rsidP="0079201F">
            <w:pPr>
              <w:rPr>
                <w:color w:val="000000"/>
              </w:rPr>
            </w:pPr>
            <w:r w:rsidRPr="005218BF">
              <w:rPr>
                <w:color w:val="000000"/>
              </w:rPr>
              <w:t>2 x 100 mg</w:t>
            </w:r>
          </w:p>
        </w:tc>
      </w:tr>
      <w:tr w:rsidR="00FD2150" w:rsidRPr="005218BF" w14:paraId="3026B965" w14:textId="77777777" w:rsidTr="0079201F">
        <w:tblPrEx>
          <w:jc w:val="left"/>
        </w:tblPrEx>
        <w:trPr>
          <w:trHeight w:val="290"/>
        </w:trPr>
        <w:tc>
          <w:tcPr>
            <w:tcW w:w="1145" w:type="dxa"/>
            <w:noWrap/>
            <w:hideMark/>
          </w:tcPr>
          <w:p w14:paraId="0B19D11B" w14:textId="77777777" w:rsidR="00FD2150" w:rsidRPr="005218BF" w:rsidRDefault="00FD2150" w:rsidP="0079201F">
            <w:pPr>
              <w:rPr>
                <w:color w:val="000000"/>
              </w:rPr>
            </w:pPr>
            <w:r w:rsidRPr="005218BF">
              <w:rPr>
                <w:color w:val="000000"/>
              </w:rPr>
              <w:t>MYL0148</w:t>
            </w:r>
          </w:p>
        </w:tc>
        <w:tc>
          <w:tcPr>
            <w:tcW w:w="4037" w:type="dxa"/>
            <w:noWrap/>
            <w:hideMark/>
          </w:tcPr>
          <w:p w14:paraId="7877C11C" w14:textId="77777777" w:rsidR="00FD2150" w:rsidRPr="005218BF" w:rsidRDefault="00FD2150" w:rsidP="0079201F">
            <w:pPr>
              <w:rPr>
                <w:color w:val="000000"/>
              </w:rPr>
            </w:pPr>
            <w:proofErr w:type="spellStart"/>
            <w:r w:rsidRPr="005218BF">
              <w:rPr>
                <w:color w:val="000000"/>
              </w:rPr>
              <w:t>Sumatriptan</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50 mg</w:t>
            </w:r>
          </w:p>
        </w:tc>
        <w:tc>
          <w:tcPr>
            <w:tcW w:w="1365" w:type="dxa"/>
            <w:noWrap/>
            <w:hideMark/>
          </w:tcPr>
          <w:p w14:paraId="25385A3E"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7DEAB4CB" w14:textId="77777777" w:rsidR="00FD2150" w:rsidRPr="005218BF" w:rsidRDefault="00FD2150" w:rsidP="0079201F">
            <w:pPr>
              <w:rPr>
                <w:color w:val="000000"/>
              </w:rPr>
            </w:pPr>
            <w:r w:rsidRPr="005218BF">
              <w:rPr>
                <w:color w:val="000000"/>
              </w:rPr>
              <w:t>6 x 50 mg</w:t>
            </w:r>
          </w:p>
        </w:tc>
      </w:tr>
      <w:tr w:rsidR="00FD2150" w:rsidRPr="005218BF" w14:paraId="692FF0DE" w14:textId="77777777" w:rsidTr="0079201F">
        <w:tblPrEx>
          <w:jc w:val="left"/>
        </w:tblPrEx>
        <w:trPr>
          <w:trHeight w:val="290"/>
        </w:trPr>
        <w:tc>
          <w:tcPr>
            <w:tcW w:w="1145" w:type="dxa"/>
            <w:noWrap/>
            <w:hideMark/>
          </w:tcPr>
          <w:p w14:paraId="58A33606" w14:textId="77777777" w:rsidR="00FD2150" w:rsidRPr="005218BF" w:rsidRDefault="00FD2150" w:rsidP="0079201F">
            <w:pPr>
              <w:rPr>
                <w:color w:val="000000"/>
              </w:rPr>
            </w:pPr>
            <w:r w:rsidRPr="005218BF">
              <w:rPr>
                <w:color w:val="000000"/>
              </w:rPr>
              <w:t>MYL0435</w:t>
            </w:r>
          </w:p>
        </w:tc>
        <w:tc>
          <w:tcPr>
            <w:tcW w:w="4037" w:type="dxa"/>
            <w:noWrap/>
            <w:hideMark/>
          </w:tcPr>
          <w:p w14:paraId="085C7852" w14:textId="77777777" w:rsidR="00FD2150" w:rsidRPr="005218BF" w:rsidRDefault="00FD2150" w:rsidP="0079201F">
            <w:pPr>
              <w:rPr>
                <w:color w:val="000000"/>
              </w:rPr>
            </w:pPr>
            <w:proofErr w:type="spellStart"/>
            <w:r w:rsidRPr="005218BF">
              <w:rPr>
                <w:color w:val="000000"/>
              </w:rPr>
              <w:t>Tarka</w:t>
            </w:r>
            <w:proofErr w:type="spellEnd"/>
            <w:r w:rsidRPr="005218BF">
              <w:rPr>
                <w:color w:val="000000"/>
              </w:rPr>
              <w:t xml:space="preserve"> 180 mg/2 mg </w:t>
            </w:r>
          </w:p>
        </w:tc>
        <w:tc>
          <w:tcPr>
            <w:tcW w:w="1365" w:type="dxa"/>
            <w:noWrap/>
            <w:hideMark/>
          </w:tcPr>
          <w:p w14:paraId="5E80AA18"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090A3F6D" w14:textId="77777777" w:rsidR="00FD2150" w:rsidRPr="005218BF" w:rsidRDefault="00FD2150" w:rsidP="0079201F">
            <w:pPr>
              <w:rPr>
                <w:color w:val="000000"/>
              </w:rPr>
            </w:pPr>
            <w:r w:rsidRPr="005218BF">
              <w:rPr>
                <w:color w:val="000000"/>
              </w:rPr>
              <w:t>28</w:t>
            </w:r>
          </w:p>
        </w:tc>
      </w:tr>
      <w:tr w:rsidR="00FD2150" w:rsidRPr="005218BF" w14:paraId="3FD89A7F" w14:textId="77777777" w:rsidTr="0079201F">
        <w:tblPrEx>
          <w:jc w:val="left"/>
        </w:tblPrEx>
        <w:trPr>
          <w:trHeight w:val="290"/>
        </w:trPr>
        <w:tc>
          <w:tcPr>
            <w:tcW w:w="1145" w:type="dxa"/>
            <w:noWrap/>
            <w:hideMark/>
          </w:tcPr>
          <w:p w14:paraId="6F385E4B" w14:textId="77777777" w:rsidR="00FD2150" w:rsidRPr="005218BF" w:rsidRDefault="00FD2150" w:rsidP="0079201F">
            <w:pPr>
              <w:rPr>
                <w:color w:val="000000"/>
              </w:rPr>
            </w:pPr>
            <w:r w:rsidRPr="005218BF">
              <w:rPr>
                <w:color w:val="000000"/>
              </w:rPr>
              <w:t>MYL0436</w:t>
            </w:r>
          </w:p>
        </w:tc>
        <w:tc>
          <w:tcPr>
            <w:tcW w:w="4037" w:type="dxa"/>
            <w:noWrap/>
            <w:hideMark/>
          </w:tcPr>
          <w:p w14:paraId="608667CB" w14:textId="77777777" w:rsidR="00FD2150" w:rsidRPr="005218BF" w:rsidRDefault="00FD2150" w:rsidP="0079201F">
            <w:pPr>
              <w:rPr>
                <w:color w:val="000000"/>
              </w:rPr>
            </w:pPr>
            <w:proofErr w:type="spellStart"/>
            <w:r w:rsidRPr="005218BF">
              <w:rPr>
                <w:color w:val="000000"/>
              </w:rPr>
              <w:t>Tarka</w:t>
            </w:r>
            <w:proofErr w:type="spellEnd"/>
            <w:r w:rsidRPr="005218BF">
              <w:rPr>
                <w:color w:val="000000"/>
              </w:rPr>
              <w:t xml:space="preserve"> 180 mg/2 mg </w:t>
            </w:r>
          </w:p>
        </w:tc>
        <w:tc>
          <w:tcPr>
            <w:tcW w:w="1365" w:type="dxa"/>
            <w:noWrap/>
            <w:hideMark/>
          </w:tcPr>
          <w:p w14:paraId="1F48BD07"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448866B2" w14:textId="77777777" w:rsidR="00FD2150" w:rsidRPr="005218BF" w:rsidRDefault="00FD2150" w:rsidP="0079201F">
            <w:pPr>
              <w:rPr>
                <w:color w:val="000000"/>
              </w:rPr>
            </w:pPr>
            <w:r w:rsidRPr="005218BF">
              <w:rPr>
                <w:color w:val="000000"/>
              </w:rPr>
              <w:t>98</w:t>
            </w:r>
          </w:p>
        </w:tc>
      </w:tr>
      <w:tr w:rsidR="00FD2150" w:rsidRPr="005218BF" w14:paraId="44D57ED6" w14:textId="77777777" w:rsidTr="0079201F">
        <w:tblPrEx>
          <w:jc w:val="left"/>
        </w:tblPrEx>
        <w:trPr>
          <w:trHeight w:val="290"/>
        </w:trPr>
        <w:tc>
          <w:tcPr>
            <w:tcW w:w="1145" w:type="dxa"/>
            <w:noWrap/>
            <w:hideMark/>
          </w:tcPr>
          <w:p w14:paraId="73ABE030" w14:textId="77777777" w:rsidR="00FD2150" w:rsidRPr="005218BF" w:rsidRDefault="00FD2150" w:rsidP="0079201F">
            <w:pPr>
              <w:rPr>
                <w:color w:val="000000"/>
              </w:rPr>
            </w:pPr>
            <w:r w:rsidRPr="005218BF">
              <w:rPr>
                <w:color w:val="000000"/>
              </w:rPr>
              <w:t>MYL0437</w:t>
            </w:r>
          </w:p>
        </w:tc>
        <w:tc>
          <w:tcPr>
            <w:tcW w:w="4037" w:type="dxa"/>
            <w:noWrap/>
            <w:hideMark/>
          </w:tcPr>
          <w:p w14:paraId="23C47A6A" w14:textId="77777777" w:rsidR="00FD2150" w:rsidRPr="005218BF" w:rsidRDefault="00FD2150" w:rsidP="0079201F">
            <w:pPr>
              <w:rPr>
                <w:color w:val="000000"/>
              </w:rPr>
            </w:pPr>
            <w:proofErr w:type="spellStart"/>
            <w:r w:rsidRPr="005218BF">
              <w:rPr>
                <w:color w:val="000000"/>
              </w:rPr>
              <w:t>Tarka</w:t>
            </w:r>
            <w:proofErr w:type="spellEnd"/>
            <w:r w:rsidRPr="005218BF">
              <w:rPr>
                <w:color w:val="000000"/>
              </w:rPr>
              <w:t xml:space="preserve"> 240 mg/4 mg </w:t>
            </w:r>
          </w:p>
        </w:tc>
        <w:tc>
          <w:tcPr>
            <w:tcW w:w="1365" w:type="dxa"/>
            <w:noWrap/>
            <w:hideMark/>
          </w:tcPr>
          <w:p w14:paraId="4398FA6B"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5ECBA067" w14:textId="77777777" w:rsidR="00FD2150" w:rsidRPr="005218BF" w:rsidRDefault="00FD2150" w:rsidP="0079201F">
            <w:pPr>
              <w:rPr>
                <w:color w:val="000000"/>
              </w:rPr>
            </w:pPr>
            <w:r w:rsidRPr="005218BF">
              <w:rPr>
                <w:color w:val="000000"/>
              </w:rPr>
              <w:t>28</w:t>
            </w:r>
          </w:p>
        </w:tc>
      </w:tr>
      <w:tr w:rsidR="00FD2150" w:rsidRPr="005218BF" w14:paraId="1022243D" w14:textId="77777777" w:rsidTr="0079201F">
        <w:tblPrEx>
          <w:jc w:val="left"/>
        </w:tblPrEx>
        <w:trPr>
          <w:trHeight w:val="290"/>
        </w:trPr>
        <w:tc>
          <w:tcPr>
            <w:tcW w:w="1145" w:type="dxa"/>
            <w:noWrap/>
            <w:hideMark/>
          </w:tcPr>
          <w:p w14:paraId="4D6FB567" w14:textId="77777777" w:rsidR="00FD2150" w:rsidRPr="005218BF" w:rsidRDefault="00FD2150" w:rsidP="0079201F">
            <w:pPr>
              <w:rPr>
                <w:color w:val="000000"/>
              </w:rPr>
            </w:pPr>
            <w:r w:rsidRPr="005218BF">
              <w:rPr>
                <w:color w:val="000000"/>
              </w:rPr>
              <w:t>MYL0438</w:t>
            </w:r>
          </w:p>
        </w:tc>
        <w:tc>
          <w:tcPr>
            <w:tcW w:w="4037" w:type="dxa"/>
            <w:noWrap/>
            <w:hideMark/>
          </w:tcPr>
          <w:p w14:paraId="518F0C34" w14:textId="77777777" w:rsidR="00FD2150" w:rsidRPr="005218BF" w:rsidRDefault="00FD2150" w:rsidP="0079201F">
            <w:pPr>
              <w:rPr>
                <w:color w:val="000000"/>
              </w:rPr>
            </w:pPr>
            <w:proofErr w:type="spellStart"/>
            <w:r w:rsidRPr="005218BF">
              <w:rPr>
                <w:color w:val="000000"/>
              </w:rPr>
              <w:t>Tarka</w:t>
            </w:r>
            <w:proofErr w:type="spellEnd"/>
            <w:r w:rsidRPr="005218BF">
              <w:rPr>
                <w:color w:val="000000"/>
              </w:rPr>
              <w:t xml:space="preserve"> 240 mg/4 mg </w:t>
            </w:r>
          </w:p>
        </w:tc>
        <w:tc>
          <w:tcPr>
            <w:tcW w:w="1365" w:type="dxa"/>
            <w:noWrap/>
            <w:hideMark/>
          </w:tcPr>
          <w:p w14:paraId="77D41448"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ret</w:t>
            </w:r>
          </w:p>
        </w:tc>
        <w:tc>
          <w:tcPr>
            <w:tcW w:w="2604" w:type="dxa"/>
            <w:noWrap/>
            <w:hideMark/>
          </w:tcPr>
          <w:p w14:paraId="1E1B15DB" w14:textId="77777777" w:rsidR="00FD2150" w:rsidRPr="005218BF" w:rsidRDefault="00FD2150" w:rsidP="0079201F">
            <w:pPr>
              <w:rPr>
                <w:color w:val="000000"/>
              </w:rPr>
            </w:pPr>
            <w:r w:rsidRPr="005218BF">
              <w:rPr>
                <w:color w:val="000000"/>
              </w:rPr>
              <w:t>98</w:t>
            </w:r>
          </w:p>
        </w:tc>
      </w:tr>
      <w:tr w:rsidR="00FD2150" w:rsidRPr="005218BF" w14:paraId="3A6F8195" w14:textId="77777777" w:rsidTr="0079201F">
        <w:tblPrEx>
          <w:jc w:val="left"/>
        </w:tblPrEx>
        <w:trPr>
          <w:trHeight w:val="290"/>
        </w:trPr>
        <w:tc>
          <w:tcPr>
            <w:tcW w:w="1145" w:type="dxa"/>
            <w:noWrap/>
            <w:hideMark/>
          </w:tcPr>
          <w:p w14:paraId="08D4FC0D" w14:textId="77777777" w:rsidR="00FD2150" w:rsidRPr="005218BF" w:rsidRDefault="00FD2150" w:rsidP="0079201F">
            <w:pPr>
              <w:rPr>
                <w:color w:val="000000"/>
              </w:rPr>
            </w:pPr>
            <w:r w:rsidRPr="005218BF">
              <w:rPr>
                <w:color w:val="000000"/>
              </w:rPr>
              <w:t>MYL0225</w:t>
            </w:r>
          </w:p>
        </w:tc>
        <w:tc>
          <w:tcPr>
            <w:tcW w:w="4037" w:type="dxa"/>
            <w:noWrap/>
            <w:hideMark/>
          </w:tcPr>
          <w:p w14:paraId="6DD62190" w14:textId="77777777" w:rsidR="00FD2150" w:rsidRPr="005218BF" w:rsidRDefault="00FD2150" w:rsidP="0079201F">
            <w:pPr>
              <w:rPr>
                <w:color w:val="000000"/>
              </w:rPr>
            </w:pPr>
            <w:proofErr w:type="spellStart"/>
            <w:r w:rsidRPr="005218BF">
              <w:rPr>
                <w:color w:val="000000"/>
              </w:rPr>
              <w:t>Valaciclovir</w:t>
            </w:r>
            <w:proofErr w:type="spellEnd"/>
            <w:r w:rsidRPr="005218BF">
              <w:rPr>
                <w:color w:val="000000"/>
              </w:rPr>
              <w:t xml:space="preserve"> </w:t>
            </w:r>
            <w:proofErr w:type="spellStart"/>
            <w:r w:rsidRPr="005218BF">
              <w:rPr>
                <w:color w:val="000000"/>
              </w:rPr>
              <w:t>Mylan</w:t>
            </w:r>
            <w:proofErr w:type="spellEnd"/>
            <w:r w:rsidRPr="005218BF">
              <w:rPr>
                <w:color w:val="000000"/>
              </w:rPr>
              <w:t xml:space="preserve"> 500 mg</w:t>
            </w:r>
          </w:p>
        </w:tc>
        <w:tc>
          <w:tcPr>
            <w:tcW w:w="1365" w:type="dxa"/>
            <w:noWrap/>
            <w:hideMark/>
          </w:tcPr>
          <w:p w14:paraId="4AD27CE9" w14:textId="77777777" w:rsidR="00FD2150" w:rsidRPr="005218BF" w:rsidRDefault="00FD2150" w:rsidP="0079201F">
            <w:pPr>
              <w:rPr>
                <w:color w:val="000000"/>
              </w:rPr>
            </w:pPr>
            <w:proofErr w:type="spellStart"/>
            <w:r w:rsidRPr="005218BF">
              <w:rPr>
                <w:color w:val="000000"/>
              </w:rPr>
              <w:t>tbl</w:t>
            </w:r>
            <w:proofErr w:type="spellEnd"/>
            <w:r w:rsidRPr="005218BF">
              <w:rPr>
                <w:color w:val="000000"/>
              </w:rPr>
              <w:t xml:space="preserve"> </w:t>
            </w:r>
            <w:proofErr w:type="spellStart"/>
            <w:r w:rsidRPr="005218BF">
              <w:rPr>
                <w:color w:val="000000"/>
              </w:rPr>
              <w:t>flm</w:t>
            </w:r>
            <w:proofErr w:type="spellEnd"/>
          </w:p>
        </w:tc>
        <w:tc>
          <w:tcPr>
            <w:tcW w:w="2604" w:type="dxa"/>
            <w:noWrap/>
            <w:hideMark/>
          </w:tcPr>
          <w:p w14:paraId="080ECA31" w14:textId="77777777" w:rsidR="00FD2150" w:rsidRPr="005218BF" w:rsidRDefault="00FD2150" w:rsidP="0079201F">
            <w:pPr>
              <w:rPr>
                <w:color w:val="000000"/>
              </w:rPr>
            </w:pPr>
            <w:r w:rsidRPr="005218BF">
              <w:rPr>
                <w:color w:val="000000"/>
              </w:rPr>
              <w:t>42 x 500 mg</w:t>
            </w:r>
          </w:p>
        </w:tc>
      </w:tr>
    </w:tbl>
    <w:p w14:paraId="62CB0B6A" w14:textId="77777777" w:rsidR="00FD2150" w:rsidRDefault="00FD2150" w:rsidP="00FD2150"/>
    <w:p w14:paraId="2281DCFE" w14:textId="77777777" w:rsidR="00FD2150" w:rsidRDefault="00FD2150" w:rsidP="00FD2150">
      <w:pPr>
        <w:spacing w:after="160" w:line="259" w:lineRule="auto"/>
      </w:pPr>
      <w:r>
        <w:br w:type="page"/>
      </w:r>
    </w:p>
    <w:tbl>
      <w:tblPr>
        <w:tblStyle w:val="Mkatabulky"/>
        <w:tblW w:w="9067" w:type="dxa"/>
        <w:tblLook w:val="04A0" w:firstRow="1" w:lastRow="0" w:firstColumn="1" w:lastColumn="0" w:noHBand="0" w:noVBand="1"/>
      </w:tblPr>
      <w:tblGrid>
        <w:gridCol w:w="4673"/>
        <w:gridCol w:w="4394"/>
      </w:tblGrid>
      <w:tr w:rsidR="00FD2150" w:rsidRPr="00D44FD8" w14:paraId="0E5E8DC8" w14:textId="77777777" w:rsidTr="0079201F">
        <w:tc>
          <w:tcPr>
            <w:tcW w:w="4673" w:type="dxa"/>
          </w:tcPr>
          <w:p w14:paraId="22E813AA" w14:textId="77777777" w:rsidR="00FD2150" w:rsidRPr="00D44FD8" w:rsidRDefault="00FD2150" w:rsidP="0079201F">
            <w:pPr>
              <w:pStyle w:val="Zkladntext2"/>
              <w:jc w:val="center"/>
              <w:rPr>
                <w:b/>
                <w:sz w:val="20"/>
              </w:rPr>
            </w:pPr>
            <w:r w:rsidRPr="00D44FD8">
              <w:rPr>
                <w:b/>
                <w:sz w:val="20"/>
              </w:rPr>
              <w:lastRenderedPageBreak/>
              <w:t>Příloha č. 2 – Vzor a výpočet bonusu</w:t>
            </w:r>
          </w:p>
        </w:tc>
        <w:tc>
          <w:tcPr>
            <w:tcW w:w="4394" w:type="dxa"/>
          </w:tcPr>
          <w:p w14:paraId="3C471788" w14:textId="77777777" w:rsidR="00FD2150" w:rsidRPr="00D44FD8" w:rsidRDefault="00FD2150" w:rsidP="0079201F">
            <w:pPr>
              <w:pStyle w:val="Zkladntext2"/>
              <w:ind w:left="-112"/>
              <w:jc w:val="center"/>
              <w:rPr>
                <w:b/>
                <w:sz w:val="20"/>
              </w:rPr>
            </w:pPr>
            <w:proofErr w:type="spellStart"/>
            <w:r w:rsidRPr="00D44FD8">
              <w:rPr>
                <w:b/>
                <w:sz w:val="20"/>
              </w:rPr>
              <w:t>Annex</w:t>
            </w:r>
            <w:proofErr w:type="spellEnd"/>
            <w:r w:rsidRPr="00D44FD8">
              <w:rPr>
                <w:b/>
                <w:sz w:val="20"/>
              </w:rPr>
              <w:t xml:space="preserve"> 2 – Bonus </w:t>
            </w:r>
            <w:proofErr w:type="spellStart"/>
            <w:r w:rsidRPr="00D44FD8">
              <w:rPr>
                <w:b/>
                <w:sz w:val="20"/>
              </w:rPr>
              <w:t>Pattern</w:t>
            </w:r>
            <w:proofErr w:type="spellEnd"/>
            <w:r w:rsidRPr="00D44FD8">
              <w:rPr>
                <w:b/>
                <w:sz w:val="20"/>
              </w:rPr>
              <w:t xml:space="preserve"> and </w:t>
            </w:r>
            <w:proofErr w:type="spellStart"/>
            <w:r w:rsidRPr="00D44FD8">
              <w:rPr>
                <w:b/>
                <w:sz w:val="20"/>
              </w:rPr>
              <w:t>Calculation</w:t>
            </w:r>
            <w:proofErr w:type="spellEnd"/>
          </w:p>
        </w:tc>
      </w:tr>
    </w:tbl>
    <w:p w14:paraId="5C71EF2C" w14:textId="77777777" w:rsidR="00FD2150" w:rsidRPr="00D44FD8" w:rsidRDefault="00FD2150" w:rsidP="00FD2150">
      <w:pPr>
        <w:rPr>
          <w:b/>
        </w:rPr>
      </w:pPr>
    </w:p>
    <w:p w14:paraId="19F149B2" w14:textId="77777777" w:rsidR="00FD2150" w:rsidRDefault="00FD2150" w:rsidP="00FD2150"/>
    <w:sectPr w:rsidR="00FD2150" w:rsidSect="00543B0F">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8F2F" w14:textId="77777777" w:rsidR="00523E4F" w:rsidRDefault="00523E4F">
      <w:r>
        <w:separator/>
      </w:r>
    </w:p>
  </w:endnote>
  <w:endnote w:type="continuationSeparator" w:id="0">
    <w:p w14:paraId="382124FF" w14:textId="77777777" w:rsidR="00523E4F" w:rsidRDefault="0052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43B0F" w:rsidRPr="00543B0F" w:rsidRDefault="00110063">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8E7F4F9" w14:textId="77777777" w:rsidR="00B51C9A" w:rsidRDefault="000F34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4B0D" w14:textId="77777777" w:rsidR="00523E4F" w:rsidRDefault="00523E4F">
      <w:r>
        <w:separator/>
      </w:r>
    </w:p>
  </w:footnote>
  <w:footnote w:type="continuationSeparator" w:id="0">
    <w:p w14:paraId="41A17A99" w14:textId="77777777" w:rsidR="00523E4F" w:rsidRDefault="0052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B134CE4E"/>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15365D"/>
    <w:multiLevelType w:val="hybridMultilevel"/>
    <w:tmpl w:val="86422344"/>
    <w:lvl w:ilvl="0" w:tplc="1876C0D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1"/>
  </w:num>
  <w:num w:numId="2">
    <w:abstractNumId w:val="4"/>
  </w:num>
  <w:num w:numId="3">
    <w:abstractNumId w:val="10"/>
  </w:num>
  <w:num w:numId="4">
    <w:abstractNumId w:val="0"/>
  </w:num>
  <w:num w:numId="5">
    <w:abstractNumId w:val="11"/>
  </w:num>
  <w:num w:numId="6">
    <w:abstractNumId w:val="16"/>
  </w:num>
  <w:num w:numId="7">
    <w:abstractNumId w:val="12"/>
  </w:num>
  <w:num w:numId="8">
    <w:abstractNumId w:val="6"/>
  </w:num>
  <w:num w:numId="9">
    <w:abstractNumId w:val="8"/>
  </w:num>
  <w:num w:numId="10">
    <w:abstractNumId w:val="5"/>
  </w:num>
  <w:num w:numId="11">
    <w:abstractNumId w:val="20"/>
  </w:num>
  <w:num w:numId="12">
    <w:abstractNumId w:val="15"/>
  </w:num>
  <w:num w:numId="13">
    <w:abstractNumId w:val="2"/>
  </w:num>
  <w:num w:numId="14">
    <w:abstractNumId w:val="9"/>
  </w:num>
  <w:num w:numId="15">
    <w:abstractNumId w:val="3"/>
  </w:num>
  <w:num w:numId="16">
    <w:abstractNumId w:val="1"/>
  </w:num>
  <w:num w:numId="17">
    <w:abstractNumId w:val="14"/>
  </w:num>
  <w:num w:numId="18">
    <w:abstractNumId w:val="19"/>
  </w:num>
  <w:num w:numId="19">
    <w:abstractNumId w:val="13"/>
  </w:num>
  <w:num w:numId="20">
    <w:abstractNumId w:val="18"/>
  </w:num>
  <w:num w:numId="21">
    <w:abstractNumId w:val="17"/>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23A40"/>
    <w:rsid w:val="00067F23"/>
    <w:rsid w:val="00072A01"/>
    <w:rsid w:val="00077DA9"/>
    <w:rsid w:val="00093AC6"/>
    <w:rsid w:val="000C39F3"/>
    <w:rsid w:val="000C746F"/>
    <w:rsid w:val="000F3459"/>
    <w:rsid w:val="001001A7"/>
    <w:rsid w:val="00101C62"/>
    <w:rsid w:val="00110063"/>
    <w:rsid w:val="001119E4"/>
    <w:rsid w:val="001304CA"/>
    <w:rsid w:val="00173E01"/>
    <w:rsid w:val="001A714C"/>
    <w:rsid w:val="001B00B9"/>
    <w:rsid w:val="001B30DD"/>
    <w:rsid w:val="001B5EBA"/>
    <w:rsid w:val="002126CB"/>
    <w:rsid w:val="00230054"/>
    <w:rsid w:val="002429CD"/>
    <w:rsid w:val="0024714E"/>
    <w:rsid w:val="00250AE2"/>
    <w:rsid w:val="002564DE"/>
    <w:rsid w:val="00264495"/>
    <w:rsid w:val="002746F4"/>
    <w:rsid w:val="00275C1D"/>
    <w:rsid w:val="002A06A3"/>
    <w:rsid w:val="002C3C4E"/>
    <w:rsid w:val="002F4C9E"/>
    <w:rsid w:val="003009A9"/>
    <w:rsid w:val="003354C1"/>
    <w:rsid w:val="0034571F"/>
    <w:rsid w:val="00363452"/>
    <w:rsid w:val="0038006F"/>
    <w:rsid w:val="00382550"/>
    <w:rsid w:val="00390D58"/>
    <w:rsid w:val="00395697"/>
    <w:rsid w:val="003B0544"/>
    <w:rsid w:val="003C401A"/>
    <w:rsid w:val="003D378D"/>
    <w:rsid w:val="003E7D6A"/>
    <w:rsid w:val="00411B08"/>
    <w:rsid w:val="00421F7C"/>
    <w:rsid w:val="00430EE4"/>
    <w:rsid w:val="00460B03"/>
    <w:rsid w:val="0047702F"/>
    <w:rsid w:val="004C06E2"/>
    <w:rsid w:val="005173A6"/>
    <w:rsid w:val="005234F4"/>
    <w:rsid w:val="00523E4F"/>
    <w:rsid w:val="00526C17"/>
    <w:rsid w:val="00541468"/>
    <w:rsid w:val="00543CB9"/>
    <w:rsid w:val="00572891"/>
    <w:rsid w:val="00591193"/>
    <w:rsid w:val="005929BA"/>
    <w:rsid w:val="00594C34"/>
    <w:rsid w:val="005A75A4"/>
    <w:rsid w:val="005D08B0"/>
    <w:rsid w:val="00610EC8"/>
    <w:rsid w:val="00631453"/>
    <w:rsid w:val="0069610F"/>
    <w:rsid w:val="006A343F"/>
    <w:rsid w:val="006D1F1B"/>
    <w:rsid w:val="006D7480"/>
    <w:rsid w:val="006E3524"/>
    <w:rsid w:val="00710E97"/>
    <w:rsid w:val="00734CD2"/>
    <w:rsid w:val="00766848"/>
    <w:rsid w:val="007B5D4C"/>
    <w:rsid w:val="007D0AAA"/>
    <w:rsid w:val="007D2D28"/>
    <w:rsid w:val="007D4C72"/>
    <w:rsid w:val="008210ED"/>
    <w:rsid w:val="00825667"/>
    <w:rsid w:val="00864F1E"/>
    <w:rsid w:val="008D7D62"/>
    <w:rsid w:val="00914543"/>
    <w:rsid w:val="009153DD"/>
    <w:rsid w:val="0092450E"/>
    <w:rsid w:val="0092541D"/>
    <w:rsid w:val="009344E1"/>
    <w:rsid w:val="00975665"/>
    <w:rsid w:val="00984AA9"/>
    <w:rsid w:val="009901A1"/>
    <w:rsid w:val="00993A5B"/>
    <w:rsid w:val="009A22DF"/>
    <w:rsid w:val="009A2667"/>
    <w:rsid w:val="009B0972"/>
    <w:rsid w:val="009B1AE8"/>
    <w:rsid w:val="009B7196"/>
    <w:rsid w:val="009C4966"/>
    <w:rsid w:val="009E60B4"/>
    <w:rsid w:val="009F2680"/>
    <w:rsid w:val="00A033F3"/>
    <w:rsid w:val="00A23E73"/>
    <w:rsid w:val="00A26498"/>
    <w:rsid w:val="00AB7F41"/>
    <w:rsid w:val="00AE7A99"/>
    <w:rsid w:val="00B1219B"/>
    <w:rsid w:val="00B64BB0"/>
    <w:rsid w:val="00B74AC7"/>
    <w:rsid w:val="00B82B00"/>
    <w:rsid w:val="00B931A8"/>
    <w:rsid w:val="00BF1FE5"/>
    <w:rsid w:val="00BF20FC"/>
    <w:rsid w:val="00BF6647"/>
    <w:rsid w:val="00C75CE3"/>
    <w:rsid w:val="00C906C8"/>
    <w:rsid w:val="00C96B61"/>
    <w:rsid w:val="00CA78DE"/>
    <w:rsid w:val="00CE7B9F"/>
    <w:rsid w:val="00D2725C"/>
    <w:rsid w:val="00D71026"/>
    <w:rsid w:val="00D878EF"/>
    <w:rsid w:val="00D9782D"/>
    <w:rsid w:val="00DA23BB"/>
    <w:rsid w:val="00DA48B6"/>
    <w:rsid w:val="00DD4546"/>
    <w:rsid w:val="00DD491D"/>
    <w:rsid w:val="00DE7512"/>
    <w:rsid w:val="00DF24D1"/>
    <w:rsid w:val="00DF60AB"/>
    <w:rsid w:val="00E02DD6"/>
    <w:rsid w:val="00E06D77"/>
    <w:rsid w:val="00E15641"/>
    <w:rsid w:val="00E22E37"/>
    <w:rsid w:val="00E43708"/>
    <w:rsid w:val="00E43BA9"/>
    <w:rsid w:val="00E5643A"/>
    <w:rsid w:val="00E762AE"/>
    <w:rsid w:val="00E85BC1"/>
    <w:rsid w:val="00E932C4"/>
    <w:rsid w:val="00E954F0"/>
    <w:rsid w:val="00EA1223"/>
    <w:rsid w:val="00EE56F1"/>
    <w:rsid w:val="00EF0586"/>
    <w:rsid w:val="00EF6AFE"/>
    <w:rsid w:val="00F008A0"/>
    <w:rsid w:val="00F022E9"/>
    <w:rsid w:val="00F03774"/>
    <w:rsid w:val="00F10512"/>
    <w:rsid w:val="00F24094"/>
    <w:rsid w:val="00F37F28"/>
    <w:rsid w:val="00F83D13"/>
    <w:rsid w:val="00FC7FEC"/>
    <w:rsid w:val="00FD2150"/>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 w:type="paragraph" w:customStyle="1" w:styleId="msonormal0">
    <w:name w:val="msonormal"/>
    <w:basedOn w:val="Normln"/>
    <w:rsid w:val="00101C6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517741974">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68EE4-EB21-452C-9FCB-F630332E2E04}">
  <ds:schemaRefs>
    <ds:schemaRef ds:uri="http://schemas.microsoft.com/sharepoint/v3/contenttype/forms"/>
  </ds:schemaRefs>
</ds:datastoreItem>
</file>

<file path=customXml/itemProps3.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5073</Words>
  <Characters>29936</Characters>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2022-07-11T10:36:00Z</dcterms:created>
  <dcterms:modified xsi:type="dcterms:W3CDTF">2022-07-12T09:46:00Z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