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titlePg/>
          <w:footnotePr>
            <w:pos w:val="pageBottom"/>
            <w:numFmt w:val="decimal"/>
            <w:numRestart w:val="continuous"/>
          </w:footnotePr>
          <w:pgSz w:w="11900" w:h="16840"/>
          <w:pgMar w:top="2132" w:left="0" w:right="0" w:bottom="195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5" w:line="300" w:lineRule="exact"/>
        <w:ind w:left="0" w:right="40" w:firstLine="0"/>
      </w:pPr>
      <w:bookmarkStart w:id="0" w:name="bookmark0"/>
      <w:r>
        <w:rPr>
          <w:rStyle w:val="CharStyle10"/>
          <w:b/>
          <w:bCs/>
        </w:rPr>
        <w:t>DODATEK č. 18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ke kupní smlouvě „Asfaltová směs na výspravu za horka, Část XV. - cestmistrovství Bystřice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888" w:line="24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nad Pernštejnem", uzavřené dne 22. 4. 2010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32" w:line="240" w:lineRule="exact"/>
        <w:ind w:left="0" w:right="0" w:firstLine="0"/>
      </w:pPr>
      <w:r>
        <w:pict>
          <v:shape id="_x0000_s1030" type="#_x0000_t202" style="position:absolute;margin-left:-0.5pt;margin-top:-3.35pt;width:92.65pt;height:75.85pt;z-index:-125829376;mso-wrap-distance-left:5.pt;mso-wrap-distance-right:17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8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88" w:lineRule="exact"/>
                    <w:ind w:left="0" w:right="0" w:firstLine="0"/>
                  </w:pPr>
                  <w:r>
                    <w:rPr>
                      <w:rStyle w:val="CharStyle6"/>
                    </w:rPr>
                    <w:t xml:space="preserve">Bankovní spojení: </w:t>
                  </w:r>
                  <w:r>
                    <w:rPr>
                      <w:rStyle w:val="CharStyle7"/>
                    </w:rPr>
                    <w:t>IČ: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88" w:lineRule="exact"/>
                    <w:ind w:left="0" w:right="0" w:firstLine="0"/>
                  </w:pPr>
                  <w:r>
                    <w:rPr>
                      <w:rStyle w:val="CharStyle6"/>
                    </w:rPr>
                    <w:t>DIČ: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88" w:lineRule="exact"/>
                    <w:ind w:left="0" w:right="0" w:firstLine="0"/>
                  </w:pPr>
                  <w:r>
                    <w:rPr>
                      <w:rStyle w:val="CharStyle6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2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 90 450 CZ00090450 Kraj Vysočina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84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(na straně jedné, jako kupující)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COLAS CZ, a.s.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Rubeška 215/1, Vysočany, 190 00 Praha 9,</w:t>
      </w:r>
    </w:p>
    <w:p>
      <w:pPr>
        <w:pStyle w:val="Style3"/>
        <w:tabs>
          <w:tab w:leader="none" w:pos="2082" w:val="left"/>
          <w:tab w:leader="none" w:pos="44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Pavlem Šrámkem,</w:t>
        <w:tab/>
        <w:t>ředitelem závodu Obalovny, na základě plné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2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moci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</w:p>
    <w:p>
      <w:pPr>
        <w:pStyle w:val="Style5"/>
        <w:tabs>
          <w:tab w:leader="none" w:pos="20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261 77 005</w:t>
      </w:r>
    </w:p>
    <w:p>
      <w:pPr>
        <w:pStyle w:val="Style5"/>
        <w:tabs>
          <w:tab w:leader="none" w:pos="20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CZ26177005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Společnost je zapsaná v obchodním rejstříku, vedeném Městským soudem v Praze oddíl B, vložka 6556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54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(na straně druhé jako prodávající)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40" w:firstLine="0"/>
      </w:pPr>
      <w:bookmarkStart w:id="1" w:name="bookmark1"/>
      <w:r>
        <w:rPr>
          <w:rStyle w:val="CharStyle17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1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0"/>
      </w:pPr>
      <w:r>
        <w:rPr>
          <w:rStyle w:val="CharStyle18"/>
        </w:rPr>
        <w:t>2</w:t>
      </w:r>
      <w:r>
        <w:rPr>
          <w:rStyle w:val="CharStyle19"/>
        </w:rPr>
        <w:t>.</w:t>
      </w:r>
      <w:r>
        <w:rPr>
          <w:rStyle w:val="CharStyle18"/>
        </w:rPr>
        <w:t>1</w:t>
      </w:r>
      <w:r>
        <w:rPr>
          <w:rStyle w:val="CharStyle19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změně stávající kupní smlouvy číslo kupujícího 37/KSÚSV/ZR/10 ze dne 22. 4. 2010 ve znění Dodatků č. 1 až 17 (dále jen „smlouva"), spočívající v navýšení ceny za plnění a přistoupily proto k uzavření tohoto Dodatku č. 18 v souladu s čl. 11 odst. 11.2. smlouvy, a to z důvodů:</w:t>
      </w:r>
    </w:p>
    <w:p>
      <w:pPr>
        <w:pStyle w:val="Style5"/>
        <w:numPr>
          <w:ilvl w:val="0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93" w:lineRule="exact"/>
        <w:ind w:left="7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naplnění podmínek inflační doložky dle čl. 9 smlouvy, na základě ročního růstu indexu spotřebitelských cen vyhlášených Českým statistickým úřadem za roky 2011, 2012, 2013, 2014, 2015, 2016, 2017, 2018, 2019, 2020 a 2021; a současně</w:t>
      </w:r>
    </w:p>
    <w:p>
      <w:pPr>
        <w:pStyle w:val="Style5"/>
        <w:numPr>
          <w:ilvl w:val="0"/>
          <w:numId w:val="1"/>
        </w:numPr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7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zásadního zvýšení vstupních nákladů prodávajícího souvisejících s těžbou a výrobou kameniva (zejména nárůst cen energií, vrtacích a trhacích prací atd.) a nárůstu ceny bitumenů, převyšující inflaci vyjádřenou přírůstkem průměrného ročního indexu</w:t>
      </w:r>
      <w:r>
        <w:br w:type="page"/>
      </w:r>
    </w:p>
    <w:p>
      <w:pPr>
        <w:pStyle w:val="Style5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293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spotřebitelských cen, především v letech 2020-2021, jež nastaly v důsledku okolností, které smluvní strany jednající s náležitou péčí nemohly předvídat ani ovlivnit.</w:t>
      </w:r>
    </w:p>
    <w:p>
      <w:pPr>
        <w:pStyle w:val="Style5"/>
        <w:numPr>
          <w:ilvl w:val="0"/>
          <w:numId w:val="3"/>
        </w:numPr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6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plnění dle čl. 3 smlouvy se s účinnosti od 1. července 2022 navyšuje:</w:t>
      </w:r>
    </w:p>
    <w:p>
      <w:pPr>
        <w:pStyle w:val="Style5"/>
        <w:numPr>
          <w:ilvl w:val="0"/>
          <w:numId w:val="5"/>
        </w:numPr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93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 průměrnou míru inflace v roce 2011, tj. + 1,9 %, 2012, tj. +3,3 %, 2013, tj. +1,4 %, 2014, tj. +0,4 %, 2015, tj. +0,3 %, 2016, tj. +0,7 %, 2017, tj. +2,5 %, 2018, tj. +2,1 %; 2019, tj. +2,8 %; 2020, tj. +3,2 %; 2021, tj. +3,8 %; celkem tedy o +22,4 % z platných cen aktualizovaných Dodatkem č. 1 smlouvy; a dále</w:t>
      </w:r>
    </w:p>
    <w:p>
      <w:pPr>
        <w:pStyle w:val="Style5"/>
        <w:numPr>
          <w:ilvl w:val="0"/>
          <w:numId w:val="5"/>
        </w:numPr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293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 9,99 % v souvislosti s nárůstem vstupních nákladů a cen surovin specifikovaných v odst. 2.1 tohoto článku (v souladu s § 222 odst. 4 ZZVZ), a to z platných cen aktualizovaných Dodatkem č. 1 smlouvy.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458" w:line="24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Celkové navýšení jednotkových cen za plnění dle smlouvy činí 32,39 %.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3.</w:t>
      </w:r>
    </w:p>
    <w:p>
      <w:pPr>
        <w:pStyle w:val="Style5"/>
        <w:numPr>
          <w:ilvl w:val="0"/>
          <w:numId w:val="7"/>
        </w:numPr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Ceny za plnění sjednané v čl. 3 odst. 3.1. smlouvy se v souladu s výše uvedeným nahrazují od 1. července 2022 novými cenami, jež jsou specifikovány v příloze tohoto Dodatku č. 18 - Ceník asfaltových směsí pro měsíc červenec 2022.</w:t>
      </w:r>
    </w:p>
    <w:p>
      <w:pPr>
        <w:pStyle w:val="Style5"/>
        <w:numPr>
          <w:ilvl w:val="0"/>
          <w:numId w:val="7"/>
        </w:numPr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souhlasí s Ceníkem asfaltových směsí pro měsíc červenec 2022 ještě před platností a účinností tohoto Dodatku č. 18.</w:t>
      </w:r>
    </w:p>
    <w:p>
      <w:pPr>
        <w:pStyle w:val="Style5"/>
        <w:numPr>
          <w:ilvl w:val="0"/>
          <w:numId w:val="7"/>
        </w:numPr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„Plnění předmětu tohoto Dodatku č. 18 před jeho účinností se považuje za plnění dle tohoto Dodatku č. 18 a práva a povinnosti z toho vzniklá se řídí tímto Dodatkem č. 18."</w:t>
      </w:r>
    </w:p>
    <w:p>
      <w:pPr>
        <w:pStyle w:val="Style5"/>
        <w:numPr>
          <w:ilvl w:val="0"/>
          <w:numId w:val="7"/>
        </w:numPr>
        <w:tabs>
          <w:tab w:leader="none" w:pos="7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82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61" w:line="240" w:lineRule="exact"/>
        <w:ind w:left="4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4.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0"/>
        <w:sectPr>
          <w:type w:val="continuous"/>
          <w:pgSz w:w="11900" w:h="16840"/>
          <w:pgMar w:top="2132" w:left="1362" w:right="1379" w:bottom="195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Prodávající je povinen kupujícího bez zbytečného odkladu upozornit na skutečnost, že konkrétní dílčí objednávku nelze splnit z důvodů nezávislých na vůli prodávajícího, zejména:</w:t>
      </w:r>
    </w:p>
    <w:p>
      <w:pPr>
        <w:pStyle w:val="Style5"/>
        <w:numPr>
          <w:ilvl w:val="0"/>
          <w:numId w:val="9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stavu nouze v energetice (přerušení dodávek zemního plynu nebo přerušení dodávek elektrické energie) ze strany distributora nebo dodavatele zemního plynu resp. elektrické energie;</w:t>
      </w:r>
    </w:p>
    <w:p>
      <w:pPr>
        <w:pStyle w:val="Style5"/>
        <w:numPr>
          <w:ilvl w:val="0"/>
          <w:numId w:val="9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93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nedostupnosti nebo nedostatečného množství bitumenů (asfaltů) z produkce rafinerie Litvínov jako vstupní suroviny pro výrobu asfaltových směsí.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582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kupující prodávajícímu již při objednávce zboží sdělil, že na opožděném plnění nebude mít zájem a dílčí objednávku nebude z důvodů uvedených v předešlém odstavci možné splnit, zaniká závazek z dílčí objednávky již sdělením prodávajícího o existenci překážky plnění resp. počátkem prodlení prodávajícího (podle toho, co nastane dříve), ledaže kupující prodávajícímu bez zbytečného odkladu oznámí, že na splnění dílčí objednávky trvá i po určené době.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61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2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shora citované smlouvy nedotčené Dodatkem č. 18 ve znění platných Dodatků č. 1 až 17 se nemění a zůstávají v platnosti.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7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18 je nedílnou součástí smlouvy v aktuálním znění.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4" w:line="29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18 je vyhotoven v elektronické podobě, přičemž obě smluvní strany obdrží jeho elektronický originál.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2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18 je </w:t>
      </w:r>
      <w:r>
        <w:rPr>
          <w:rStyle w:val="CharStyle23"/>
        </w:rPr>
        <w:t>platný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91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18 je </w:t>
      </w:r>
      <w:r>
        <w:rPr>
          <w:rStyle w:val="CharStyle23"/>
        </w:rPr>
        <w:t>účinný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dnem jeho uveřejnění v registru smluv.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18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kupující.</w:t>
      </w:r>
    </w:p>
    <w:p>
      <w:pPr>
        <w:pStyle w:val="Style5"/>
        <w:numPr>
          <w:ilvl w:val="0"/>
          <w:numId w:val="1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č. 18 a prohlašují, že si jej přečetly, s jeho obsahem souhlasí, že byl sepsán na základě pravdivých údajů, z jejich pravé a svobodné vůle a nebyl uzavřen v tísni za jednostranně nevýhodných podmínek.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0" w:right="0" w:firstLine="0"/>
        <w:sectPr>
          <w:pgSz w:w="11900" w:h="16840"/>
          <w:pgMar w:top="2023" w:left="1382" w:right="1384" w:bottom="176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TOHOTO DODATKU K NĚMU SMLUVNÍ STRANY PŘIPOJILY SVÉ UZNÁVANÉ ELEKTRONICKÉ PODPISY DLE ZÁKONA Č. 297/2016 SB., O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22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SLUŽBÁCH VYTVÁŘEJÍCÍCH DŮVĚRU PRO ELEKTRONICKÉ TRANSAKCE, VE ZNĚNÍ POZDĚJŠÍCH PŘEDPISŮ.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55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- Ceník asfaltových směsí červenec 2022</w:t>
      </w:r>
    </w:p>
    <w:tbl>
      <w:tblPr>
        <w:tblOverlap w:val="never"/>
        <w:tblLayout w:type="fixed"/>
        <w:jc w:val="center"/>
      </w:tblPr>
      <w:tblGrid>
        <w:gridCol w:w="5150"/>
        <w:gridCol w:w="3960"/>
      </w:tblGrid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1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 Jihlavě dne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1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 Jihlavě dne</w:t>
            </w:r>
          </w:p>
        </w:tc>
      </w:tr>
    </w:tbl>
    <w:p>
      <w:pPr>
        <w:framePr w:w="911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174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5150"/>
        <w:gridCol w:w="3960"/>
      </w:tblGrid>
      <w:tr>
        <w:trPr>
          <w:trHeight w:val="117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1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Ing. Pavel Šrámek ředitel obaloven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1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52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Ing. Radovan Necid ředitel organizace Krajská správa a údržba silnic Vysočiny, příspěvková organizace</w:t>
            </w:r>
          </w:p>
        </w:tc>
      </w:tr>
    </w:tbl>
    <w:p>
      <w:pPr>
        <w:framePr w:w="911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9"/>
          <w:footerReference w:type="default" r:id="rId10"/>
          <w:headerReference w:type="first" r:id="rId11"/>
          <w:footerReference w:type="first" r:id="rId12"/>
          <w:titlePg/>
          <w:pgSz w:w="11900" w:h="16840"/>
          <w:pgMar w:top="2023" w:left="1382" w:right="1384" w:bottom="1769" w:header="0" w:footer="3" w:gutter="0"/>
          <w:rtlGutter w:val="0"/>
          <w:cols w:space="720"/>
          <w:noEndnote/>
          <w:docGrid w:linePitch="360"/>
        </w:sectPr>
      </w:pPr>
    </w:p>
    <w:p>
      <w:pPr>
        <w:pStyle w:val="Style24"/>
        <w:tabs>
          <w:tab w:leader="none" w:pos="5968" w:val="left"/>
        </w:tabs>
        <w:widowControl w:val="0"/>
        <w:keepNext/>
        <w:keepLines/>
        <w:shd w:val="clear" w:color="auto" w:fill="auto"/>
        <w:bidi w:val="0"/>
        <w:spacing w:before="0" w:after="330" w:line="440" w:lineRule="exact"/>
        <w:ind w:left="760" w:right="0" w:firstLine="0"/>
      </w:pPr>
      <w:bookmarkStart w:id="3" w:name="bookmark3"/>
      <w:r>
        <w:rPr>
          <w:rStyle w:val="CharStyle26"/>
          <w:b/>
          <w:bCs/>
        </w:rPr>
        <w:t>colas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Příloha</w:t>
      </w:r>
      <w:bookmarkEnd w:id="3"/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1040" w:right="0" w:firstLine="0"/>
      </w:pPr>
      <w:r>
        <w:rPr>
          <w:lang w:val="cs-CZ" w:eastAsia="cs-CZ" w:bidi="cs-CZ"/>
          <w:w w:val="100"/>
          <w:color w:val="000000"/>
          <w:position w:val="0"/>
        </w:rPr>
        <w:t>COLAS CZ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  <w:sectPr>
          <w:pgSz w:w="11900" w:h="16840"/>
          <w:pgMar w:top="3437" w:left="1109" w:right="1258" w:bottom="476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18 - Ceník asfaltových směsí pro měsíc červenec 2022</w:t>
        <w:br/>
        <w:t>PLATNÝ PRO ČERVENEC 2022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437" w:left="0" w:right="0" w:bottom="4762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  <w:sectPr>
          <w:type w:val="continuous"/>
          <w:pgSz w:w="11900" w:h="16840"/>
          <w:pgMar w:top="3437" w:left="1172" w:right="1321" w:bottom="4762" w:header="0" w:footer="3" w:gutter="0"/>
          <w:rtlGutter w:val="0"/>
          <w:cols w:num="2" w:space="1248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č. smi. prodávajícího: KS 5/2010</w:t>
        <w:br w:type="column"/>
        <w:t>č. smi. kupujícího: 37/KSÚSV/ZR/10</w:t>
      </w:r>
    </w:p>
    <w:p>
      <w:pPr>
        <w:widowControl w:val="0"/>
        <w:spacing w:line="202" w:lineRule="exact"/>
        <w:rPr>
          <w:sz w:val="16"/>
          <w:szCs w:val="16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92" w:left="0" w:right="0" w:bottom="174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510" w:lineRule="exact"/>
      </w:pPr>
      <w:r>
        <w:pict>
          <v:shape id="_x0000_s1035" type="#_x0000_t202" style="position:absolute;margin-left:139.9pt;margin-top:0;width:198.25pt;height:30.2pt;z-index:251657728;mso-wrap-distance-left:5.pt;mso-wrap-distance-right:5.pt;mso-position-horizontal-relative:margin" fillcolor="#DADADA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480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KSÚS VYSOČINY</w:t>
                  </w:r>
                  <w:bookmarkEnd w:id="4"/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92" w:left="1109" w:right="1258" w:bottom="174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407" w:left="0" w:right="0" w:bottom="3407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2026"/>
        <w:gridCol w:w="1877"/>
        <w:gridCol w:w="1896"/>
        <w:gridCol w:w="1896"/>
        <w:gridCol w:w="1838"/>
      </w:tblGrid>
      <w:tr>
        <w:trPr>
          <w:trHeight w:val="34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DRUH SMĚSI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RANČÍŘOV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BYSTŘICE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533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533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533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TASOVICE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SOUTICE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ACO 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ACO 8 F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2 020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2 020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ACO 11 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ACO 11S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ACO 16+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2 032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ACL 16+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ACL 16S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1 959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ACP 16+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ACP 16S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ACP 22+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33"/>
              </w:rPr>
              <w:t>ACP 22S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33"/>
              </w:rPr>
              <w:t>1 906 Kč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5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3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446" w:after="0"/>
        <w:ind w:left="0" w:right="58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 = recyklát ve směsi ACL, ACP do 20% R = recyklát ve směsi ACO do 10%</w:t>
      </w:r>
    </w:p>
    <w:sectPr>
      <w:type w:val="continuous"/>
      <w:pgSz w:w="11900" w:h="16840"/>
      <w:pgMar w:top="3407" w:left="1109" w:right="1258" w:bottom="340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70.2pt;margin-top:758.7pt;width:55.9pt;height:7.7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20"/>
                      <w:b/>
                      <w:bCs/>
                    </w:rPr>
                    <w:t>#</w:t>
                  </w:r>
                </w:fldSimple>
                <w:r>
                  <w:rPr>
                    <w:rStyle w:val="CharStyle20"/>
                    <w:b/>
                    <w:bCs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70.2pt;margin-top:758.7pt;width:55.9pt;height:7.7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Stránka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270.2pt;margin-top:758.7pt;width:55.9pt;height:7.7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20"/>
                      <w:b/>
                      <w:bCs/>
                    </w:rPr>
                    <w:t>#</w:t>
                  </w:r>
                </w:fldSimple>
                <w:r>
                  <w:rPr>
                    <w:rStyle w:val="CharStyle20"/>
                    <w:b/>
                    <w:bCs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270.2pt;margin-top:758.7pt;width:55.9pt;height:7.7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Stránka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7pt;margin-top:60.75pt;width:449.05pt;height:10.1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tabs>
                    <w:tab w:leader="none" w:pos="898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  <w:b/>
                    <w:bCs/>
                  </w:rPr>
                  <w:t>Číslo smlouvy prodávajícího: KS 5/2010</w:t>
                  <w:tab/>
                  <w:t>Číslo smlouvy kupujícího: 37/KSÚSV/ZR/10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71.7pt;margin-top:60.75pt;width:449.05pt;height:10.1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tabs>
                    <w:tab w:leader="none" w:pos="898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Číslo smlouvy prodávajícího: KS 5/2010</w:t>
                  <w:tab/>
                  <w:t>Číslo smlouvy kupujícího: 37/KSÚSV/ZR/10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71.7pt;margin-top:60.75pt;width:449.05pt;height:10.1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tabs>
                    <w:tab w:leader="none" w:pos="898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  <w:b/>
                    <w:bCs/>
                  </w:rPr>
                  <w:t>Číslo smlouvy prodávajícího: KS 5/2010</w:t>
                  <w:tab/>
                  <w:t>Číslo smlouvy kupujícího: 37/KSÚSV/ZR/10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71.7pt;margin-top:60.75pt;width:449.05pt;height:10.1pt;z-index:-18874405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tabs>
                    <w:tab w:leader="none" w:pos="898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Číslo smlouvy prodávajícího: KS 5/2010</w:t>
                  <w:tab/>
                  <w:t>Číslo smlouvy kupujícího: 37/KSÚSV/ZR/10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2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7) Exact"/>
    <w:basedOn w:val="DefaultParagraphFont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7">
    <w:name w:val="Základní text (2) + 11 pt Exact"/>
    <w:basedOn w:val="CharStyle13"/>
    <w:rPr>
      <w:sz w:val="22"/>
      <w:szCs w:val="22"/>
    </w:rPr>
  </w:style>
  <w:style w:type="character" w:customStyle="1" w:styleId="CharStyle9">
    <w:name w:val="Nadpis #3_"/>
    <w:basedOn w:val="DefaultParagraphFont"/>
    <w:link w:val="Style8"/>
    <w:rPr>
      <w:b/>
      <w:bCs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  <w:spacing w:val="0"/>
    </w:rPr>
  </w:style>
  <w:style w:type="character" w:customStyle="1" w:styleId="CharStyle10">
    <w:name w:val="Nadpis #3 + Řádkování 3 pt"/>
    <w:basedOn w:val="CharStyle9"/>
    <w:rPr>
      <w:lang w:val="cs-CZ" w:eastAsia="cs-CZ" w:bidi="cs-CZ"/>
      <w:sz w:val="30"/>
      <w:szCs w:val="30"/>
      <w:w w:val="100"/>
      <w:spacing w:val="60"/>
      <w:color w:val="000000"/>
      <w:position w:val="0"/>
    </w:rPr>
  </w:style>
  <w:style w:type="character" w:customStyle="1" w:styleId="CharStyle12">
    <w:name w:val="Záhlaví nebo Zápatí_"/>
    <w:basedOn w:val="DefaultParagraphFont"/>
    <w:link w:val="Style11"/>
    <w:rPr>
      <w:b/>
      <w:bCs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13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4">
    <w:name w:val="Základní text (7)_"/>
    <w:basedOn w:val="DefaultParagraphFont"/>
    <w:link w:val="Style3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6">
    <w:name w:val="Nadpis #4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7">
    <w:name w:val="Nadpis #4 (2) + Calibri,12 pt,Tučné"/>
    <w:basedOn w:val="CharStyle16"/>
    <w:rPr>
      <w:lang w:val="cs-CZ" w:eastAsia="cs-CZ" w:bidi="cs-CZ"/>
      <w:b/>
      <w:bCs/>
      <w:sz w:val="24"/>
      <w:szCs w:val="24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8">
    <w:name w:val="Základní text (2) + Tučné"/>
    <w:basedOn w:val="CharStyle13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9">
    <w:name w:val="Základní text (2) + Arial,14 pt"/>
    <w:basedOn w:val="CharStyle13"/>
    <w:rPr>
      <w:lang w:val="cs-CZ" w:eastAsia="cs-CZ" w:bidi="cs-CZ"/>
      <w:sz w:val="28"/>
      <w:szCs w:val="2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0">
    <w:name w:val="Záhlaví nebo Zápatí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2">
    <w:name w:val="Nadpis #3 (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3">
    <w:name w:val="Základní text (2)"/>
    <w:basedOn w:val="CharStyle1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5">
    <w:name w:val="Nadpis #2_"/>
    <w:basedOn w:val="DefaultParagraphFont"/>
    <w:link w:val="Style24"/>
    <w:rPr>
      <w:b/>
      <w:bCs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character" w:customStyle="1" w:styleId="CharStyle26">
    <w:name w:val="Nadpis #2 + Malá písmena"/>
    <w:basedOn w:val="CharStyle25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28">
    <w:name w:val="Základní text (8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20"/>
    </w:rPr>
  </w:style>
  <w:style w:type="character" w:customStyle="1" w:styleId="CharStyle30">
    <w:name w:val="Základní text (9)_"/>
    <w:basedOn w:val="DefaultParagraphFont"/>
    <w:link w:val="Style29"/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character" w:customStyle="1" w:styleId="CharStyle32">
    <w:name w:val="Nadpis #1 Exact"/>
    <w:basedOn w:val="DefaultParagraphFont"/>
    <w:link w:val="Style31"/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character" w:customStyle="1" w:styleId="CharStyle33">
    <w:name w:val="Základní text (2) + Arial,9,5 pt,Tučné"/>
    <w:basedOn w:val="CharStyle13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5">
    <w:name w:val="Základní text (5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">
    <w:name w:val="Základní text (7)"/>
    <w:basedOn w:val="Normal"/>
    <w:link w:val="CharStyle14"/>
    <w:pPr>
      <w:widowControl w:val="0"/>
      <w:shd w:val="clear" w:color="auto" w:fill="FFFFFF"/>
      <w:spacing w:before="960" w:after="6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5">
    <w:name w:val="Základní text (2)"/>
    <w:basedOn w:val="Normal"/>
    <w:link w:val="CharStyle13"/>
    <w:pPr>
      <w:widowControl w:val="0"/>
      <w:shd w:val="clear" w:color="auto" w:fill="FFFFFF"/>
      <w:spacing w:before="60" w:after="60" w:line="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8">
    <w:name w:val="Nadpis #3"/>
    <w:basedOn w:val="Normal"/>
    <w:link w:val="CharStyle9"/>
    <w:pPr>
      <w:widowControl w:val="0"/>
      <w:shd w:val="clear" w:color="auto" w:fill="FFFFFF"/>
      <w:jc w:val="center"/>
      <w:outlineLvl w:val="2"/>
      <w:spacing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  <w:spacing w:val="0"/>
    </w:rPr>
  </w:style>
  <w:style w:type="paragraph" w:customStyle="1" w:styleId="Style11">
    <w:name w:val="Záhlaví nebo Zápatí"/>
    <w:basedOn w:val="Normal"/>
    <w:link w:val="CharStyle1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15">
    <w:name w:val="Nadpis #4 (2)"/>
    <w:basedOn w:val="Normal"/>
    <w:link w:val="CharStyle16"/>
    <w:pPr>
      <w:widowControl w:val="0"/>
      <w:shd w:val="clear" w:color="auto" w:fill="FFFFFF"/>
      <w:jc w:val="center"/>
      <w:outlineLvl w:val="3"/>
      <w:spacing w:before="660" w:after="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1">
    <w:name w:val="Nadpis #3 (2)"/>
    <w:basedOn w:val="Normal"/>
    <w:link w:val="CharStyle22"/>
    <w:pPr>
      <w:widowControl w:val="0"/>
      <w:shd w:val="clear" w:color="auto" w:fill="FFFFFF"/>
      <w:jc w:val="center"/>
      <w:outlineLvl w:val="2"/>
      <w:spacing w:before="540" w:after="18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24">
    <w:name w:val="Nadpis #2"/>
    <w:basedOn w:val="Normal"/>
    <w:link w:val="CharStyle25"/>
    <w:pPr>
      <w:widowControl w:val="0"/>
      <w:shd w:val="clear" w:color="auto" w:fill="FFFFFF"/>
      <w:jc w:val="both"/>
      <w:outlineLvl w:val="1"/>
      <w:spacing w:after="420" w:line="0" w:lineRule="exact"/>
    </w:pPr>
    <w:rPr>
      <w:b/>
      <w:bCs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paragraph" w:customStyle="1" w:styleId="Style27">
    <w:name w:val="Základní text (8)"/>
    <w:basedOn w:val="Normal"/>
    <w:link w:val="CharStyle28"/>
    <w:pPr>
      <w:widowControl w:val="0"/>
      <w:shd w:val="clear" w:color="auto" w:fill="FFFFFF"/>
      <w:spacing w:before="420" w:after="24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20"/>
    </w:rPr>
  </w:style>
  <w:style w:type="paragraph" w:customStyle="1" w:styleId="Style29">
    <w:name w:val="Základní text (9)"/>
    <w:basedOn w:val="Normal"/>
    <w:link w:val="CharStyle30"/>
    <w:pPr>
      <w:widowControl w:val="0"/>
      <w:shd w:val="clear" w:color="auto" w:fill="FFFFFF"/>
      <w:jc w:val="center"/>
      <w:spacing w:before="240" w:line="552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paragraph" w:customStyle="1" w:styleId="Style31">
    <w:name w:val="Nadpis #1"/>
    <w:basedOn w:val="Normal"/>
    <w:link w:val="CharStyle32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paragraph" w:customStyle="1" w:styleId="Style34">
    <w:name w:val="Základní text (5)"/>
    <w:basedOn w:val="Normal"/>
    <w:link w:val="CharStyle35"/>
    <w:pPr>
      <w:widowControl w:val="0"/>
      <w:shd w:val="clear" w:color="auto" w:fill="FFFFFF"/>
      <w:spacing w:before="480" w:after="60"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Upravený návrh CO - Za horka BnP-Dodatek 18-37 2022 (002)</dc:title>
  <dc:subject/>
  <dc:creator>BEDNARM1</dc:creator>
  <cp:keywords/>
</cp:coreProperties>
</file>