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before="84" w:after="84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headerReference w:type="default" r:id="rId5"/>
          <w:footerReference w:type="default" r:id="rId6"/>
          <w:headerReference w:type="first" r:id="rId7"/>
          <w:footerReference w:type="first" r:id="rId8"/>
          <w:titlePg/>
          <w:footnotePr>
            <w:pos w:val="pageBottom"/>
            <w:numFmt w:val="decimal"/>
            <w:numRestart w:val="continuous"/>
          </w:footnotePr>
          <w:pgSz w:w="11900" w:h="16840"/>
          <w:pgMar w:top="2132" w:left="0" w:right="0" w:bottom="195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widowControl w:val="0"/>
        <w:keepNext/>
        <w:keepLines/>
        <w:shd w:val="clear" w:color="auto" w:fill="auto"/>
        <w:bidi w:val="0"/>
        <w:spacing w:before="0" w:after="5" w:line="300" w:lineRule="exact"/>
        <w:ind w:left="0" w:right="40" w:firstLine="0"/>
      </w:pPr>
      <w:bookmarkStart w:id="0" w:name="bookmark0"/>
      <w:r>
        <w:rPr>
          <w:rStyle w:val="CharStyle10"/>
          <w:b/>
          <w:bCs/>
        </w:rPr>
        <w:t>DODATEK č. 18</w:t>
      </w:r>
      <w:bookmarkEnd w:id="0"/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2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ke kupní smlouvě „Asfaltová směs na výspravu za horka, Část XV. - cestmistrovství Bystřice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center"/>
        <w:spacing w:before="0" w:after="888" w:line="240" w:lineRule="exact"/>
        <w:ind w:left="0" w:right="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nad Pernštejnem", uzavřené dne 22. 4. 2010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Krajská správa a údržba silnic Vysočiny, příspěvková organizace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 sídlem: Kosovská 1122/16, 586 01 Jihlava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32" w:line="240" w:lineRule="exact"/>
        <w:ind w:left="0" w:right="0" w:firstLine="0"/>
      </w:pPr>
      <w:r>
        <w:pict>
          <v:shape id="_x0000_s1030" type="#_x0000_t202" style="position:absolute;margin-left:-0.5pt;margin-top:-3.35pt;width:92.65pt;height:75.85pt;z-index:-125829376;mso-wrap-distance-left:5.pt;mso-wrap-distance-right:17.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88" w:lineRule="exact"/>
                    <w:ind w:left="0" w:right="0" w:firstLine="0"/>
                  </w:pPr>
                  <w:r>
                    <w:rPr>
                      <w:rStyle w:val="CharStyle4"/>
                      <w:b/>
                      <w:bCs/>
                    </w:rPr>
                    <w:t>zastoupený: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88" w:lineRule="exact"/>
                    <w:ind w:left="0" w:right="0" w:firstLine="0"/>
                  </w:pPr>
                  <w:r>
                    <w:rPr>
                      <w:rStyle w:val="CharStyle6"/>
                    </w:rPr>
                    <w:t xml:space="preserve">Bankovní spojení: </w:t>
                  </w:r>
                  <w:r>
                    <w:rPr>
                      <w:rStyle w:val="CharStyle7"/>
                    </w:rPr>
                    <w:t>IČ: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88" w:lineRule="exact"/>
                    <w:ind w:left="0" w:right="0" w:firstLine="0"/>
                  </w:pPr>
                  <w:r>
                    <w:rPr>
                      <w:rStyle w:val="CharStyle6"/>
                    </w:rPr>
                    <w:t>DIČ: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88" w:lineRule="exact"/>
                    <w:ind w:left="0" w:right="0" w:firstLine="0"/>
                  </w:pPr>
                  <w:r>
                    <w:rPr>
                      <w:rStyle w:val="CharStyle6"/>
                    </w:rPr>
                    <w:t>Zřizovatel: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Ing. Radovanem Necidem, ředitelem organizace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0" w:right="22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000 90 450 CZ00090450 Kraj Vysočina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840" w:line="2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(na straně jedné, jako kupující)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COLAS CZ, a.s.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 sídlem: Rubeška 215/1, Vysočany, 190 00 Praha 9,</w:t>
      </w:r>
    </w:p>
    <w:p>
      <w:pPr>
        <w:pStyle w:val="Style3"/>
        <w:tabs>
          <w:tab w:leader="none" w:pos="2082" w:val="left"/>
          <w:tab w:leader="none" w:pos="44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zastoupený:</w:t>
        <w:tab/>
        <w:t>Ing. Pavlem Šrámkem,</w:t>
        <w:tab/>
        <w:t>ředitelem závodu Obalovny, na základě plné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22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moci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Bankovní spojení: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Číslo účtu:</w:t>
      </w:r>
    </w:p>
    <w:p>
      <w:pPr>
        <w:pStyle w:val="Style5"/>
        <w:tabs>
          <w:tab w:leader="none" w:pos="20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IČ:</w:t>
        <w:tab/>
        <w:t>261 77 005</w:t>
      </w:r>
    </w:p>
    <w:p>
      <w:pPr>
        <w:pStyle w:val="Style5"/>
        <w:tabs>
          <w:tab w:leader="none" w:pos="20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9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</w:t>
        <w:tab/>
        <w:t>CZ26177005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Společnost je zapsaná v obchodním rejstříku, vedeném Městským soudem v Praze oddíl B, vložka 6556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542" w:line="2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(na straně druhé jako prodávající)</w:t>
      </w:r>
    </w:p>
    <w:p>
      <w:pPr>
        <w:pStyle w:val="Style15"/>
        <w:widowControl w:val="0"/>
        <w:keepNext/>
        <w:keepLines/>
        <w:shd w:val="clear" w:color="auto" w:fill="auto"/>
        <w:bidi w:val="0"/>
        <w:spacing w:before="0" w:after="0" w:line="280" w:lineRule="exact"/>
        <w:ind w:left="0" w:right="40" w:firstLine="0"/>
      </w:pPr>
      <w:bookmarkStart w:id="1" w:name="bookmark1"/>
      <w:r>
        <w:rPr>
          <w:rStyle w:val="CharStyle17"/>
        </w:rPr>
        <w:t>2</w:t>
      </w:r>
      <w:r>
        <w:rPr>
          <w:lang w:val="cs-CZ" w:eastAsia="cs-CZ" w:bidi="cs-CZ"/>
          <w:w w:val="100"/>
          <w:spacing w:val="0"/>
          <w:color w:val="000000"/>
          <w:position w:val="0"/>
        </w:rPr>
        <w:t>.</w:t>
      </w:r>
      <w:bookmarkEnd w:id="1"/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0" w:right="0" w:firstLine="0"/>
      </w:pPr>
      <w:r>
        <w:rPr>
          <w:rStyle w:val="CharStyle18"/>
        </w:rPr>
        <w:t>2</w:t>
      </w:r>
      <w:r>
        <w:rPr>
          <w:rStyle w:val="CharStyle19"/>
        </w:rPr>
        <w:t>.</w:t>
      </w:r>
      <w:r>
        <w:rPr>
          <w:rStyle w:val="CharStyle18"/>
        </w:rPr>
        <w:t>1</w:t>
      </w:r>
      <w:r>
        <w:rPr>
          <w:rStyle w:val="CharStyle19"/>
        </w:rPr>
        <w:t xml:space="preserve">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dohodly na změně stávající kupní smlouvy číslo kupujícího 37/KSÚSV/ZR/10 ze dne 22. 4. 2010 ve znění Dodatků č. 1 až 17 (dále jen „smlouva"), spočívající v navýšení ceny za plnění a přistoupily proto k uzavření tohoto Dodatku č. 18 v souladu s čl. 11 odst. 11.2. smlouvy, a to z důvodů:</w:t>
      </w:r>
    </w:p>
    <w:p>
      <w:pPr>
        <w:pStyle w:val="Style5"/>
        <w:numPr>
          <w:ilvl w:val="0"/>
          <w:numId w:val="1"/>
        </w:numPr>
        <w:tabs>
          <w:tab w:leader="none" w:pos="7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93" w:lineRule="exact"/>
        <w:ind w:left="7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naplnění podmínek inflační doložky dle čl. 9 smlouvy, na základě ročního růstu indexu spotřebitelských cen vyhlášených Českým statistickým úřadem za roky 2011, 2012, 2013, 2014, 2015, 2016, 2017, 2018, 2019, 2020 a 2021; a současně</w:t>
      </w:r>
    </w:p>
    <w:p>
      <w:pPr>
        <w:pStyle w:val="Style5"/>
        <w:numPr>
          <w:ilvl w:val="0"/>
          <w:numId w:val="1"/>
        </w:numPr>
        <w:tabs>
          <w:tab w:leader="none" w:pos="7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7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zásadního zvýšení vstupních nákladů prodávajícího souvisejících s těžbou a výrobou kameniva (zejména nárůst cen energií, vrtacích a trhacích prací atd.) a nárůstu ceny bitumenů, převyšující inflaci vyjádřenou přírůstkem průměrného ročního indexu</w:t>
      </w:r>
      <w:r>
        <w:br w:type="page"/>
      </w:r>
    </w:p>
    <w:p>
      <w:pPr>
        <w:pStyle w:val="Style5"/>
        <w:tabs>
          <w:tab w:leader="none" w:pos="11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02" w:line="293" w:lineRule="exact"/>
        <w:ind w:left="7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spotřebitelských cen, především v letech 2020-2021, jež nastaly v důsledku okolností, které smluvní strany jednající s náležitou péčí nemohly předvídat ani ovlivnit.</w:t>
      </w:r>
    </w:p>
    <w:p>
      <w:pPr>
        <w:pStyle w:val="Style5"/>
        <w:numPr>
          <w:ilvl w:val="0"/>
          <w:numId w:val="3"/>
        </w:numPr>
        <w:tabs>
          <w:tab w:leader="none" w:pos="7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6" w:line="2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 za plnění dle čl. 3 smlouvy se s účinnosti od 1. července 2022 navyšuje:</w:t>
      </w:r>
    </w:p>
    <w:p>
      <w:pPr>
        <w:pStyle w:val="Style5"/>
        <w:numPr>
          <w:ilvl w:val="0"/>
          <w:numId w:val="5"/>
        </w:numPr>
        <w:tabs>
          <w:tab w:leader="none" w:pos="7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93" w:lineRule="exact"/>
        <w:ind w:left="7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 průměrnou míru inflace v roce 2011, tj. + 1,9 %, 2012, tj. +3,3 %, 2013, tj. +1,4 %, 2014, tj. +0,4 %, 2015, tj. +0,3 %, 2016, tj. +0,7 %, 2017, tj. +2,5 %, 2018, tj. +2,1 %; 2019, tj. +2,8 %; 2020, tj. +3,2 %; 2021, tj. +3,8 %; celkem tedy o +22,4 % z platných cen aktualizovaných Dodatkem č. 1 smlouvy; a dále</w:t>
      </w:r>
    </w:p>
    <w:p>
      <w:pPr>
        <w:pStyle w:val="Style5"/>
        <w:numPr>
          <w:ilvl w:val="0"/>
          <w:numId w:val="5"/>
        </w:numPr>
        <w:tabs>
          <w:tab w:leader="none" w:pos="7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02" w:line="293" w:lineRule="exact"/>
        <w:ind w:left="7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 9,99 % v souvislosti s nárůstem vstupních nákladů a cen surovin specifikovaných v odst. 2.1 tohoto článku (v souladu s § 222 odst. 4 ZZVZ), a to z platných cen aktualizovaných Dodatkem č. 1 smlouvy.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458" w:line="240" w:lineRule="exact"/>
        <w:ind w:left="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Celkové navýšení jednotkových cen za plnění dle smlouvy činí 32,39 %.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3.</w:t>
      </w:r>
    </w:p>
    <w:p>
      <w:pPr>
        <w:pStyle w:val="Style5"/>
        <w:numPr>
          <w:ilvl w:val="0"/>
          <w:numId w:val="7"/>
        </w:numPr>
        <w:tabs>
          <w:tab w:leader="none" w:pos="7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9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Ceny za plnění sjednané v čl. 3 odst. 3.1. smlouvy se v souladu s výše uvedeným nahrazují od 1. července 2022 novými cenami, jež jsou specifikovány v příloze tohoto Dodatku č. 18 - Ceník asfaltových směsí pro měsíc červenec 2022.</w:t>
      </w:r>
    </w:p>
    <w:p>
      <w:pPr>
        <w:pStyle w:val="Style5"/>
        <w:numPr>
          <w:ilvl w:val="0"/>
          <w:numId w:val="7"/>
        </w:numPr>
        <w:tabs>
          <w:tab w:leader="none" w:pos="7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9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souhlasí s Ceníkem asfaltových směsí pro měsíc červenec 2022 ještě před platností a účinností tohoto Dodatku č. 18.</w:t>
      </w:r>
    </w:p>
    <w:p>
      <w:pPr>
        <w:pStyle w:val="Style5"/>
        <w:numPr>
          <w:ilvl w:val="0"/>
          <w:numId w:val="7"/>
        </w:numPr>
        <w:tabs>
          <w:tab w:leader="none" w:pos="7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9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„Plnění předmětu tohoto Dodatku č. 18 před jeho účinností se považuje za plnění dle tohoto Dodatku č. 18 a práva a povinnosti z toho vzniklá se řídí tímto Dodatkem č. 18."</w:t>
      </w:r>
    </w:p>
    <w:p>
      <w:pPr>
        <w:pStyle w:val="Style5"/>
        <w:numPr>
          <w:ilvl w:val="0"/>
          <w:numId w:val="7"/>
        </w:numPr>
        <w:tabs>
          <w:tab w:leader="none" w:pos="7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82" w:line="29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 sjednané ceně bez DPH bude účtována daň z přidané hodnoty v zákonné výši; prodávající odpovídá za to, že sazba daně z přidané hodnoty je stanovena k aktuálnímu datu v souladu s platnými právními předpisy.</w:t>
      </w:r>
    </w:p>
    <w:p>
      <w:pPr>
        <w:pStyle w:val="Style21"/>
        <w:widowControl w:val="0"/>
        <w:keepNext/>
        <w:keepLines/>
        <w:shd w:val="clear" w:color="auto" w:fill="auto"/>
        <w:bidi w:val="0"/>
        <w:spacing w:before="0" w:after="61" w:line="240" w:lineRule="exact"/>
        <w:ind w:left="4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4.</w:t>
      </w:r>
      <w:bookmarkEnd w:id="2"/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0" w:right="0" w:firstLine="0"/>
        <w:sectPr>
          <w:type w:val="continuous"/>
          <w:pgSz w:w="11900" w:h="16840"/>
          <w:pgMar w:top="2132" w:left="1362" w:right="1379" w:bottom="1950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Prodávající je povinen kupujícího bez zbytečného odkladu upozornit na skutečnost, že konkrétní dílčí objednávku nelze splnit z důvodů nezávislých na vůli prodávajícího, zejména:</w:t>
      </w:r>
    </w:p>
    <w:p>
      <w:pPr>
        <w:pStyle w:val="Style5"/>
        <w:numPr>
          <w:ilvl w:val="0"/>
          <w:numId w:val="9"/>
        </w:numPr>
        <w:tabs>
          <w:tab w:leader="none" w:pos="7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7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 stavu nouze v energetice (přerušení dodávek zemního plynu nebo přerušení dodávek elektrické energie) ze strany distributora nebo dodavatele zemního plynu resp. elektrické energie;</w:t>
      </w:r>
    </w:p>
    <w:p>
      <w:pPr>
        <w:pStyle w:val="Style5"/>
        <w:numPr>
          <w:ilvl w:val="0"/>
          <w:numId w:val="9"/>
        </w:numPr>
        <w:tabs>
          <w:tab w:leader="none" w:pos="7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293" w:lineRule="exact"/>
        <w:ind w:left="7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při nedostupnosti nebo nedostatečného množství bitumenů (asfaltů) z produkce rafinerie Litvínov jako vstupní suroviny pro výrobu asfaltových směsí.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582" w:line="29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případě, že kupující prodávajícímu již při objednávce zboží sdělil, že na opožděném plnění nebude mít zájem a dílčí objednávku nebude z důvodů uvedených v předešlém odstavci možné splnit, zaniká závazek z dílčí objednávky již sdělením prodávajícího o existenci překážky plnění resp. počátkem prodlení prodávajícího (podle toho, co nastane dříve), ledaže kupující prodávajícímu bez zbytečného odkladu oznámí, že na splnění dílčí objednávky trvá i po určené době.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center"/>
        <w:spacing w:before="0" w:after="61" w:line="2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5.</w:t>
      </w:r>
    </w:p>
    <w:p>
      <w:pPr>
        <w:pStyle w:val="Style5"/>
        <w:numPr>
          <w:ilvl w:val="0"/>
          <w:numId w:val="11"/>
        </w:numPr>
        <w:tabs>
          <w:tab w:leader="none" w:pos="7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22" w:line="29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Ostatní ustanovení shora citované smlouvy nedotčené Dodatkem č. 18 ve znění platných Dodatků č. 1 až 17 se nemění a zůstávají v platnosti.</w:t>
      </w:r>
    </w:p>
    <w:p>
      <w:pPr>
        <w:pStyle w:val="Style5"/>
        <w:numPr>
          <w:ilvl w:val="0"/>
          <w:numId w:val="11"/>
        </w:numPr>
        <w:tabs>
          <w:tab w:leader="none" w:pos="7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77" w:line="2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Dodatek č. 18 je nedílnou součástí smlouvy v aktuálním znění.</w:t>
      </w:r>
    </w:p>
    <w:p>
      <w:pPr>
        <w:pStyle w:val="Style5"/>
        <w:numPr>
          <w:ilvl w:val="0"/>
          <w:numId w:val="11"/>
        </w:numPr>
        <w:tabs>
          <w:tab w:leader="none" w:pos="7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4" w:line="29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Dodatek č. 18 je vyhotoven v elektronické podobě, přičemž obě smluvní strany obdrží jeho elektronický originál.</w:t>
      </w:r>
    </w:p>
    <w:p>
      <w:pPr>
        <w:pStyle w:val="Style5"/>
        <w:numPr>
          <w:ilvl w:val="0"/>
          <w:numId w:val="11"/>
        </w:numPr>
        <w:tabs>
          <w:tab w:leader="none" w:pos="7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22" w:line="29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Dodatek č. 18 je </w:t>
      </w:r>
      <w:r>
        <w:rPr>
          <w:rStyle w:val="CharStyle23"/>
        </w:rPr>
        <w:t>platný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dnem připojení platného uznávaného 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dodatek, a to oběma smluvními stranami).</w:t>
      </w:r>
    </w:p>
    <w:p>
      <w:pPr>
        <w:pStyle w:val="Style5"/>
        <w:numPr>
          <w:ilvl w:val="0"/>
          <w:numId w:val="11"/>
        </w:numPr>
        <w:tabs>
          <w:tab w:leader="none" w:pos="7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91" w:line="2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Dodatek č. 18 je </w:t>
      </w:r>
      <w:r>
        <w:rPr>
          <w:rStyle w:val="CharStyle23"/>
        </w:rPr>
        <w:t>účinný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dnem jeho uveřejnění v registru smluv.</w:t>
      </w:r>
    </w:p>
    <w:p>
      <w:pPr>
        <w:pStyle w:val="Style5"/>
        <w:numPr>
          <w:ilvl w:val="0"/>
          <w:numId w:val="11"/>
        </w:numPr>
        <w:tabs>
          <w:tab w:leader="none" w:pos="7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29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Dodatek č. 18 podléhá zveřejnění dle zákona č. 340/2015 Sb. o zvláštních podmínkách účinnosti některých smluv, uveřejňování těchto smluv a o registru smluv (zákon o registru smluv), v platném a účinném znění.</w:t>
      </w:r>
    </w:p>
    <w:p>
      <w:pPr>
        <w:pStyle w:val="Style5"/>
        <w:numPr>
          <w:ilvl w:val="0"/>
          <w:numId w:val="11"/>
        </w:numPr>
        <w:tabs>
          <w:tab w:leader="none" w:pos="7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29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dohodly, že zákonnou povinnost dle § 5 odst. 2 zákona č. 340/2015 Sb., o zvláštních podmínkách účinnosti některých smluv, uveřejňování těchto smluv a o registru smluv (zákon o registru smluv) zajistí kupující.</w:t>
      </w:r>
    </w:p>
    <w:p>
      <w:pPr>
        <w:pStyle w:val="Style5"/>
        <w:numPr>
          <w:ilvl w:val="0"/>
          <w:numId w:val="11"/>
        </w:numPr>
        <w:tabs>
          <w:tab w:leader="none" w:pos="7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29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Obě smluvní strany potvrzují autentičnost tohoto Dodatku č. 18 a prohlašují, že si jej přečetly, s jeho obsahem souhlasí, že byl sepsán na základě pravdivých údajů, z jejich pravé a svobodné vůle a nebyl uzavřen v tísni za jednostranně nevýhodných podmínek.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0" w:right="0" w:firstLine="0"/>
        <w:sectPr>
          <w:pgSz w:w="11900" w:h="16840"/>
          <w:pgMar w:top="2023" w:left="1382" w:right="1384" w:bottom="1769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NA DŮKAZ SVÉHO SOUHLASU S OBSAHEM TOHOTO DODATKU K NĚMU SMLUVNÍ STRANY PŘIPOJILY SVÉ UZNÁVANÉ ELEKTRONICKÉ PODPISY DLE ZÁKONA Č. 297/2016 SB., O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222" w:line="29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SLUŽBÁCH VYTVÁŘEJÍCÍCH DŮVĚRU PRO ELEKTRONICKÉ TRANSAKCE, VE ZNĚNÍ POZDĚJŠÍCH PŘEDPISŮ.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552" w:line="2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Příloha - Ceník asfaltových směsí červenec 2022</w:t>
      </w:r>
    </w:p>
    <w:tbl>
      <w:tblPr>
        <w:tblOverlap w:val="never"/>
        <w:tblLayout w:type="fixed"/>
        <w:jc w:val="center"/>
      </w:tblPr>
      <w:tblGrid>
        <w:gridCol w:w="5150"/>
        <w:gridCol w:w="3960"/>
      </w:tblGrid>
      <w:tr>
        <w:trPr>
          <w:trHeight w:val="22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91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V Jihlavě dne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91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V Jihlavě dne</w:t>
            </w:r>
          </w:p>
        </w:tc>
      </w:tr>
    </w:tbl>
    <w:p>
      <w:pPr>
        <w:framePr w:w="911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spacing w:line="1740" w:lineRule="exact"/>
        <w:rPr>
          <w:sz w:val="24"/>
          <w:szCs w:val="24"/>
        </w:rPr>
      </w:pPr>
    </w:p>
    <w:tbl>
      <w:tblPr>
        <w:tblOverlap w:val="never"/>
        <w:tblLayout w:type="fixed"/>
        <w:jc w:val="center"/>
      </w:tblPr>
      <w:tblGrid>
        <w:gridCol w:w="5150"/>
        <w:gridCol w:w="3960"/>
      </w:tblGrid>
      <w:tr>
        <w:trPr>
          <w:trHeight w:val="117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91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Ing. Pavel Šrámek ředitel obaloven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91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52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Ing. Radovan Necid ředitel organizace Krajská správa a údržba silnic Vysočiny, příspěvková organizace</w:t>
            </w:r>
          </w:p>
        </w:tc>
      </w:tr>
    </w:tbl>
    <w:p>
      <w:pPr>
        <w:framePr w:w="911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9"/>
          <w:footerReference w:type="default" r:id="rId10"/>
          <w:headerReference w:type="first" r:id="rId11"/>
          <w:footerReference w:type="first" r:id="rId12"/>
          <w:titlePg/>
          <w:pgSz w:w="11900" w:h="16840"/>
          <w:pgMar w:top="2023" w:left="1382" w:right="1384" w:bottom="1769" w:header="0" w:footer="3" w:gutter="0"/>
          <w:rtlGutter w:val="0"/>
          <w:cols w:space="720"/>
          <w:noEndnote/>
          <w:docGrid w:linePitch="360"/>
        </w:sectPr>
      </w:pPr>
    </w:p>
    <w:p>
      <w:pPr>
        <w:pStyle w:val="Style24"/>
        <w:tabs>
          <w:tab w:leader="none" w:pos="5968" w:val="left"/>
        </w:tabs>
        <w:widowControl w:val="0"/>
        <w:keepNext/>
        <w:keepLines/>
        <w:shd w:val="clear" w:color="auto" w:fill="auto"/>
        <w:bidi w:val="0"/>
        <w:spacing w:before="0" w:after="330" w:line="440" w:lineRule="exact"/>
        <w:ind w:left="760" w:right="0" w:firstLine="0"/>
      </w:pPr>
      <w:bookmarkStart w:id="3" w:name="bookmark3"/>
      <w:r>
        <w:rPr>
          <w:rStyle w:val="CharStyle26"/>
          <w:b/>
          <w:bCs/>
        </w:rPr>
        <w:t>colas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  <w:t>Příloha</w:t>
      </w:r>
      <w:bookmarkEnd w:id="3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1040" w:right="0" w:firstLine="0"/>
      </w:pPr>
      <w:r>
        <w:rPr>
          <w:lang w:val="cs-CZ" w:eastAsia="cs-CZ" w:bidi="cs-CZ"/>
          <w:w w:val="100"/>
          <w:color w:val="000000"/>
          <w:position w:val="0"/>
        </w:rPr>
        <w:t>COLAS CZ</w:t>
      </w:r>
    </w:p>
    <w:p>
      <w:pPr>
        <w:pStyle w:val="Style29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  <w:sectPr>
          <w:pgSz w:w="11900" w:h="16840"/>
          <w:pgMar w:top="3437" w:left="1109" w:right="1258" w:bottom="4762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Dodatek č. 18 - Ceník asfaltových směsí pro měsíc červenec 2022</w:t>
        <w:br/>
        <w:t>PLATNÝ PRO ČERVENEC 2022</w:t>
      </w:r>
    </w:p>
    <w:p>
      <w:pPr>
        <w:widowControl w:val="0"/>
        <w:spacing w:before="19" w:after="19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3437" w:left="0" w:right="0" w:bottom="4762" w:header="0" w:footer="3" w:gutter="0"/>
          <w:rtlGutter w:val="0"/>
          <w:cols w:space="720"/>
          <w:noEndnote/>
          <w:docGrid w:linePitch="360"/>
        </w:sectPr>
      </w:pPr>
    </w:p>
    <w:p>
      <w:pPr>
        <w:pStyle w:val="Style29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  <w:sectPr>
          <w:type w:val="continuous"/>
          <w:pgSz w:w="11900" w:h="16840"/>
          <w:pgMar w:top="3437" w:left="1172" w:right="1321" w:bottom="4762" w:header="0" w:footer="3" w:gutter="0"/>
          <w:rtlGutter w:val="0"/>
          <w:cols w:num="2" w:space="1248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č. smi. prodávajícího: KS 5/2010</w:t>
        <w:br w:type="column"/>
        <w:t>č. smi. kupujícího: 37/KSÚSV/ZR/10</w:t>
      </w:r>
    </w:p>
    <w:p>
      <w:pPr>
        <w:widowControl w:val="0"/>
        <w:spacing w:line="202" w:lineRule="exact"/>
        <w:rPr>
          <w:sz w:val="16"/>
          <w:szCs w:val="16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492" w:left="0" w:right="0" w:bottom="1742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510" w:lineRule="exact"/>
      </w:pPr>
      <w:r>
        <w:pict>
          <v:shape id="_x0000_s1035" type="#_x0000_t202" style="position:absolute;margin-left:139.9pt;margin-top:0;width:198.25pt;height:30.2pt;z-index:251657728;mso-wrap-distance-left:5.pt;mso-wrap-distance-right:5.pt;mso-position-horizontal-relative:margin" fillcolor="#DADADA" stroked="f">
            <v:textbox style="mso-fit-shape-to-text:t" inset="0,0,0,0">
              <w:txbxContent>
                <w:p>
                  <w:pPr>
                    <w:pStyle w:val="Style31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480" w:lineRule="exact"/>
                    <w:ind w:left="0" w:right="0" w:firstLine="0"/>
                  </w:pPr>
                  <w:bookmarkStart w:id="4" w:name="bookmark4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KSÚS VYSOČINY</w:t>
                  </w:r>
                  <w:bookmarkEnd w:id="4"/>
                </w:p>
              </w:txbxContent>
            </v:textbox>
            <w10:wrap anchorx="margin"/>
          </v:shape>
        </w:pict>
      </w: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492" w:left="1109" w:right="1258" w:bottom="1742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3407" w:left="0" w:right="0" w:bottom="3407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2026"/>
        <w:gridCol w:w="1877"/>
        <w:gridCol w:w="1896"/>
        <w:gridCol w:w="1896"/>
        <w:gridCol w:w="1838"/>
      </w:tblGrid>
      <w:tr>
        <w:trPr>
          <w:trHeight w:val="34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33"/>
              </w:rPr>
              <w:t>DRUH SMĚSI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33"/>
              </w:rPr>
              <w:t>RANČÍŘOV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33"/>
              </w:rPr>
              <w:t>BYSTŘICE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3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3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33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33"/>
              </w:rPr>
              <w:t>TASOVICE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33"/>
              </w:rPr>
              <w:t>SOUTICE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33"/>
              </w:rPr>
              <w:t>ACO 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33"/>
              </w:rPr>
              <w:t>2 032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33"/>
              </w:rPr>
              <w:t>2 032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33"/>
              </w:rPr>
              <w:t>2 032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33"/>
              </w:rPr>
              <w:t>2 032 Kč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33"/>
              </w:rPr>
              <w:t>ACO 8 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33"/>
              </w:rPr>
              <w:t>2 020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33"/>
              </w:rPr>
              <w:t>2 020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33"/>
              </w:rPr>
              <w:t>ACO 11 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33"/>
              </w:rPr>
              <w:t>2 032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33"/>
              </w:rPr>
              <w:t>2 032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33"/>
              </w:rPr>
              <w:t>2 032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33"/>
              </w:rPr>
              <w:t>2 032 Kč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33"/>
              </w:rPr>
              <w:t>ACO 11S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33"/>
              </w:rPr>
              <w:t>2 032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33"/>
              </w:rPr>
              <w:t>2 032 Kč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33"/>
              </w:rPr>
              <w:t>ACO 16+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33"/>
              </w:rPr>
              <w:t>2 032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33"/>
              </w:rPr>
              <w:t>2 032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33"/>
              </w:rPr>
              <w:t>2 032 Kč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33"/>
              </w:rPr>
              <w:t>ACL 16+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33"/>
              </w:rPr>
              <w:t>1 959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33"/>
              </w:rPr>
              <w:t>1 959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33"/>
              </w:rPr>
              <w:t>1 959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33"/>
              </w:rPr>
              <w:t>1 959 Kč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33"/>
              </w:rPr>
              <w:t>ACL 16S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33"/>
              </w:rPr>
              <w:t>1 959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33"/>
              </w:rPr>
              <w:t>1 959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33"/>
              </w:rPr>
              <w:t>1 959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33"/>
              </w:rPr>
              <w:t>1 959 Kč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33"/>
              </w:rPr>
              <w:t>ACP 16+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33"/>
              </w:rPr>
              <w:t>1 906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33"/>
              </w:rPr>
              <w:t>1 906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33"/>
              </w:rPr>
              <w:t>1 906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33"/>
              </w:rPr>
              <w:t>1 906 Kč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33"/>
              </w:rPr>
              <w:t>ACP 16S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33"/>
              </w:rPr>
              <w:t>1 906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33"/>
              </w:rPr>
              <w:t>1 906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33"/>
              </w:rPr>
              <w:t>1 906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33"/>
              </w:rPr>
              <w:t>ACP 22+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33"/>
              </w:rPr>
              <w:t>1 906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33"/>
              </w:rPr>
              <w:t>1 906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33"/>
              </w:rPr>
              <w:t>1 906 Kč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33"/>
              </w:rPr>
              <w:t>ACP 22S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33"/>
              </w:rPr>
              <w:t>1 906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33"/>
              </w:rPr>
              <w:t>1 906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33"/>
              </w:rPr>
              <w:t>1 906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33"/>
              </w:rPr>
              <w:t>1 906 Kč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3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446" w:after="0"/>
        <w:ind w:left="0" w:right="58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 = recyklát ve směsi ACL, ACP do 20% R = recyklát ve směsi ACO do 10%</w:t>
      </w:r>
    </w:p>
    <w:sectPr>
      <w:type w:val="continuous"/>
      <w:pgSz w:w="11900" w:h="16840"/>
      <w:pgMar w:top="3407" w:left="1109" w:right="1258" w:bottom="3407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270.2pt;margin-top:758.7pt;width:55.9pt;height:7.7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0"/>
                    <w:b/>
                    <w:bCs/>
                  </w:rPr>
                  <w:t xml:space="preserve">Stránka </w:t>
                </w:r>
                <w:fldSimple w:instr=" PAGE \* MERGEFORMAT ">
                  <w:r>
                    <w:rPr>
                      <w:rStyle w:val="CharStyle20"/>
                      <w:b/>
                      <w:bCs/>
                    </w:rPr>
                    <w:t>#</w:t>
                  </w:r>
                </w:fldSimple>
                <w:r>
                  <w:rPr>
                    <w:rStyle w:val="CharStyle20"/>
                    <w:b/>
                    <w:bCs/>
                  </w:rPr>
                  <w:t xml:space="preserve"> z 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270.2pt;margin-top:758.7pt;width:55.9pt;height:7.7pt;z-index:-18874406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cs-CZ" w:eastAsia="cs-CZ" w:bidi="cs-CZ"/>
                    <w:w w:val="100"/>
                    <w:spacing w:val="0"/>
                    <w:color w:val="000000"/>
                    <w:position w:val="0"/>
                  </w:rPr>
                  <w:t xml:space="preserve">Stránka </w:t>
                </w:r>
                <w:fldSimple w:instr=" PAGE \* MERGEFORMAT "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  <w:r>
                  <w:rPr>
                    <w:lang w:val="cs-CZ" w:eastAsia="cs-CZ" w:bidi="cs-CZ"/>
                    <w:w w:val="100"/>
                    <w:spacing w:val="0"/>
                    <w:color w:val="000000"/>
                    <w:position w:val="0"/>
                  </w:rPr>
                  <w:t xml:space="preserve"> z 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2" type="#_x0000_t202" style="position:absolute;margin-left:270.2pt;margin-top:758.7pt;width:55.9pt;height:7.7pt;z-index:-18874405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0"/>
                    <w:b/>
                    <w:bCs/>
                  </w:rPr>
                  <w:t xml:space="preserve">Stránka </w:t>
                </w:r>
                <w:fldSimple w:instr=" PAGE \* MERGEFORMAT ">
                  <w:r>
                    <w:rPr>
                      <w:rStyle w:val="CharStyle20"/>
                      <w:b/>
                      <w:bCs/>
                    </w:rPr>
                    <w:t>#</w:t>
                  </w:r>
                </w:fldSimple>
                <w:r>
                  <w:rPr>
                    <w:rStyle w:val="CharStyle20"/>
                    <w:b/>
                    <w:bCs/>
                  </w:rPr>
                  <w:t xml:space="preserve"> z 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4" type="#_x0000_t202" style="position:absolute;margin-left:270.2pt;margin-top:758.7pt;width:55.9pt;height:7.7pt;z-index:-18874405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cs-CZ" w:eastAsia="cs-CZ" w:bidi="cs-CZ"/>
                    <w:w w:val="100"/>
                    <w:spacing w:val="0"/>
                    <w:color w:val="000000"/>
                    <w:position w:val="0"/>
                  </w:rPr>
                  <w:t xml:space="preserve">Stránka </w:t>
                </w:r>
                <w:fldSimple w:instr=" PAGE \* MERGEFORMAT "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  <w:r>
                  <w:rPr>
                    <w:lang w:val="cs-CZ" w:eastAsia="cs-CZ" w:bidi="cs-CZ"/>
                    <w:w w:val="100"/>
                    <w:spacing w:val="0"/>
                    <w:color w:val="000000"/>
                    <w:position w:val="0"/>
                  </w:rPr>
                  <w:t xml:space="preserve"> z 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.7pt;margin-top:60.75pt;width:449.05pt;height:10.1pt;z-index:-188744064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1"/>
                  <w:tabs>
                    <w:tab w:leader="none" w:pos="8981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0"/>
                    <w:b/>
                    <w:bCs/>
                  </w:rPr>
                  <w:t>Číslo smlouvy prodávajícího: KS 5/2010</w:t>
                  <w:tab/>
                  <w:t>Číslo smlouvy kupujícího: 37/KSÚSV/ZR/10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71.7pt;margin-top:60.75pt;width:449.05pt;height:10.1pt;z-index:-188744062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1"/>
                  <w:tabs>
                    <w:tab w:leader="none" w:pos="8981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cs-CZ" w:eastAsia="cs-CZ" w:bidi="cs-CZ"/>
                    <w:w w:val="100"/>
                    <w:spacing w:val="0"/>
                    <w:color w:val="000000"/>
                    <w:position w:val="0"/>
                  </w:rPr>
                  <w:t>Číslo smlouvy prodávajícího: KS 5/2010</w:t>
                  <w:tab/>
                  <w:t>Číslo smlouvy kupujícího: 37/KSÚSV/ZR/10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1" type="#_x0000_t202" style="position:absolute;margin-left:71.7pt;margin-top:60.75pt;width:449.05pt;height:10.1pt;z-index:-188744060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1"/>
                  <w:tabs>
                    <w:tab w:leader="none" w:pos="8981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0"/>
                    <w:b/>
                    <w:bCs/>
                  </w:rPr>
                  <w:t>Číslo smlouvy prodávajícího: KS 5/2010</w:t>
                  <w:tab/>
                  <w:t>Číslo smlouvy kupujícího: 37/KSÚSV/ZR/10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3" type="#_x0000_t202" style="position:absolute;margin-left:71.7pt;margin-top:60.75pt;width:449.05pt;height:10.1pt;z-index:-188744058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1"/>
                  <w:tabs>
                    <w:tab w:leader="none" w:pos="8981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cs-CZ" w:eastAsia="cs-CZ" w:bidi="cs-CZ"/>
                    <w:w w:val="100"/>
                    <w:spacing w:val="0"/>
                    <w:color w:val="000000"/>
                    <w:position w:val="0"/>
                  </w:rPr>
                  <w:t>Číslo smlouvy prodávajícího: KS 5/2010</w:t>
                  <w:tab/>
                  <w:t>Číslo smlouvy kupujícího: 37/KSÚSV/ZR/10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•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2.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•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3.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5.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Calibri" w:eastAsia="Calibri" w:hAnsi="Calibri" w:cs="Calibri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7) Exact"/>
    <w:basedOn w:val="DefaultParagraphFont"/>
    <w:rPr>
      <w:b/>
      <w:bCs/>
      <w:i w:val="0"/>
      <w:iCs w:val="0"/>
      <w:u w:val="none"/>
      <w:strike w:val="0"/>
      <w:smallCaps w:val="0"/>
      <w:sz w:val="24"/>
      <w:szCs w:val="24"/>
      <w:rFonts w:ascii="Calibri" w:eastAsia="Calibri" w:hAnsi="Calibri" w:cs="Calibri"/>
    </w:rPr>
  </w:style>
  <w:style w:type="character" w:customStyle="1" w:styleId="CharStyle6">
    <w:name w:val="Základní text (2) Exact"/>
    <w:basedOn w:val="DefaultParagraphFont"/>
    <w:rPr>
      <w:b w:val="0"/>
      <w:bCs w:val="0"/>
      <w:i w:val="0"/>
      <w:iCs w:val="0"/>
      <w:u w:val="none"/>
      <w:strike w:val="0"/>
      <w:smallCaps w:val="0"/>
      <w:sz w:val="24"/>
      <w:szCs w:val="24"/>
      <w:rFonts w:ascii="Calibri" w:eastAsia="Calibri" w:hAnsi="Calibri" w:cs="Calibri"/>
    </w:rPr>
  </w:style>
  <w:style w:type="character" w:customStyle="1" w:styleId="CharStyle7">
    <w:name w:val="Základní text (2) + 11 pt Exact"/>
    <w:basedOn w:val="CharStyle13"/>
    <w:rPr>
      <w:sz w:val="22"/>
      <w:szCs w:val="22"/>
    </w:rPr>
  </w:style>
  <w:style w:type="character" w:customStyle="1" w:styleId="CharStyle9">
    <w:name w:val="Nadpis #3_"/>
    <w:basedOn w:val="DefaultParagraphFont"/>
    <w:link w:val="Style8"/>
    <w:rPr>
      <w:b/>
      <w:bCs/>
      <w:i w:val="0"/>
      <w:iCs w:val="0"/>
      <w:u w:val="none"/>
      <w:strike w:val="0"/>
      <w:smallCaps w:val="0"/>
      <w:sz w:val="30"/>
      <w:szCs w:val="30"/>
      <w:rFonts w:ascii="Calibri" w:eastAsia="Calibri" w:hAnsi="Calibri" w:cs="Calibri"/>
      <w:spacing w:val="0"/>
    </w:rPr>
  </w:style>
  <w:style w:type="character" w:customStyle="1" w:styleId="CharStyle10">
    <w:name w:val="Nadpis #3 + Řádkování 3 pt"/>
    <w:basedOn w:val="CharStyle9"/>
    <w:rPr>
      <w:lang w:val="cs-CZ" w:eastAsia="cs-CZ" w:bidi="cs-CZ"/>
      <w:sz w:val="30"/>
      <w:szCs w:val="30"/>
      <w:w w:val="100"/>
      <w:spacing w:val="60"/>
      <w:color w:val="000000"/>
      <w:position w:val="0"/>
    </w:rPr>
  </w:style>
  <w:style w:type="character" w:customStyle="1" w:styleId="CharStyle12">
    <w:name w:val="Záhlaví nebo Zápatí_"/>
    <w:basedOn w:val="DefaultParagraphFont"/>
    <w:link w:val="Style11"/>
    <w:rPr>
      <w:b/>
      <w:bCs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  <w:style w:type="character" w:customStyle="1" w:styleId="CharStyle13">
    <w:name w:val="Základní text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4"/>
      <w:szCs w:val="24"/>
      <w:rFonts w:ascii="Calibri" w:eastAsia="Calibri" w:hAnsi="Calibri" w:cs="Calibri"/>
    </w:rPr>
  </w:style>
  <w:style w:type="character" w:customStyle="1" w:styleId="CharStyle14">
    <w:name w:val="Základní text (7)_"/>
    <w:basedOn w:val="DefaultParagraphFont"/>
    <w:link w:val="Style3"/>
    <w:rPr>
      <w:b/>
      <w:bCs/>
      <w:i w:val="0"/>
      <w:iCs w:val="0"/>
      <w:u w:val="none"/>
      <w:strike w:val="0"/>
      <w:smallCaps w:val="0"/>
      <w:sz w:val="24"/>
      <w:szCs w:val="24"/>
      <w:rFonts w:ascii="Calibri" w:eastAsia="Calibri" w:hAnsi="Calibri" w:cs="Calibri"/>
    </w:rPr>
  </w:style>
  <w:style w:type="character" w:customStyle="1" w:styleId="CharStyle16">
    <w:name w:val="Nadpis #4 (2)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17">
    <w:name w:val="Nadpis #4 (2) + Calibri,12 pt,Tučné"/>
    <w:basedOn w:val="CharStyle16"/>
    <w:rPr>
      <w:lang w:val="cs-CZ" w:eastAsia="cs-CZ" w:bidi="cs-CZ"/>
      <w:b/>
      <w:bCs/>
      <w:sz w:val="24"/>
      <w:szCs w:val="24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18">
    <w:name w:val="Základní text (2) + Tučné"/>
    <w:basedOn w:val="CharStyle13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19">
    <w:name w:val="Základní text (2) + Arial,14 pt"/>
    <w:basedOn w:val="CharStyle13"/>
    <w:rPr>
      <w:lang w:val="cs-CZ" w:eastAsia="cs-CZ" w:bidi="cs-CZ"/>
      <w:sz w:val="28"/>
      <w:szCs w:val="28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20">
    <w:name w:val="Záhlaví nebo Zápatí"/>
    <w:basedOn w:val="CharStyle12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22">
    <w:name w:val="Nadpis #3 (2)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24"/>
      <w:szCs w:val="24"/>
      <w:rFonts w:ascii="Calibri" w:eastAsia="Calibri" w:hAnsi="Calibri" w:cs="Calibri"/>
    </w:rPr>
  </w:style>
  <w:style w:type="character" w:customStyle="1" w:styleId="CharStyle23">
    <w:name w:val="Základní text (2)"/>
    <w:basedOn w:val="CharStyle13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25">
    <w:name w:val="Nadpis #2_"/>
    <w:basedOn w:val="DefaultParagraphFont"/>
    <w:link w:val="Style24"/>
    <w:rPr>
      <w:b/>
      <w:bCs/>
      <w:i w:val="0"/>
      <w:iCs w:val="0"/>
      <w:u w:val="none"/>
      <w:strike w:val="0"/>
      <w:smallCaps w:val="0"/>
      <w:sz w:val="44"/>
      <w:szCs w:val="44"/>
      <w:rFonts w:ascii="Arial" w:eastAsia="Arial" w:hAnsi="Arial" w:cs="Arial"/>
    </w:rPr>
  </w:style>
  <w:style w:type="character" w:customStyle="1" w:styleId="CharStyle26">
    <w:name w:val="Nadpis #2 + Malá písmena"/>
    <w:basedOn w:val="CharStyle25"/>
    <w:rPr>
      <w:lang w:val="cs-CZ" w:eastAsia="cs-CZ" w:bidi="cs-CZ"/>
      <w:smallCaps/>
      <w:w w:val="100"/>
      <w:spacing w:val="0"/>
      <w:color w:val="000000"/>
      <w:position w:val="0"/>
    </w:rPr>
  </w:style>
  <w:style w:type="character" w:customStyle="1" w:styleId="CharStyle28">
    <w:name w:val="Základní text (8)_"/>
    <w:basedOn w:val="DefaultParagraphFont"/>
    <w:link w:val="Style27"/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  <w:spacing w:val="20"/>
    </w:rPr>
  </w:style>
  <w:style w:type="character" w:customStyle="1" w:styleId="CharStyle30">
    <w:name w:val="Základní text (9)_"/>
    <w:basedOn w:val="DefaultParagraphFont"/>
    <w:link w:val="Style29"/>
    <w:rPr>
      <w:b/>
      <w:bCs/>
      <w:i w:val="0"/>
      <w:iCs w:val="0"/>
      <w:u w:val="none"/>
      <w:strike w:val="0"/>
      <w:smallCaps w:val="0"/>
      <w:sz w:val="26"/>
      <w:szCs w:val="26"/>
      <w:rFonts w:ascii="Calibri" w:eastAsia="Calibri" w:hAnsi="Calibri" w:cs="Calibri"/>
    </w:rPr>
  </w:style>
  <w:style w:type="character" w:customStyle="1" w:styleId="CharStyle32">
    <w:name w:val="Nadpis #1 Exact"/>
    <w:basedOn w:val="DefaultParagraphFont"/>
    <w:link w:val="Style31"/>
    <w:rPr>
      <w:b/>
      <w:bCs/>
      <w:i w:val="0"/>
      <w:iCs w:val="0"/>
      <w:u w:val="none"/>
      <w:strike w:val="0"/>
      <w:smallCaps w:val="0"/>
      <w:sz w:val="48"/>
      <w:szCs w:val="48"/>
      <w:rFonts w:ascii="Arial" w:eastAsia="Arial" w:hAnsi="Arial" w:cs="Arial"/>
    </w:rPr>
  </w:style>
  <w:style w:type="character" w:customStyle="1" w:styleId="CharStyle33">
    <w:name w:val="Základní text (2) + Arial,9,5 pt,Tučné"/>
    <w:basedOn w:val="CharStyle13"/>
    <w:rPr>
      <w:lang w:val="cs-CZ" w:eastAsia="cs-CZ" w:bidi="cs-CZ"/>
      <w:b/>
      <w:bCs/>
      <w:sz w:val="19"/>
      <w:szCs w:val="19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35">
    <w:name w:val="Základní text (5)_"/>
    <w:basedOn w:val="DefaultParagraphFont"/>
    <w:link w:val="Style34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3">
    <w:name w:val="Základní text (7)"/>
    <w:basedOn w:val="Normal"/>
    <w:link w:val="CharStyle14"/>
    <w:pPr>
      <w:widowControl w:val="0"/>
      <w:shd w:val="clear" w:color="auto" w:fill="FFFFFF"/>
      <w:spacing w:before="960" w:after="60" w:line="0" w:lineRule="exact"/>
    </w:pPr>
    <w:rPr>
      <w:b/>
      <w:bCs/>
      <w:i w:val="0"/>
      <w:iCs w:val="0"/>
      <w:u w:val="none"/>
      <w:strike w:val="0"/>
      <w:smallCaps w:val="0"/>
      <w:sz w:val="24"/>
      <w:szCs w:val="24"/>
      <w:rFonts w:ascii="Calibri" w:eastAsia="Calibri" w:hAnsi="Calibri" w:cs="Calibri"/>
    </w:rPr>
  </w:style>
  <w:style w:type="paragraph" w:customStyle="1" w:styleId="Style5">
    <w:name w:val="Základní text (2)"/>
    <w:basedOn w:val="Normal"/>
    <w:link w:val="CharStyle13"/>
    <w:pPr>
      <w:widowControl w:val="0"/>
      <w:shd w:val="clear" w:color="auto" w:fill="FFFFFF"/>
      <w:spacing w:before="60" w:after="60" w:line="0" w:lineRule="exact"/>
      <w:ind w:hanging="360"/>
    </w:pPr>
    <w:rPr>
      <w:b w:val="0"/>
      <w:bCs w:val="0"/>
      <w:i w:val="0"/>
      <w:iCs w:val="0"/>
      <w:u w:val="none"/>
      <w:strike w:val="0"/>
      <w:smallCaps w:val="0"/>
      <w:sz w:val="24"/>
      <w:szCs w:val="24"/>
      <w:rFonts w:ascii="Calibri" w:eastAsia="Calibri" w:hAnsi="Calibri" w:cs="Calibri"/>
    </w:rPr>
  </w:style>
  <w:style w:type="paragraph" w:customStyle="1" w:styleId="Style8">
    <w:name w:val="Nadpis #3"/>
    <w:basedOn w:val="Normal"/>
    <w:link w:val="CharStyle9"/>
    <w:pPr>
      <w:widowControl w:val="0"/>
      <w:shd w:val="clear" w:color="auto" w:fill="FFFFFF"/>
      <w:jc w:val="center"/>
      <w:outlineLvl w:val="2"/>
      <w:spacing w:after="60" w:line="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Calibri" w:eastAsia="Calibri" w:hAnsi="Calibri" w:cs="Calibri"/>
      <w:spacing w:val="0"/>
    </w:rPr>
  </w:style>
  <w:style w:type="paragraph" w:customStyle="1" w:styleId="Style11">
    <w:name w:val="Záhlaví nebo Zápatí"/>
    <w:basedOn w:val="Normal"/>
    <w:link w:val="CharStyle12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  <w:style w:type="paragraph" w:customStyle="1" w:styleId="Style15">
    <w:name w:val="Nadpis #4 (2)"/>
    <w:basedOn w:val="Normal"/>
    <w:link w:val="CharStyle16"/>
    <w:pPr>
      <w:widowControl w:val="0"/>
      <w:shd w:val="clear" w:color="auto" w:fill="FFFFFF"/>
      <w:jc w:val="center"/>
      <w:outlineLvl w:val="3"/>
      <w:spacing w:before="660" w:after="60"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21">
    <w:name w:val="Nadpis #3 (2)"/>
    <w:basedOn w:val="Normal"/>
    <w:link w:val="CharStyle22"/>
    <w:pPr>
      <w:widowControl w:val="0"/>
      <w:shd w:val="clear" w:color="auto" w:fill="FFFFFF"/>
      <w:jc w:val="center"/>
      <w:outlineLvl w:val="2"/>
      <w:spacing w:before="540" w:after="180" w:line="0" w:lineRule="exact"/>
    </w:pPr>
    <w:rPr>
      <w:b w:val="0"/>
      <w:bCs w:val="0"/>
      <w:i w:val="0"/>
      <w:iCs w:val="0"/>
      <w:u w:val="none"/>
      <w:strike w:val="0"/>
      <w:smallCaps w:val="0"/>
      <w:sz w:val="24"/>
      <w:szCs w:val="24"/>
      <w:rFonts w:ascii="Calibri" w:eastAsia="Calibri" w:hAnsi="Calibri" w:cs="Calibri"/>
    </w:rPr>
  </w:style>
  <w:style w:type="paragraph" w:customStyle="1" w:styleId="Style24">
    <w:name w:val="Nadpis #2"/>
    <w:basedOn w:val="Normal"/>
    <w:link w:val="CharStyle25"/>
    <w:pPr>
      <w:widowControl w:val="0"/>
      <w:shd w:val="clear" w:color="auto" w:fill="FFFFFF"/>
      <w:jc w:val="both"/>
      <w:outlineLvl w:val="1"/>
      <w:spacing w:after="420" w:line="0" w:lineRule="exact"/>
    </w:pPr>
    <w:rPr>
      <w:b/>
      <w:bCs/>
      <w:i w:val="0"/>
      <w:iCs w:val="0"/>
      <w:u w:val="none"/>
      <w:strike w:val="0"/>
      <w:smallCaps w:val="0"/>
      <w:sz w:val="44"/>
      <w:szCs w:val="44"/>
      <w:rFonts w:ascii="Arial" w:eastAsia="Arial" w:hAnsi="Arial" w:cs="Arial"/>
    </w:rPr>
  </w:style>
  <w:style w:type="paragraph" w:customStyle="1" w:styleId="Style27">
    <w:name w:val="Základní text (8)"/>
    <w:basedOn w:val="Normal"/>
    <w:link w:val="CharStyle28"/>
    <w:pPr>
      <w:widowControl w:val="0"/>
      <w:shd w:val="clear" w:color="auto" w:fill="FFFFFF"/>
      <w:spacing w:before="420" w:after="240"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  <w:spacing w:val="20"/>
    </w:rPr>
  </w:style>
  <w:style w:type="paragraph" w:customStyle="1" w:styleId="Style29">
    <w:name w:val="Základní text (9)"/>
    <w:basedOn w:val="Normal"/>
    <w:link w:val="CharStyle30"/>
    <w:pPr>
      <w:widowControl w:val="0"/>
      <w:shd w:val="clear" w:color="auto" w:fill="FFFFFF"/>
      <w:jc w:val="center"/>
      <w:spacing w:before="240" w:line="552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Calibri" w:eastAsia="Calibri" w:hAnsi="Calibri" w:cs="Calibri"/>
    </w:rPr>
  </w:style>
  <w:style w:type="paragraph" w:customStyle="1" w:styleId="Style31">
    <w:name w:val="Nadpis #1"/>
    <w:basedOn w:val="Normal"/>
    <w:link w:val="CharStyle32"/>
    <w:pPr>
      <w:widowControl w:val="0"/>
      <w:shd w:val="clear" w:color="auto" w:fill="FFFFFF"/>
      <w:outlineLvl w:val="0"/>
      <w:spacing w:line="0" w:lineRule="exact"/>
    </w:pPr>
    <w:rPr>
      <w:b/>
      <w:bCs/>
      <w:i w:val="0"/>
      <w:iCs w:val="0"/>
      <w:u w:val="none"/>
      <w:strike w:val="0"/>
      <w:smallCaps w:val="0"/>
      <w:sz w:val="48"/>
      <w:szCs w:val="48"/>
      <w:rFonts w:ascii="Arial" w:eastAsia="Arial" w:hAnsi="Arial" w:cs="Arial"/>
    </w:rPr>
  </w:style>
  <w:style w:type="paragraph" w:customStyle="1" w:styleId="Style34">
    <w:name w:val="Základní text (5)"/>
    <w:basedOn w:val="Normal"/>
    <w:link w:val="CharStyle35"/>
    <w:pPr>
      <w:widowControl w:val="0"/>
      <w:shd w:val="clear" w:color="auto" w:fill="FFFFFF"/>
      <w:spacing w:before="480" w:after="60" w:line="235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/Relationships>
</file>

<file path=docProps/core.xml><?xml version="1.0" encoding="utf-8"?>
<cp:coreProperties xmlns:cp="http://schemas.openxmlformats.org/package/2006/metadata/core-properties" xmlns:dc="http://purl.org/dc/elements/1.1/">
  <dc:title>Upravený návrh CO - Za horka BnP-Dodatek 18-37 2022 (002)</dc:title>
  <dc:subject/>
  <dc:creator>BEDNARM1</dc:creator>
  <cp:keywords/>
</cp:coreProperties>
</file>