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DE4C30" w:rsidRPr="006B2734" w14:paraId="326089F8" w14:textId="77777777" w:rsidTr="00DE4C30">
        <w:trPr>
          <w:trHeight w:val="495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C676F9" w14:textId="77777777" w:rsidR="00DE4C30" w:rsidRDefault="00DE4C30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59863" w14:textId="117A16B9" w:rsidR="00DE4C30" w:rsidRDefault="00DE4C30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C30">
              <w:rPr>
                <w:rFonts w:ascii="Arial" w:hAnsi="Arial" w:cs="Arial"/>
                <w:b/>
                <w:sz w:val="22"/>
                <w:szCs w:val="22"/>
              </w:rPr>
              <w:t>Smlouva na zajištění pronájmu audiovizuální techniky pro přenos dat a signálu a navazujících služeb na akce realizované v Kongresovém centru Praha  v souvislosti s předsednictvím ČR v Radě EU v roce 2022 v období od 01. 07. 2022 do 31. 12. 2022</w:t>
            </w:r>
          </w:p>
          <w:p w14:paraId="1509C1E7" w14:textId="2EB1E398" w:rsidR="00DE4C30" w:rsidRPr="006B2734" w:rsidRDefault="00DE4C30" w:rsidP="00DE4C30">
            <w:pPr>
              <w:pStyle w:val="Bezmezer"/>
              <w:jc w:val="center"/>
              <w:rPr>
                <w:sz w:val="24"/>
                <w:szCs w:val="24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17EB170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E23F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E23F0" w:rsidRPr="004E23F0">
        <w:rPr>
          <w:rFonts w:ascii="Arial" w:hAnsi="Arial" w:cs="Arial"/>
          <w:b/>
          <w:color w:val="auto"/>
          <w:sz w:val="24"/>
          <w:szCs w:val="24"/>
        </w:rPr>
        <w:t>4500041203 /01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05F69B64" w:rsidR="00891EDC" w:rsidRDefault="00DE4C30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e Smlouvě </w:t>
      </w:r>
      <w:r w:rsidRPr="00DE4C30">
        <w:rPr>
          <w:rFonts w:ascii="Arial" w:hAnsi="Arial" w:cs="Arial"/>
          <w:b/>
          <w:sz w:val="22"/>
          <w:szCs w:val="22"/>
        </w:rPr>
        <w:t>na zajištění pronájmu audiovizuální techniky pro přenos dat a signálu a navazujících služeb na akce realizované v Kongresovém centru Praha  v souvislosti s předsednictvím ČR v Radě EU v roce 2022 v období od 01. 07. 2022 do 31. 12. 2022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363"/>
        <w:gridCol w:w="878"/>
        <w:gridCol w:w="3580"/>
        <w:gridCol w:w="590"/>
        <w:gridCol w:w="1668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65C63242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88745" w14:textId="77777777" w:rsidR="004E23F0" w:rsidRPr="001D347B" w:rsidRDefault="004E23F0" w:rsidP="004E23F0">
            <w:pPr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Pr="001D347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 </w:t>
            </w:r>
            <w:r w:rsidRPr="001D347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re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pub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li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a - Ú</w:t>
            </w:r>
            <w:r w:rsidRPr="001D347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ř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ad vlá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y Č</w:t>
            </w:r>
            <w:r w:rsidRPr="001D347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1D347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re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pub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li</w:t>
            </w:r>
            <w:r w:rsidRPr="001D347B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k</w:t>
            </w:r>
            <w:r w:rsidRPr="001D347B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  <w:p w14:paraId="377DCB0C" w14:textId="77777777" w:rsidR="00DB7CC4" w:rsidRPr="00C45BAF" w:rsidRDefault="00DB7CC4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9CC5B3B" w:rsidR="00DB7CC4" w:rsidRPr="00C45BAF" w:rsidRDefault="004E23F0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D347B">
              <w:rPr>
                <w:rFonts w:ascii="Arial" w:hAnsi="Arial" w:cs="Arial"/>
                <w:sz w:val="22"/>
                <w:szCs w:val="22"/>
              </w:rPr>
              <w:t>00006599</w:t>
            </w:r>
            <w:r w:rsidRPr="001D347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E790CF" w14:textId="77777777" w:rsidR="004E23F0" w:rsidRPr="001D347B" w:rsidRDefault="004E23F0" w:rsidP="004E23F0">
            <w:pPr>
              <w:tabs>
                <w:tab w:val="left" w:pos="2410"/>
              </w:tabs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1D347B">
              <w:rPr>
                <w:rFonts w:ascii="Arial" w:hAnsi="Arial" w:cs="Arial"/>
                <w:sz w:val="22"/>
                <w:szCs w:val="22"/>
              </w:rPr>
              <w:t>n</w:t>
            </w:r>
            <w:r w:rsidRPr="001D347B">
              <w:rPr>
                <w:rFonts w:ascii="Arial" w:hAnsi="Arial" w:cs="Arial"/>
                <w:spacing w:val="-1"/>
                <w:sz w:val="22"/>
                <w:szCs w:val="22"/>
              </w:rPr>
              <w:t>á</w:t>
            </w:r>
            <w:r w:rsidRPr="001D347B">
              <w:rPr>
                <w:rFonts w:ascii="Arial" w:hAnsi="Arial" w:cs="Arial"/>
                <w:sz w:val="22"/>
                <w:szCs w:val="22"/>
              </w:rPr>
              <w:t>b</w:t>
            </w:r>
            <w:r w:rsidRPr="001D347B">
              <w:rPr>
                <w:rFonts w:ascii="Arial" w:hAnsi="Arial" w:cs="Arial"/>
                <w:spacing w:val="-1"/>
                <w:sz w:val="22"/>
                <w:szCs w:val="22"/>
              </w:rPr>
              <w:t>ř</w:t>
            </w:r>
            <w:r w:rsidRPr="001D347B">
              <w:rPr>
                <w:rFonts w:ascii="Arial" w:hAnsi="Arial" w:cs="Arial"/>
                <w:sz w:val="22"/>
                <w:szCs w:val="22"/>
              </w:rPr>
              <w:t xml:space="preserve">. E. </w:t>
            </w:r>
            <w:r w:rsidRPr="001D347B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1D347B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1D347B">
              <w:rPr>
                <w:rFonts w:ascii="Arial" w:hAnsi="Arial" w:cs="Arial"/>
                <w:sz w:val="22"/>
                <w:szCs w:val="22"/>
              </w:rPr>
              <w:t>n</w:t>
            </w:r>
            <w:r w:rsidRPr="001D347B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1D347B">
              <w:rPr>
                <w:rFonts w:ascii="Arial" w:hAnsi="Arial" w:cs="Arial"/>
                <w:spacing w:val="3"/>
                <w:sz w:val="22"/>
                <w:szCs w:val="22"/>
              </w:rPr>
              <w:t>š</w:t>
            </w:r>
            <w:r w:rsidRPr="001D347B">
              <w:rPr>
                <w:rFonts w:ascii="Arial" w:hAnsi="Arial" w:cs="Arial"/>
                <w:sz w:val="22"/>
                <w:szCs w:val="22"/>
              </w:rPr>
              <w:t xml:space="preserve">e 128/4, 118 01 </w:t>
            </w:r>
            <w:r w:rsidRPr="001D347B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1D347B">
              <w:rPr>
                <w:rFonts w:ascii="Arial" w:hAnsi="Arial" w:cs="Arial"/>
                <w:spacing w:val="-1"/>
                <w:sz w:val="22"/>
                <w:szCs w:val="22"/>
              </w:rPr>
              <w:t>ra</w:t>
            </w:r>
            <w:r w:rsidRPr="001D347B">
              <w:rPr>
                <w:rFonts w:ascii="Arial" w:hAnsi="Arial" w:cs="Arial"/>
                <w:sz w:val="22"/>
                <w:szCs w:val="22"/>
              </w:rPr>
              <w:t>ha 1 - Malá Strana</w:t>
            </w:r>
          </w:p>
          <w:p w14:paraId="6F676708" w14:textId="79863E89" w:rsidR="00DB7CC4" w:rsidRPr="00C45BAF" w:rsidRDefault="00DB7CC4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9DD10" w14:textId="77777777" w:rsidR="004E23F0" w:rsidRPr="001D347B" w:rsidRDefault="004E23F0" w:rsidP="004E23F0">
            <w:pPr>
              <w:tabs>
                <w:tab w:val="left" w:pos="2200"/>
                <w:tab w:val="left" w:pos="2410"/>
              </w:tabs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1D347B">
              <w:rPr>
                <w:rFonts w:ascii="Arial" w:hAnsi="Arial" w:cs="Arial"/>
                <w:sz w:val="22"/>
                <w:szCs w:val="22"/>
              </w:rPr>
              <w:t>CZ00006599</w:t>
            </w:r>
          </w:p>
          <w:p w14:paraId="33AA598D" w14:textId="3CEDBD9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547A7A83" w14:textId="794AED14" w:rsidR="004E23F0" w:rsidRDefault="004E23F0" w:rsidP="004E23F0">
            <w:pPr>
              <w:tabs>
                <w:tab w:val="left" w:pos="2410"/>
              </w:tabs>
              <w:ind w:left="2410" w:right="-20" w:hanging="2410"/>
              <w:rPr>
                <w:rFonts w:ascii="Arial" w:hAnsi="Arial" w:cs="Arial"/>
                <w:bCs/>
                <w:sz w:val="22"/>
                <w:szCs w:val="22"/>
              </w:rPr>
            </w:pPr>
            <w:r w:rsidRPr="00AE65B2">
              <w:rPr>
                <w:rFonts w:ascii="Arial" w:hAnsi="Arial" w:cs="Arial"/>
                <w:bCs/>
                <w:sz w:val="22"/>
                <w:szCs w:val="22"/>
              </w:rPr>
              <w:t>Mgr. Lenka Simanová, organizační pracovník Odboru pro předsednictví ČR v Radě EU, e-mail:</w:t>
            </w:r>
            <w:r w:rsidR="00CD07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D07BD" w:rsidRPr="00CD07BD">
              <w:rPr>
                <w:rFonts w:ascii="Arial" w:hAnsi="Arial" w:cs="Arial"/>
                <w:sz w:val="22"/>
                <w:szCs w:val="22"/>
              </w:rPr>
              <w:t>XXXXX</w:t>
            </w:r>
            <w:r w:rsidRPr="00AE65B2">
              <w:rPr>
                <w:rFonts w:ascii="Arial" w:hAnsi="Arial" w:cs="Arial"/>
                <w:bCs/>
                <w:sz w:val="22"/>
                <w:szCs w:val="22"/>
              </w:rPr>
              <w:t>, tel.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AE65B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D07BD">
              <w:rPr>
                <w:rFonts w:ascii="Arial" w:hAnsi="Arial" w:cs="Arial"/>
                <w:bCs/>
                <w:sz w:val="22"/>
                <w:szCs w:val="22"/>
              </w:rPr>
              <w:t>XXXXXXX</w:t>
            </w:r>
          </w:p>
          <w:p w14:paraId="3C0A53E6" w14:textId="66291A4A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629A788" w:rsidR="00D80593" w:rsidRPr="00C45BAF" w:rsidRDefault="004E23F0" w:rsidP="00CD07BD">
            <w:pPr>
              <w:tabs>
                <w:tab w:val="left" w:pos="2410"/>
              </w:tabs>
              <w:ind w:left="2410" w:right="-20" w:hanging="24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Mgr. Tereza Nováková, </w:t>
            </w:r>
            <w:r w:rsidRPr="006D2050">
              <w:rPr>
                <w:rFonts w:ascii="Arial" w:hAnsi="Arial" w:cs="Arial"/>
                <w:bCs/>
                <w:sz w:val="22"/>
                <w:szCs w:val="22"/>
              </w:rPr>
              <w:t>organizační pracovník Odboru pro předsednictví ČR v Radě EU,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e-mail:</w:t>
            </w:r>
            <w:r w:rsidR="00CD07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D07BD" w:rsidRPr="00CD07BD">
              <w:rPr>
                <w:rFonts w:ascii="Arial" w:hAnsi="Arial" w:cs="Arial"/>
                <w:sz w:val="22"/>
                <w:szCs w:val="22"/>
              </w:rPr>
              <w:t>XXXXXX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tel.: </w:t>
            </w:r>
            <w:r w:rsidR="00CD07BD">
              <w:rPr>
                <w:rFonts w:ascii="Arial" w:hAnsi="Arial" w:cs="Arial"/>
                <w:bCs/>
                <w:sz w:val="22"/>
                <w:szCs w:val="22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5A39C18B" w:rsidR="00D80593" w:rsidRPr="004E23F0" w:rsidRDefault="004E23F0" w:rsidP="004E23F0">
            <w:pPr>
              <w:tabs>
                <w:tab w:val="left" w:pos="2410"/>
              </w:tabs>
              <w:ind w:right="2365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AE65B2">
              <w:rPr>
                <w:rFonts w:ascii="Arial" w:hAnsi="Arial" w:cs="Arial"/>
                <w:spacing w:val="1"/>
                <w:sz w:val="22"/>
                <w:szCs w:val="22"/>
              </w:rPr>
              <w:t>Č</w:t>
            </w:r>
            <w:r w:rsidRPr="00AE65B2">
              <w:rPr>
                <w:rFonts w:ascii="Arial" w:hAnsi="Arial" w:cs="Arial"/>
                <w:sz w:val="22"/>
                <w:szCs w:val="22"/>
              </w:rPr>
              <w:t>NB</w:t>
            </w:r>
            <w:r w:rsidRPr="00AE65B2">
              <w:rPr>
                <w:rFonts w:ascii="Arial" w:hAnsi="Arial" w:cs="Arial"/>
                <w:spacing w:val="1"/>
                <w:sz w:val="22"/>
                <w:szCs w:val="22"/>
              </w:rPr>
              <w:t xml:space="preserve"> P</w:t>
            </w:r>
            <w:r w:rsidRPr="00AE65B2">
              <w:rPr>
                <w:rFonts w:ascii="Arial" w:hAnsi="Arial" w:cs="Arial"/>
                <w:spacing w:val="-1"/>
                <w:sz w:val="22"/>
                <w:szCs w:val="22"/>
              </w:rPr>
              <w:t>ra</w:t>
            </w:r>
            <w:r w:rsidRPr="00AE65B2">
              <w:rPr>
                <w:rFonts w:ascii="Arial" w:hAnsi="Arial" w:cs="Arial"/>
                <w:sz w:val="22"/>
                <w:szCs w:val="22"/>
              </w:rPr>
              <w:t>h</w:t>
            </w:r>
            <w:r w:rsidRPr="00AE65B2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AE65B2">
              <w:rPr>
                <w:rFonts w:ascii="Arial" w:hAnsi="Arial" w:cs="Arial"/>
                <w:sz w:val="22"/>
                <w:szCs w:val="22"/>
              </w:rPr>
              <w:t>, ú</w:t>
            </w:r>
            <w:r w:rsidRPr="00AE65B2">
              <w:rPr>
                <w:rFonts w:ascii="Arial" w:hAnsi="Arial" w:cs="Arial"/>
                <w:spacing w:val="1"/>
                <w:sz w:val="22"/>
                <w:szCs w:val="22"/>
              </w:rPr>
              <w:t>č</w:t>
            </w:r>
            <w:r w:rsidRPr="00AE65B2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AE65B2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AE65B2">
              <w:rPr>
                <w:rFonts w:ascii="Arial" w:hAnsi="Arial" w:cs="Arial"/>
                <w:spacing w:val="-1"/>
                <w:sz w:val="22"/>
                <w:szCs w:val="22"/>
              </w:rPr>
              <w:t>č</w:t>
            </w:r>
            <w:r w:rsidRPr="00AE65B2">
              <w:rPr>
                <w:rFonts w:ascii="Arial" w:hAnsi="Arial" w:cs="Arial"/>
                <w:sz w:val="22"/>
                <w:szCs w:val="22"/>
              </w:rPr>
              <w:t>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067DBAB9" w:rsidR="00BD5463" w:rsidRPr="00C45BAF" w:rsidRDefault="004E23F0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www.vlada.cz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165C169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4E23F0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0FC8DA5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2C6A164F" w:rsidR="00DB7CC4" w:rsidRPr="004F2FA7" w:rsidRDefault="00DE4C30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1FDC4F" w14:textId="77777777" w:rsidR="004E23F0" w:rsidRPr="00E5730F" w:rsidRDefault="004E23F0" w:rsidP="004E23F0">
            <w:pPr>
              <w:keepLines/>
              <w:widowControl w:val="0"/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73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Kongresové centrum Praha, a.s.</w:t>
            </w:r>
          </w:p>
          <w:p w14:paraId="5A08EC1A" w14:textId="77777777" w:rsidR="00DB7CC4" w:rsidRPr="00C45BAF" w:rsidRDefault="00DB7CC4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BAEF99" w14:textId="47996927" w:rsidR="004E23F0" w:rsidRPr="00E5730F" w:rsidRDefault="004E23F0" w:rsidP="004E23F0">
            <w:pPr>
              <w:tabs>
                <w:tab w:val="left" w:pos="2410"/>
              </w:tabs>
              <w:ind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6308024</w:t>
            </w:r>
            <w:r w:rsidRPr="00E5730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5C1C4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022001FF" w:rsidR="00DB7CC4" w:rsidRPr="00C45BAF" w:rsidRDefault="004E23F0" w:rsidP="004E23F0">
            <w:pPr>
              <w:tabs>
                <w:tab w:val="left" w:pos="2410"/>
              </w:tabs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E5730F">
              <w:rPr>
                <w:rFonts w:ascii="Arial" w:hAnsi="Arial" w:cs="Arial"/>
                <w:color w:val="000000"/>
                <w:sz w:val="22"/>
                <w:szCs w:val="22"/>
              </w:rPr>
              <w:t>5. května 1640/65, Nusle, 140 00 Praha 4, Česká republika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3EB24553" w:rsidR="00DB7CC4" w:rsidRPr="00C45BAF" w:rsidRDefault="004E23F0" w:rsidP="004E23F0">
            <w:pPr>
              <w:tabs>
                <w:tab w:val="left" w:pos="2410"/>
              </w:tabs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E5730F">
              <w:rPr>
                <w:rFonts w:ascii="Arial" w:hAnsi="Arial" w:cs="Arial"/>
                <w:spacing w:val="3"/>
                <w:sz w:val="22"/>
                <w:szCs w:val="22"/>
              </w:rPr>
              <w:t>C</w:t>
            </w:r>
            <w:r w:rsidRPr="00E5730F">
              <w:rPr>
                <w:rFonts w:ascii="Arial" w:hAnsi="Arial" w:cs="Arial"/>
                <w:sz w:val="22"/>
                <w:szCs w:val="22"/>
              </w:rPr>
              <w:t>Z</w:t>
            </w:r>
            <w:r w:rsidRPr="00E5730F">
              <w:rPr>
                <w:rFonts w:ascii="Arial" w:hAnsi="Arial" w:cs="Arial"/>
                <w:color w:val="000000"/>
                <w:sz w:val="22"/>
                <w:szCs w:val="22"/>
              </w:rPr>
              <w:t>63080249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304CBFF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E23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E23F0" w:rsidRPr="004E23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vedeném Městským soudem v Praze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DFA6E" w14:textId="08B56D31" w:rsidR="004E23F0" w:rsidRDefault="004E23F0" w:rsidP="004E23F0">
            <w:pPr>
              <w:widowControl w:val="0"/>
              <w:autoSpaceDE w:val="0"/>
              <w:autoSpaceDN w:val="0"/>
              <w:adjustRightInd w:val="0"/>
              <w:ind w:left="2127" w:hanging="2127"/>
              <w:rPr>
                <w:rFonts w:ascii="Arial" w:hAnsi="Arial" w:cs="Arial"/>
                <w:sz w:val="22"/>
                <w:szCs w:val="22"/>
              </w:rPr>
            </w:pPr>
            <w:r w:rsidRPr="00E5730F">
              <w:rPr>
                <w:rFonts w:ascii="Arial" w:hAnsi="Arial" w:cs="Arial"/>
                <w:sz w:val="22"/>
                <w:szCs w:val="22"/>
              </w:rPr>
              <w:t>Komerční banka, a.s.</w:t>
            </w:r>
            <w:r>
              <w:rPr>
                <w:rFonts w:ascii="Arial" w:hAnsi="Arial" w:cs="Arial"/>
                <w:sz w:val="22"/>
                <w:szCs w:val="22"/>
              </w:rPr>
              <w:t>, účet č.:</w:t>
            </w:r>
            <w:r w:rsidRPr="00E5730F">
              <w:rPr>
                <w:rFonts w:ascii="Arial" w:hAnsi="Arial" w:cs="Arial"/>
                <w:sz w:val="22"/>
                <w:szCs w:val="22"/>
              </w:rPr>
              <w:t xml:space="preserve"> 6502790257/0100 IBAN: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06B9D69" w14:textId="4E4A179C" w:rsidR="00DB7CC4" w:rsidRPr="00C45BAF" w:rsidRDefault="004E23F0" w:rsidP="004E23F0">
            <w:pPr>
              <w:widowControl w:val="0"/>
              <w:autoSpaceDE w:val="0"/>
              <w:autoSpaceDN w:val="0"/>
              <w:adjustRightInd w:val="0"/>
              <w:ind w:left="2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5730F">
              <w:rPr>
                <w:rFonts w:ascii="Arial" w:hAnsi="Arial" w:cs="Arial"/>
                <w:sz w:val="22"/>
                <w:szCs w:val="22"/>
              </w:rPr>
              <w:t>CZ0501000000006502790257 / KOMBCZPPXXX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E58D1" w14:textId="1D229751" w:rsidR="004E23F0" w:rsidRPr="00E5730F" w:rsidRDefault="004E23F0" w:rsidP="004E23F0">
            <w:pPr>
              <w:tabs>
                <w:tab w:val="left" w:pos="2410"/>
              </w:tabs>
              <w:ind w:left="2127" w:right="-23" w:hanging="2127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Mgr. Roman Sovják, obchodní a marketingový ředitel, e-mail: </w:t>
            </w:r>
            <w:r w:rsidR="00CD07BD">
              <w:rPr>
                <w:rFonts w:ascii="Arial" w:hAnsi="Arial" w:cs="Arial"/>
                <w:bCs/>
                <w:sz w:val="22"/>
                <w:szCs w:val="22"/>
              </w:rPr>
              <w:t>XXXXXX</w:t>
            </w:r>
            <w:r w:rsidRPr="003A66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tel.: </w:t>
            </w:r>
            <w:r w:rsidR="00CD07BD">
              <w:rPr>
                <w:rFonts w:ascii="Arial" w:hAnsi="Arial" w:cs="Arial"/>
                <w:bCs/>
                <w:sz w:val="22"/>
                <w:szCs w:val="22"/>
              </w:rPr>
              <w:t>XXXXXXX</w:t>
            </w:r>
          </w:p>
          <w:p w14:paraId="13F801E1" w14:textId="77777777" w:rsidR="00DB7CC4" w:rsidRPr="00C45BAF" w:rsidRDefault="00DB7CC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36ECE1E1" w:rsidR="00596938" w:rsidRDefault="007D316B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316B">
              <w:rPr>
                <w:rFonts w:ascii="Arial" w:hAnsi="Arial" w:cs="Arial"/>
                <w:sz w:val="22"/>
                <w:szCs w:val="22"/>
                <w:lang w:eastAsia="en-US"/>
              </w:rPr>
              <w:t>https://www.praguecc.cz/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17E41EB" w:rsidR="008375BA" w:rsidRDefault="00CD07BD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XXXXXXX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51E10A2A" w:rsidR="00C75D62" w:rsidRDefault="007D316B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316B">
              <w:rPr>
                <w:rFonts w:ascii="Arial" w:hAnsi="Arial" w:cs="Arial"/>
                <w:sz w:val="22"/>
                <w:szCs w:val="22"/>
                <w:lang w:eastAsia="en-US"/>
              </w:rPr>
              <w:t>k4ietd4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7777777" w:rsidR="001F582E" w:rsidRPr="00C8774B" w:rsidRDefault="001F582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F01C25" w14:textId="71D5B834" w:rsidR="004467AF" w:rsidRDefault="004E23F0" w:rsidP="0019416A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Objednáváme dle příloh č. 1, č. 2, č. 3, č. 4</w:t>
            </w:r>
            <w:r w:rsidR="00C02A8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 č. 5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této objednávky služby </w:t>
            </w:r>
            <w:r w:rsidR="0019416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 následujícím rozsahu:</w:t>
            </w:r>
          </w:p>
          <w:p w14:paraId="3A15324E" w14:textId="77777777" w:rsidR="0019416A" w:rsidRDefault="0019416A" w:rsidP="0019416A">
            <w:pPr>
              <w:pStyle w:val="Zkladntext"/>
              <w:spacing w:before="0"/>
              <w:ind w:left="37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14:paraId="616B12DD" w14:textId="115E82A5" w:rsidR="0019416A" w:rsidRDefault="0019416A" w:rsidP="0019416A">
            <w:pPr>
              <w:pStyle w:val="Zkladntex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Posílení internetu – 5GB na 6 měsíců – </w:t>
            </w:r>
            <w:r w:rsidR="00CD07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XXXXX</w:t>
            </w: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  <w:p w14:paraId="5D156E04" w14:textId="42B46F05" w:rsidR="0019416A" w:rsidRDefault="0019416A" w:rsidP="0019416A">
            <w:pPr>
              <w:pStyle w:val="Zkladntex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Implement</w:t>
            </w:r>
            <w:r w:rsidR="006C1B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 a zajištění k</w:t>
            </w: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yberbezpečnost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 na 6 měsíců – </w:t>
            </w:r>
            <w:r w:rsidR="00CD07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XXXXXXX</w:t>
            </w: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  <w:p w14:paraId="274EA892" w14:textId="74AFAC46" w:rsidR="0019416A" w:rsidRDefault="0019416A" w:rsidP="0019416A">
            <w:pPr>
              <w:pStyle w:val="Zkladntex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DDoS ochrana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na 6 měsíců - </w:t>
            </w:r>
            <w:r w:rsidR="00CD07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XXXXXX</w:t>
            </w: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  <w:p w14:paraId="10D040A0" w14:textId="68950271" w:rsidR="0019416A" w:rsidRDefault="0019416A" w:rsidP="0019416A">
            <w:pPr>
              <w:pStyle w:val="Zkladntex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Využití podpůrných prostor pro Rady EU </w:t>
            </w:r>
            <w:r w:rsidR="009E2D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CD07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XXXXX</w:t>
            </w:r>
            <w:r w:rsidR="009E2D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19416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Kč</w:t>
            </w:r>
          </w:p>
          <w:p w14:paraId="13F9282E" w14:textId="006E6579" w:rsidR="00C217EF" w:rsidRPr="009E2DE4" w:rsidRDefault="00C217EF" w:rsidP="0019416A">
            <w:pPr>
              <w:pStyle w:val="Zkladntext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E2DE4">
              <w:rPr>
                <w:rFonts w:ascii="Arial" w:hAnsi="Arial"/>
                <w:b/>
                <w:sz w:val="22"/>
                <w:szCs w:val="22"/>
              </w:rPr>
              <w:t xml:space="preserve">Zajištění SDI kabeláže – </w:t>
            </w:r>
            <w:r w:rsidR="00CD07BD">
              <w:rPr>
                <w:rFonts w:ascii="Arial" w:hAnsi="Arial"/>
                <w:b/>
                <w:sz w:val="22"/>
                <w:szCs w:val="22"/>
              </w:rPr>
              <w:t>XXXXX</w:t>
            </w:r>
            <w:r w:rsidRPr="009E2DE4">
              <w:rPr>
                <w:rFonts w:ascii="Arial" w:hAnsi="Arial"/>
                <w:b/>
                <w:sz w:val="22"/>
                <w:szCs w:val="22"/>
              </w:rPr>
              <w:t xml:space="preserve"> Kč</w:t>
            </w:r>
            <w:r w:rsidR="009E2DE4">
              <w:rPr>
                <w:rStyle w:val="Znakapoznpodarou"/>
                <w:rFonts w:ascii="Arial" w:hAnsi="Arial"/>
                <w:b/>
                <w:sz w:val="22"/>
                <w:szCs w:val="22"/>
              </w:rPr>
              <w:footnoteReference w:id="2"/>
            </w:r>
          </w:p>
          <w:p w14:paraId="3BCDB5FD" w14:textId="77777777" w:rsidR="0019416A" w:rsidRDefault="0019416A" w:rsidP="0019416A">
            <w:pPr>
              <w:pStyle w:val="Zkladntext"/>
              <w:spacing w:befor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DD62E7" w14:textId="3A3C4335" w:rsidR="0019416A" w:rsidRPr="0019416A" w:rsidRDefault="0019416A" w:rsidP="0019416A">
            <w:pPr>
              <w:pStyle w:val="Zkladntext"/>
              <w:spacing w:before="0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055F62D9" w:rsidR="00DB7CC4" w:rsidRPr="008D0CF8" w:rsidRDefault="004E23F0" w:rsidP="00CD07B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11. 7. 2022 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24DE03AC" w:rsidR="008D0CF8" w:rsidRPr="008D0CF8" w:rsidRDefault="004E23F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31. 12. 2022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99C055A" w:rsidR="00E64714" w:rsidRPr="008D0CF8" w:rsidRDefault="00C772A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3 015 281</w:t>
            </w:r>
            <w:r w:rsidR="009E2D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E76DC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5F821E74" w:rsidR="00E64714" w:rsidRPr="008D0CF8" w:rsidRDefault="009E2DE4" w:rsidP="009E2DE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 648 490,01 </w:t>
            </w:r>
            <w:r w:rsidR="00C02A8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5143BC73" w:rsidR="00E64714" w:rsidRPr="008D0CF8" w:rsidRDefault="004E23F0" w:rsidP="009E2DE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Dle přílohy č. 1, 2, 3, 4</w:t>
            </w:r>
            <w:r w:rsidR="005751C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  <w:r w:rsidR="00C02A8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5751C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</w:t>
            </w:r>
            <w:r w:rsidR="009E2DE4">
              <w:rPr>
                <w:rStyle w:val="Znakapoznpodarou"/>
                <w:rFonts w:ascii="Arial" w:hAnsi="Arial" w:cs="Arial"/>
                <w:i/>
                <w:sz w:val="22"/>
                <w:szCs w:val="22"/>
                <w:lang w:eastAsia="en-US"/>
              </w:rPr>
              <w:footnoteReference w:id="3"/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39BC0" w14:textId="77777777" w:rsidR="00E64714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Fakturace bude probíhat rozdělením celkové částky do 6 měsíců po každém uplynulém měsíci následujícím způsobem:</w:t>
            </w:r>
          </w:p>
          <w:p w14:paraId="64A1664D" w14:textId="77777777" w:rsidR="009812B7" w:rsidRDefault="009812B7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04E76FA8" w14:textId="60CF7B4E" w:rsidR="0019416A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Červenec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2022 -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DB6680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502 546</w:t>
            </w:r>
            <w:r w:rsidR="009E2D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8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</w:t>
            </w:r>
            <w:r w:rsidR="009E2D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7D316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bez DPH,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608 081,66</w:t>
            </w:r>
            <w:r w:rsidR="009812B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  s DPH</w:t>
            </w:r>
          </w:p>
          <w:p w14:paraId="1318873D" w14:textId="77777777" w:rsidR="0019416A" w:rsidRDefault="0019416A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731C42CF" w14:textId="601CDBD8" w:rsidR="0019416A" w:rsidRDefault="0019416A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Srpen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2022 -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502 546,83 bez DPH</w:t>
            </w:r>
            <w:r w:rsidR="009E2D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608 081,67  s DPH</w:t>
            </w:r>
          </w:p>
          <w:p w14:paraId="19D8A195" w14:textId="77777777" w:rsidR="009812B7" w:rsidRDefault="009812B7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15F11277" w14:textId="602C6EE0" w:rsidR="0019416A" w:rsidRDefault="0019416A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Září 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2022  -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502 546,83 bez DPH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,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608 081,67  s DPH</w:t>
            </w:r>
          </w:p>
          <w:p w14:paraId="47F82E68" w14:textId="7B5C8420" w:rsidR="0019416A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30B73645" w14:textId="2407F4F0" w:rsidR="0019416A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Říjen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2022 -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502 546,83 bez DPH</w:t>
            </w:r>
            <w:r w:rsidR="007D316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,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608 081,67  s DPH</w:t>
            </w:r>
          </w:p>
          <w:p w14:paraId="4F59819D" w14:textId="77777777" w:rsidR="009812B7" w:rsidRDefault="009812B7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45662CF9" w14:textId="6EA9FD3F" w:rsidR="0019416A" w:rsidRDefault="0019416A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Listopad 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–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2022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-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502 546,84 bez DPH</w:t>
            </w:r>
            <w:r w:rsidR="007D316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608 081,67  s DPH</w:t>
            </w:r>
          </w:p>
          <w:p w14:paraId="71870BB2" w14:textId="77777777" w:rsidR="0019416A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2D692830" w14:textId="3477FA43" w:rsidR="0019416A" w:rsidRDefault="0019416A" w:rsidP="0019416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Prosinec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–</w:t>
            </w:r>
            <w:r w:rsidR="005B311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2022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-</w:t>
            </w:r>
            <w:r w:rsidR="007D316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502 546,84 bez DPH</w:t>
            </w:r>
            <w:r w:rsidR="007D316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  <w:r w:rsidR="00FF112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C772A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608 081,67  s DPH</w:t>
            </w:r>
          </w:p>
          <w:p w14:paraId="64B7AA7E" w14:textId="606CE0BD" w:rsidR="0019416A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162FD922" w14:textId="30A27D8F" w:rsidR="0019416A" w:rsidRPr="008D0CF8" w:rsidRDefault="0019416A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03F7C05D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053A1FB2" w14:textId="3A1B8052" w:rsidR="006A49D8" w:rsidRDefault="004E23F0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 Internet</w:t>
      </w:r>
    </w:p>
    <w:p w14:paraId="4C16A487" w14:textId="25F8056A" w:rsidR="004E23F0" w:rsidRDefault="004E23F0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2 Kyberbezpečnost</w:t>
      </w:r>
    </w:p>
    <w:p w14:paraId="44B2E668" w14:textId="3E774670" w:rsidR="004E23F0" w:rsidRDefault="004E23F0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3 DDoS</w:t>
      </w:r>
    </w:p>
    <w:p w14:paraId="00D61BB2" w14:textId="0FC0DA9D" w:rsidR="004E23F0" w:rsidRDefault="004E23F0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4 </w:t>
      </w:r>
      <w:bookmarkStart w:id="0" w:name="_GoBack"/>
      <w:bookmarkEnd w:id="0"/>
      <w:r w:rsidR="00CD07BD" w:rsidRPr="00CD07BD">
        <w:rPr>
          <w:rFonts w:ascii="Arial" w:hAnsi="Arial"/>
          <w:sz w:val="22"/>
          <w:szCs w:val="22"/>
        </w:rPr>
        <w:t xml:space="preserve">Využití podpůrných prostor pro Rady </w:t>
      </w:r>
      <w:r>
        <w:rPr>
          <w:rFonts w:ascii="Arial" w:hAnsi="Arial"/>
          <w:sz w:val="22"/>
          <w:szCs w:val="22"/>
        </w:rPr>
        <w:t>EU</w:t>
      </w:r>
      <w:r w:rsidR="00CD07BD">
        <w:rPr>
          <w:rFonts w:ascii="Arial" w:hAnsi="Arial"/>
          <w:sz w:val="22"/>
          <w:szCs w:val="22"/>
        </w:rPr>
        <w:t xml:space="preserve"> </w:t>
      </w:r>
    </w:p>
    <w:p w14:paraId="483FAA16" w14:textId="0A279C3E" w:rsidR="005751C0" w:rsidRPr="005177F3" w:rsidRDefault="005751C0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č.5</w:t>
      </w:r>
      <w:r w:rsidR="009812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Zajištění SDI kabeláže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429F" w16cex:dateUtc="2022-07-10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1D04B0" w16cid:durableId="26754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0210" w14:textId="77777777" w:rsidR="001902EE" w:rsidRDefault="001902EE" w:rsidP="004852F1">
      <w:r>
        <w:separator/>
      </w:r>
    </w:p>
  </w:endnote>
  <w:endnote w:type="continuationSeparator" w:id="0">
    <w:p w14:paraId="1A7157B0" w14:textId="77777777" w:rsidR="001902EE" w:rsidRDefault="001902EE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2BF3FC14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CD07B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CD07BD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F7FB5" w14:textId="77777777" w:rsidR="001902EE" w:rsidRDefault="001902EE" w:rsidP="004852F1">
      <w:r>
        <w:separator/>
      </w:r>
    </w:p>
  </w:footnote>
  <w:footnote w:type="continuationSeparator" w:id="0">
    <w:p w14:paraId="446B87DD" w14:textId="77777777" w:rsidR="001902EE" w:rsidRDefault="001902EE" w:rsidP="004852F1">
      <w:r>
        <w:continuationSeparator/>
      </w:r>
    </w:p>
  </w:footnote>
  <w:footnote w:id="1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520A7CE0" w14:textId="334AFFA5" w:rsidR="009E2DE4" w:rsidRDefault="009E2DE4">
      <w:pPr>
        <w:pStyle w:val="Textpoznpodarou"/>
      </w:pPr>
      <w:r>
        <w:rPr>
          <w:rStyle w:val="Znakapoznpodarou"/>
        </w:rPr>
        <w:footnoteRef/>
      </w:r>
      <w:r>
        <w:t xml:space="preserve"> Veškeré uvedené položkové ceny jsou d</w:t>
      </w:r>
      <w:r w:rsidRPr="009E2DE4">
        <w:t>le interní směrnice Poskytovatele - KCP- SQ-05-04 Pravidla pro nakládání s obchodním tajemstvím jsou ceny (nákupní a prodejní), stejně tak nabídky a kalkulace cen považovaný Poskytovatelem za obchodní tajemství. Poskytovatel v souladu s uvedenou směrnicí zajišťuje utajení těchto běžně nedostupných informací. Uvedené informace naplňují definiční znaky obchodního tajemství uvedené v  ustanovení § 504 občanského zákoníku, jelikož cena a rozpad ceny je třeba považovat za konkurenčně významné skutečnosti, které jsou určitelné, ocenitelné a nejsou běžně dostupné v příslušných obchodních kruzích. Cena a její kalkulace úzce souvisí s činností Kongresového centra jakožto subjektu působícího v konkurenčním prostředí poskytovatelů prostor pro konání akcí a služeb souvisejících s takovýmito pronájmy. Tyto informace, jakožto obchodní tajemství jsou fakticky chráněny, jelikož, jak je výše uvedeno, jsou interními předpisy společností označeny za obchodní tajemství a jako takových je jejich utajení požadováno i po obchodních partnerech.  Objednatel (ÚV ČR) jako smluvní strana takový návrh Poskytovatele (KCP) akceptuje.</w:t>
      </w:r>
    </w:p>
  </w:footnote>
  <w:footnote w:id="3">
    <w:p w14:paraId="2EA16896" w14:textId="70055635" w:rsidR="009E2DE4" w:rsidRDefault="009E2D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2A80">
        <w:rPr>
          <w:rFonts w:ascii="Arial" w:hAnsi="Arial" w:cs="Arial"/>
          <w:i/>
          <w:sz w:val="22"/>
          <w:szCs w:val="22"/>
          <w:lang w:eastAsia="en-US"/>
        </w:rPr>
        <w:t>Dle interní směrnice Poskytovatele - KCP- SQ-05-04 Pravidla pro nakládání s obchodním tajemstvím jsou ceny (nákupní a prodejní), stejně tak nabídky a kalkulace cen považovaný Poskytovatelem za obchodní tajemství. Poskytovatel v souladu s uvedenou směrnicí zajišťuje utajení těchto běžně nedostupných informací. Uvedené informace naplňují definiční znaky obchodního tajemství uvedené v  ustanovení § 504 občanského zákoníku, jelikož cena a rozpad ceny je třeba považovat za konkurenčně významné skutečnosti, které jsou určitelné, ocenitelné a nejsou běžně dostupné v příslušných obchodních kruzích. Cena a její kalkulace úzce souvisí s činností Kongresového centra jakožto subjektu působícího v konkurenčním prostředí poskytovatelů prostor pro konání akcí a služeb souvisejících s takovýmito pronájmy. Tyto informace, jakožto obchodní tajemství jsou fakticky chráněny, jelikož, jak je výše uvedeno, jsou interními předpisy společností označeny za obchodní tajemství a jako takových je jejich utajení požadováno i po obchodních partnerech.  Objednatel (ÚV ČR) jako smluvní strana takový návrh Poskytovatele (KCP) akceptuje.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1AEA08E9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O</w:t>
    </w:r>
    <w:r w:rsidR="00DE4C30">
      <w:rPr>
        <w:rFonts w:ascii="Arial" w:hAnsi="Arial" w:cs="Arial"/>
        <w:b/>
        <w:iCs/>
        <w:sz w:val="32"/>
        <w:szCs w:val="32"/>
      </w:rPr>
      <w:t>bjednávka</w:t>
    </w:r>
  </w:p>
  <w:p w14:paraId="383D3D09" w14:textId="469E4CEB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2179"/>
    <w:multiLevelType w:val="hybridMultilevel"/>
    <w:tmpl w:val="6A98A4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35BC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1E7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2EE"/>
    <w:rsid w:val="0019040A"/>
    <w:rsid w:val="001922B2"/>
    <w:rsid w:val="0019256A"/>
    <w:rsid w:val="00193FCD"/>
    <w:rsid w:val="0019416A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2DE7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6D4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23F0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1C0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311B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BFE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16B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2B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DE4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2A80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17EF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2A4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7BD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680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C30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6DC4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6F74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112C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751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17EA-434D-4E0A-944E-EAA51658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98</TotalTime>
  <Pages>4</Pages>
  <Words>625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10</cp:revision>
  <cp:lastPrinted>2022-01-30T18:14:00Z</cp:lastPrinted>
  <dcterms:created xsi:type="dcterms:W3CDTF">2022-07-08T11:39:00Z</dcterms:created>
  <dcterms:modified xsi:type="dcterms:W3CDTF">2022-07-10T13:39:00Z</dcterms:modified>
</cp:coreProperties>
</file>