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58" w:rsidRDefault="004F215D">
      <w:pPr>
        <w:spacing w:line="259" w:lineRule="auto"/>
        <w:ind w:left="0" w:right="0" w:firstLine="0"/>
        <w:jc w:val="center"/>
      </w:pPr>
      <w:r>
        <w:rPr>
          <w:b/>
          <w:sz w:val="28"/>
        </w:rPr>
        <w:t>SMLOUVA O POSKYTOVÁNÍ SLUŽBY</w:t>
      </w:r>
    </w:p>
    <w:p w:rsidR="00AA7C58" w:rsidRDefault="004F215D">
      <w:pPr>
        <w:spacing w:line="259" w:lineRule="auto"/>
        <w:ind w:left="0" w:right="0" w:firstLine="0"/>
        <w:jc w:val="center"/>
      </w:pPr>
      <w:r>
        <w:rPr>
          <w:b/>
          <w:sz w:val="24"/>
        </w:rPr>
        <w:t>INTERNETOVÉHO BANKOVNICTVÍ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after="80" w:line="254" w:lineRule="auto"/>
        <w:ind w:left="-15" w:right="1706" w:firstLine="0"/>
        <w:jc w:val="left"/>
      </w:pPr>
      <w:r>
        <w:rPr>
          <w:b/>
        </w:rPr>
        <w:t xml:space="preserve">TRINITY BANK a.s. </w:t>
      </w:r>
      <w:r>
        <w:t xml:space="preserve">se sídlem Praha, Nové Město, Senovážné náměstí 1375/19, PSČ 110 00, IČO 25307835, zapsaná v obchodním rejstříku vedeném Městským soudem v Praze, </w:t>
      </w:r>
      <w:proofErr w:type="spellStart"/>
      <w:r>
        <w:t>sp</w:t>
      </w:r>
      <w:proofErr w:type="spellEnd"/>
      <w:r>
        <w:t>. zn. B 24055</w:t>
      </w:r>
    </w:p>
    <w:p w:rsidR="00AA7C58" w:rsidRDefault="004F215D">
      <w:pPr>
        <w:ind w:left="-5" w:right="0"/>
      </w:pPr>
      <w:r>
        <w:t>(dále jen „</w:t>
      </w:r>
      <w:r>
        <w:rPr>
          <w:b/>
        </w:rPr>
        <w:t>TRINITY BANK</w:t>
      </w:r>
      <w:r>
        <w:t>“)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after="1" w:line="257" w:lineRule="auto"/>
        <w:ind w:left="-5" w:right="0"/>
      </w:pPr>
      <w:r>
        <w:rPr>
          <w:b/>
        </w:rPr>
        <w:t>a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after="1" w:line="257" w:lineRule="auto"/>
        <w:ind w:left="-5" w:right="0"/>
      </w:pPr>
      <w:r>
        <w:rPr>
          <w:b/>
        </w:rPr>
        <w:t>Zlínský kraj</w:t>
      </w:r>
    </w:p>
    <w:p w:rsidR="00AA7C58" w:rsidRDefault="004F215D">
      <w:pPr>
        <w:ind w:left="-5" w:right="0"/>
      </w:pPr>
      <w:r>
        <w:t>IČO: 70891320</w:t>
      </w:r>
    </w:p>
    <w:p w:rsidR="00AA7C58" w:rsidRDefault="004F215D">
      <w:pPr>
        <w:ind w:left="-5" w:right="5535"/>
      </w:pPr>
      <w:r>
        <w:t>Sídlo: třída Tomáše Bati 21, 760 01  Zlín Číslo klienta: 93200</w:t>
      </w:r>
    </w:p>
    <w:p w:rsidR="00AA7C58" w:rsidRDefault="004F215D">
      <w:pPr>
        <w:spacing w:after="117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:rsidR="00AA7C58" w:rsidRDefault="004F215D">
      <w:pPr>
        <w:ind w:left="-5" w:right="0"/>
      </w:pPr>
      <w:r>
        <w:t xml:space="preserve">Zastoupená: </w:t>
      </w:r>
      <w:r>
        <w:rPr>
          <w:b/>
        </w:rPr>
        <w:t>Ing. Radim Holiš</w:t>
      </w:r>
      <w:r>
        <w:t>, primátor/starosta/místostarosta</w:t>
      </w:r>
    </w:p>
    <w:p w:rsidR="00AA7C58" w:rsidRDefault="004F215D">
      <w:pPr>
        <w:ind w:left="-5" w:right="0"/>
      </w:pPr>
      <w:r>
        <w:t xml:space="preserve">Rodné číslo: </w:t>
      </w:r>
      <w:proofErr w:type="spellStart"/>
      <w:r>
        <w:t>xx</w:t>
      </w:r>
      <w:proofErr w:type="spellEnd"/>
    </w:p>
    <w:p w:rsidR="00AA7C58" w:rsidRDefault="004F215D">
      <w:pPr>
        <w:ind w:left="-5" w:right="0"/>
      </w:pPr>
      <w:r>
        <w:t xml:space="preserve">Trvalé bydliště: </w:t>
      </w:r>
      <w:proofErr w:type="spellStart"/>
      <w:r>
        <w:t>xx</w:t>
      </w:r>
      <w:proofErr w:type="spellEnd"/>
    </w:p>
    <w:p w:rsidR="00AA7C58" w:rsidRDefault="004F215D">
      <w:pPr>
        <w:ind w:left="-5" w:right="0"/>
      </w:pPr>
      <w:r>
        <w:t xml:space="preserve">Druh dokladu: OP, Číslo dokladu: </w:t>
      </w:r>
      <w:proofErr w:type="spellStart"/>
      <w:r>
        <w:t>xx</w:t>
      </w:r>
      <w:proofErr w:type="spellEnd"/>
      <w:r>
        <w:t xml:space="preserve">, Vydaný dne: </w:t>
      </w:r>
      <w:proofErr w:type="spellStart"/>
      <w:r>
        <w:t>xx</w:t>
      </w:r>
      <w:proofErr w:type="spellEnd"/>
    </w:p>
    <w:p w:rsidR="00AA7C58" w:rsidRDefault="004F215D">
      <w:pPr>
        <w:spacing w:after="71"/>
        <w:ind w:left="-5" w:right="0"/>
      </w:pPr>
      <w:r>
        <w:t xml:space="preserve">Vydaný kým: </w:t>
      </w:r>
      <w:proofErr w:type="spellStart"/>
      <w:r>
        <w:t>xx</w:t>
      </w:r>
      <w:proofErr w:type="spellEnd"/>
      <w:r>
        <w:t xml:space="preserve">, Platnost </w:t>
      </w:r>
      <w:proofErr w:type="gramStart"/>
      <w:r>
        <w:t>do</w:t>
      </w:r>
      <w:proofErr w:type="gramEnd"/>
      <w:r>
        <w:t xml:space="preserve">: </w:t>
      </w:r>
      <w:proofErr w:type="spellStart"/>
      <w:r>
        <w:t>xx</w:t>
      </w:r>
      <w:proofErr w:type="spellEnd"/>
    </w:p>
    <w:p w:rsidR="00AA7C58" w:rsidRDefault="004F215D">
      <w:pPr>
        <w:ind w:left="-5" w:right="0"/>
      </w:pPr>
      <w:r>
        <w:t>(dále jen „</w:t>
      </w:r>
      <w:r>
        <w:rPr>
          <w:b/>
        </w:rPr>
        <w:t>Klient</w:t>
      </w:r>
      <w:r>
        <w:t>“)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line="265" w:lineRule="auto"/>
        <w:ind w:right="0"/>
        <w:jc w:val="center"/>
      </w:pPr>
      <w:r>
        <w:rPr>
          <w:b/>
        </w:rPr>
        <w:t>uzavírají smlouvu o poskytování služby</w:t>
      </w:r>
    </w:p>
    <w:p w:rsidR="00AA7C58" w:rsidRDefault="004F215D">
      <w:pPr>
        <w:spacing w:line="265" w:lineRule="auto"/>
        <w:ind w:right="0"/>
        <w:jc w:val="center"/>
      </w:pPr>
      <w:r>
        <w:rPr>
          <w:b/>
        </w:rPr>
        <w:t>Inter</w:t>
      </w:r>
      <w:r>
        <w:rPr>
          <w:b/>
        </w:rPr>
        <w:t xml:space="preserve">netového </w:t>
      </w:r>
      <w:proofErr w:type="gramStart"/>
      <w:r>
        <w:rPr>
          <w:b/>
        </w:rPr>
        <w:t>bankovnictví</w:t>
      </w:r>
      <w:r>
        <w:t>(dále</w:t>
      </w:r>
      <w:proofErr w:type="gramEnd"/>
      <w:r>
        <w:t xml:space="preserve"> jen „Smlouva“)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line="265" w:lineRule="auto"/>
        <w:ind w:right="0"/>
        <w:jc w:val="center"/>
      </w:pPr>
      <w:r>
        <w:rPr>
          <w:b/>
        </w:rPr>
        <w:t>I. Internetové bankovnictví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1"/>
        </w:numPr>
        <w:ind w:right="0" w:hanging="340"/>
      </w:pPr>
      <w:r>
        <w:t>Touto Smlouvou se  TRINITY BANK  zavazuje poskytovat Klientovi službu Internetové bankovnictví (dále jen „Služba“). Bližší vymezení Služby a úprava práv a povinností smluvních stra</w:t>
      </w:r>
      <w:r>
        <w:t>n souvisejících s jejím poskytováním jsou uvedeny v Obchodních podmínkách pro poskytování služby Internetového bankovnictví (dále jen „Podmínky“), které jsou přílohou této Smlouvy.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1"/>
        </w:numPr>
        <w:ind w:right="0" w:hanging="340"/>
      </w:pPr>
      <w:r>
        <w:t>Služba bude automaticky poskytována ke všem účtům, které má Klient u  TRI</w:t>
      </w:r>
      <w:r>
        <w:t>NITY BANK  vedeny.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1"/>
        </w:numPr>
        <w:ind w:right="0" w:hanging="340"/>
      </w:pPr>
      <w:r>
        <w:t>TRINITY BANK  zahájí poskytování Služby Klientovi v okamžiku, kdy jsou splněny podmínky pro poskytnutí služby stanovené touto Smlouvou a Podmínkami a zároveň dojde k podpisu této Smlouvy oběma smluvními stranami.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1"/>
        </w:numPr>
        <w:ind w:right="0" w:hanging="340"/>
      </w:pPr>
      <w:r>
        <w:t>Klient se zavazuje z</w:t>
      </w:r>
      <w:r>
        <w:t>aplatit  TRINITY BANK  za poskytování Služby poplatky stanovené v Ceníku  TRINITY BANK  - pro úsek Korporátní bankovnictví  (dále jen „</w:t>
      </w:r>
      <w:r>
        <w:rPr>
          <w:b/>
        </w:rPr>
        <w:t>Ceník</w:t>
      </w:r>
      <w:r>
        <w:t>“).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1"/>
        </w:numPr>
        <w:ind w:right="0" w:hanging="340"/>
      </w:pPr>
      <w:r>
        <w:lastRenderedPageBreak/>
        <w:t>Klient potvrzuje, že byl s dostatečným předstihem před podpisem této Smlouvy seznámen s Uživatelskou příručkou ke službě Internetového bankovnictví a se Základními informacemi pro správnou funkčnost služby Internetového bankovnictví.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1"/>
        </w:numPr>
        <w:spacing w:line="391" w:lineRule="auto"/>
        <w:ind w:right="0" w:hanging="340"/>
      </w:pPr>
      <w:r>
        <w:t>Klient prohlašuje, ž</w:t>
      </w:r>
      <w:r>
        <w:t xml:space="preserve">e ve vztahu k této Smlouvě je: </w:t>
      </w:r>
      <w:r>
        <w:rPr>
          <w:noProof/>
        </w:rPr>
        <w:drawing>
          <wp:inline distT="0" distB="0" distL="0" distR="0">
            <wp:extent cx="143993" cy="143993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993" cy="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Spotřebitelem </w:t>
      </w:r>
      <w:r>
        <w:rPr>
          <w:noProof/>
        </w:rPr>
        <w:drawing>
          <wp:inline distT="0" distB="0" distL="0" distR="0">
            <wp:extent cx="143993" cy="143993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993" cy="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jinou osobou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1"/>
        </w:numPr>
        <w:ind w:right="0" w:hanging="340"/>
      </w:pPr>
      <w:r>
        <w:t>Služba je poskytována s ověřením identity uživatele Služby prostřednictvím autorizační SMS.</w:t>
      </w:r>
    </w:p>
    <w:p w:rsidR="00AA7C58" w:rsidRDefault="004F215D">
      <w:pPr>
        <w:spacing w:after="82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spacing w:after="705" w:line="265" w:lineRule="auto"/>
        <w:ind w:right="0"/>
        <w:jc w:val="center"/>
      </w:pPr>
      <w:r>
        <w:rPr>
          <w:b/>
        </w:rPr>
        <w:t>II. Ostatní ujednání</w:t>
      </w:r>
    </w:p>
    <w:p w:rsidR="00AA7C58" w:rsidRDefault="004F215D">
      <w:pPr>
        <w:tabs>
          <w:tab w:val="right" w:pos="9525"/>
        </w:tabs>
        <w:spacing w:after="206" w:line="259" w:lineRule="auto"/>
        <w:ind w:left="-15" w:right="0" w:firstLine="0"/>
        <w:jc w:val="left"/>
      </w:pPr>
      <w:r>
        <w:rPr>
          <w:color w:val="808080"/>
          <w:sz w:val="16"/>
        </w:rPr>
        <w:t>Smlouva o poskytování služby Internetového bankovnictví – 09/2019</w:t>
      </w:r>
      <w:r>
        <w:rPr>
          <w:color w:val="808080"/>
          <w:sz w:val="16"/>
        </w:rPr>
        <w:tab/>
        <w:t>strana 1/2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Věci v této Smlouvě výslovně neupravené se řídí Podmínkami a Všeobecnými obchodními podmínkami. Pojmy s velkým počátečním písmenem používané v této Smlouvě mají význam definovaný v Podmínkách a Všeobecných obchodních podmínkách, není-li v této Smlouvě vý</w:t>
      </w:r>
      <w:r>
        <w:t>slovně stanoveno jinak. Práva a povinnosti smluvních stran touto Smlouvou neupravené se řídí Podmínkami a Všeobecnými obchodními podmínkami. V případě rozporu mezi ustanoveními této Smlouvy, Podmínek a Všeobecných obchodních podmínek mají ustanovení Smlouv</w:t>
      </w:r>
      <w:r>
        <w:t>y přednost před Podmínkami, které mají přednost před Všeobecnými obchodními podmínkami. Podmínky, Všeobecné obchodní podmínky a Ceník jsou nedílnou součástí této Smlouvy.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Klient podpisem Smlouvy potvrzuje, že se seznámil s jejím obsahem, jakož i s obsahe</w:t>
      </w:r>
      <w:r>
        <w:t>m aktuálně platného znění Všeobecných obchodních podmínek, které je připojeno v příloze této Smlouvy, a zněním Ceníku, obsahu porozuměl a souhlasí s ním.</w:t>
      </w:r>
    </w:p>
    <w:p w:rsidR="00AA7C58" w:rsidRDefault="004F215D">
      <w:pPr>
        <w:spacing w:after="1" w:line="257" w:lineRule="auto"/>
        <w:ind w:left="350" w:right="0"/>
      </w:pPr>
      <w:r>
        <w:rPr>
          <w:b/>
        </w:rPr>
        <w:t>Klient dále podpisem Smlouvy potvrzuje, že si je vědom toho, že je vázán nejen Smlouvou, ale i všemi p</w:t>
      </w:r>
      <w:r>
        <w:rPr>
          <w:b/>
        </w:rPr>
        <w:t>ovinnostmi Klienta, které jsou obsaženy v Podmínkách a ve Všeobecných obchodních podmínkách a zejména tučně zvýrazněnými ustanoveními, které jsou jejich součástí, a že nesplnění jakékoliv povinnosti, která vyplývá z Podmínek a z Všeobecných obchodních podm</w:t>
      </w:r>
      <w:r>
        <w:rPr>
          <w:b/>
        </w:rPr>
        <w:t>ínek, má stejné důsledky, jako nesplnění povinnosti ze Smlouvy.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Klient prohlašuje, že při jednání o uzavření této Smlouvy mu byly sděleny všechny pro něj relevantní skutkové a právní okolnosti k posouzení možnosti uzavřít tuto Smlouvu a další související smlouvy dle § 1728 Občanského zákoníku a že neočekává ani nepožad</w:t>
      </w:r>
      <w:r>
        <w:t>uje od  TRINITY BANK  žádné další informace v této věci.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Klient může návrh Smlouvy přijmout pouze ve znění navrhovaném  TRINITY BANK  s vyloučením možného přijetí návrhu této Smlouvy s dodatkem nebo odchylkou dle § 1740 odst. 3 Občanského zákoníku.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Sml</w:t>
      </w:r>
      <w:r>
        <w:t>ouvu lze měnit pouze písemnými dodatky podepsanými oběma smluvními stranami; tím nejsou dotčena ujednání o možnosti jednostranných změn Všeobecných obchodních podmínek a Ceníku.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Aplikace ustanovení § 1799 a § 1800 NOZ týkající se smluv uzavíraných adhezn</w:t>
      </w:r>
      <w:r>
        <w:t>ím způsobem se tímto vylučuje.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Klient se vůči  TRINITY BANK  vzdává práva na náhradu jakékoliv újmy vzniklé mu v souvislosti s touto Smlouvou a s výkonem práv podle ní, ledaže by taková újma byla způsobena  TRINITY BANK  úmyslně nebo z hrubé nedbalosti.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Tato Smlouva nabývá platnosti a účinnosti dnem jejího podpisu oběma smluvními stranami a provedením systémového zřízení Služby pověřeným pracovníkem TRINITY BANK.</w:t>
      </w:r>
    </w:p>
    <w:p w:rsidR="00AA7C58" w:rsidRDefault="004F215D">
      <w:pPr>
        <w:spacing w:after="96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AA7C58" w:rsidRDefault="004F215D">
      <w:pPr>
        <w:numPr>
          <w:ilvl w:val="0"/>
          <w:numId w:val="2"/>
        </w:numPr>
        <w:ind w:right="0" w:hanging="340"/>
      </w:pPr>
      <w:r>
        <w:t>Přílohy: Všeobecné obchodní podmínky, Podmínky, Ceník.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after="9"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tabs>
          <w:tab w:val="center" w:pos="6763"/>
        </w:tabs>
        <w:spacing w:after="1523"/>
        <w:ind w:left="-15" w:right="0" w:firstLine="0"/>
        <w:jc w:val="left"/>
      </w:pPr>
      <w:r>
        <w:t>Ve Zlíně dne .................</w:t>
      </w:r>
      <w:r>
        <w:t>...</w:t>
      </w:r>
      <w:r>
        <w:tab/>
        <w:t>Ve Zlíně dne ....................</w:t>
      </w:r>
    </w:p>
    <w:p w:rsidR="00AA7C58" w:rsidRDefault="004F215D">
      <w:pPr>
        <w:spacing w:line="259" w:lineRule="auto"/>
        <w:ind w:left="0" w:righ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:rsidR="00AA7C58" w:rsidRDefault="004F215D">
      <w:pPr>
        <w:spacing w:after="52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047994" cy="12700"/>
                <wp:effectExtent l="0" t="0" r="0" b="0"/>
                <wp:docPr id="2373" name="Group 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994" cy="12700"/>
                          <a:chOff x="0" y="0"/>
                          <a:chExt cx="6047994" cy="1270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2419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198">
                                <a:moveTo>
                                  <a:pt x="0" y="0"/>
                                </a:moveTo>
                                <a:lnTo>
                                  <a:pt x="24191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2419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198">
                                <a:moveTo>
                                  <a:pt x="0" y="0"/>
                                </a:moveTo>
                                <a:lnTo>
                                  <a:pt x="24191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628796" y="0"/>
                            <a:ext cx="2419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197">
                                <a:moveTo>
                                  <a:pt x="0" y="0"/>
                                </a:moveTo>
                                <a:lnTo>
                                  <a:pt x="24191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628796" y="0"/>
                            <a:ext cx="2419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197">
                                <a:moveTo>
                                  <a:pt x="0" y="0"/>
                                </a:moveTo>
                                <a:lnTo>
                                  <a:pt x="24191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3" style="width:476.22pt;height:1pt;mso-position-horizontal-relative:char;mso-position-vertical-relative:line" coordsize="60479,127">
                <v:shape id="Shape 150" style="position:absolute;width:24191;height:0;left:0;top:0;" coordsize="2419198,0" path="m0,0l2419198,0">
                  <v:stroke weight="1pt" endcap="flat" joinstyle="miter" miterlimit="10" on="true" color="#000000"/>
                  <v:fill on="false" color="#000000" opacity="0"/>
                </v:shape>
                <v:shape id="Shape 152" style="position:absolute;width:24191;height:0;left:0;top:0;" coordsize="2419198,0" path="m0,0l2419198,0">
                  <v:stroke weight="1pt" endcap="flat" joinstyle="miter" miterlimit="10" on="true" color="#000000"/>
                  <v:fill on="false" color="#000000" opacity="0"/>
                </v:shape>
                <v:shape id="Shape 154" style="position:absolute;width:24191;height:0;left:36287;top:0;" coordsize="2419197,0" path="m0,0l2419197,0">
                  <v:stroke weight="1pt" endcap="flat" joinstyle="miter" miterlimit="10" on="true" color="#000000"/>
                  <v:fill on="false" color="#000000" opacity="0"/>
                </v:shape>
                <v:shape id="Shape 156" style="position:absolute;width:24191;height:0;left:36287;top:0;" coordsize="2419197,0" path="m0,0l2419197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A7C58" w:rsidRDefault="004F215D">
      <w:pPr>
        <w:tabs>
          <w:tab w:val="center" w:pos="1905"/>
          <w:tab w:val="center" w:pos="7620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Klient</w:t>
      </w:r>
      <w:r>
        <w:tab/>
        <w:t>TRINITY BANK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line="259" w:lineRule="auto"/>
        <w:ind w:left="0" w:right="0" w:firstLine="0"/>
        <w:jc w:val="left"/>
      </w:pPr>
      <w:r>
        <w:t xml:space="preserve"> </w:t>
      </w:r>
    </w:p>
    <w:p w:rsidR="00AA7C58" w:rsidRDefault="004F215D">
      <w:pPr>
        <w:spacing w:line="265" w:lineRule="auto"/>
        <w:ind w:left="-5" w:right="0"/>
        <w:jc w:val="left"/>
      </w:pPr>
      <w:r>
        <w:rPr>
          <w:sz w:val="18"/>
        </w:rPr>
        <w:t xml:space="preserve">Oprávněná osoba za TRINITY BANK: </w:t>
      </w:r>
      <w:proofErr w:type="spellStart"/>
      <w:r>
        <w:rPr>
          <w:sz w:val="18"/>
        </w:rPr>
        <w:t>xx</w:t>
      </w:r>
      <w:proofErr w:type="spellEnd"/>
    </w:p>
    <w:p w:rsidR="00AA7C58" w:rsidRDefault="004F215D">
      <w:pPr>
        <w:spacing w:after="744" w:line="265" w:lineRule="auto"/>
        <w:ind w:left="-5" w:right="0"/>
        <w:jc w:val="left"/>
      </w:pPr>
      <w:r>
        <w:rPr>
          <w:sz w:val="18"/>
        </w:rPr>
        <w:t>Vyhotovil: xx</w:t>
      </w:r>
      <w:bookmarkStart w:id="0" w:name="_GoBack"/>
      <w:bookmarkEnd w:id="0"/>
      <w:r>
        <w:rPr>
          <w:sz w:val="18"/>
        </w:rPr>
        <w:t>, asistent privátního bankovnictví</w:t>
      </w:r>
    </w:p>
    <w:p w:rsidR="00AA7C58" w:rsidRDefault="004F215D">
      <w:pPr>
        <w:tabs>
          <w:tab w:val="right" w:pos="9525"/>
        </w:tabs>
        <w:spacing w:after="206" w:line="259" w:lineRule="auto"/>
        <w:ind w:left="-15" w:right="0" w:firstLine="0"/>
        <w:jc w:val="left"/>
      </w:pPr>
      <w:r>
        <w:rPr>
          <w:color w:val="808080"/>
          <w:sz w:val="16"/>
        </w:rPr>
        <w:t>Smlouva o poskytování služby Internetového bankovnictví – 09/2019</w:t>
      </w:r>
      <w:r>
        <w:rPr>
          <w:color w:val="808080"/>
          <w:sz w:val="16"/>
        </w:rPr>
        <w:tab/>
        <w:t>strana 2/2</w:t>
      </w:r>
    </w:p>
    <w:sectPr w:rsidR="00AA7C58">
      <w:pgSz w:w="11906" w:h="16838"/>
      <w:pgMar w:top="1713" w:right="1247" w:bottom="41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611"/>
    <w:multiLevelType w:val="hybridMultilevel"/>
    <w:tmpl w:val="28BE5ACE"/>
    <w:lvl w:ilvl="0" w:tplc="02386A34">
      <w:start w:val="1"/>
      <w:numFmt w:val="decimal"/>
      <w:lvlText w:val="%1."/>
      <w:lvlJc w:val="left"/>
      <w:pPr>
        <w:ind w:left="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4E3968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A9B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9EA8D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E5128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E08F8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ECA9E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2E0D6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6B892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1471B"/>
    <w:multiLevelType w:val="hybridMultilevel"/>
    <w:tmpl w:val="38B62E58"/>
    <w:lvl w:ilvl="0" w:tplc="5440A8F6">
      <w:start w:val="1"/>
      <w:numFmt w:val="decimal"/>
      <w:lvlText w:val="%1."/>
      <w:lvlJc w:val="left"/>
      <w:pPr>
        <w:ind w:left="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ECB6A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43F6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6703C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EF584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A3710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8BBB8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8F050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5A472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58"/>
    <w:rsid w:val="004F215D"/>
    <w:rsid w:val="00AA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6326"/>
  <w15:docId w15:val="{DCBBD14E-E52F-4C29-86F2-DD641B26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3" w:lineRule="auto"/>
      <w:ind w:left="10" w:right="1721" w:hanging="10"/>
      <w:jc w:val="both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služby mpu internetbanking</vt:lpstr>
    </vt:vector>
  </TitlesOfParts>
  <Company>Krajský úřad Zlínského kraje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služby mpu internetbanking</dc:title>
  <dc:subject/>
  <dc:creator>Beinhofnerová Věra</dc:creator>
  <cp:keywords/>
  <cp:lastModifiedBy>Beinhofnerová Věra</cp:lastModifiedBy>
  <cp:revision>2</cp:revision>
  <dcterms:created xsi:type="dcterms:W3CDTF">2022-07-07T08:49:00Z</dcterms:created>
  <dcterms:modified xsi:type="dcterms:W3CDTF">2022-07-07T08:49:00Z</dcterms:modified>
</cp:coreProperties>
</file>