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66" w:left="1392" w:right="194" w:bottom="101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706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127000</wp:posOffset>
                </wp:positionV>
                <wp:extent cx="1234440" cy="58229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18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g4^(|UVA RfCISTROVÁNA podattem: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0.pt;margin-top:10.pt;width:97.200000000000003pt;height:45.8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8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g4^(|UVA RfCISTROVÁNA podattem: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KRAJSKÁ SPRÁVA AÚDRŽBA SHNIC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50800" distL="114300" distR="114300" simplePos="0" relativeHeight="125829380" behindDoc="0" locked="0" layoutInCell="1" allowOverlap="1">
                <wp:simplePos x="0" y="0"/>
                <wp:positionH relativeFrom="page">
                  <wp:posOffset>3446780</wp:posOffset>
                </wp:positionH>
                <wp:positionV relativeFrom="paragraph">
                  <wp:posOffset>330200</wp:posOffset>
                </wp:positionV>
                <wp:extent cx="1134110" cy="1860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18605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č. Z 090 210301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1.39999999999998pt;margin-top:26.pt;width:89.299999999999997pt;height:14.65pt;z-index:-125829373;mso-wrap-distance-left:9.pt;mso-wrap-distance-right:9.pt;mso-wrap-distance-bottom:4.pt;mso-position-horizontal-relative:page" fill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č. Z 090 210301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kontrolní činno</w:t>
      </w:r>
      <w:bookmarkEnd w:id="0"/>
      <w:bookmarkEnd w:id="1"/>
    </w:p>
    <w:p>
      <w:pPr>
        <w:pStyle w:val="Style17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120" w:after="120" w:line="259" w:lineRule="auto"/>
        <w:ind w:left="0" w:right="0" w:firstLine="56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Posouzení (certifikace) systému řízení výroby podle §§ 3 a 6 nařízení vlády ČR č. 163/2002 Sb., ve znění nařízení vlády č. 312/2005 Sb. a nařízení vlády č. 215/2016 Sb.</w:t>
      </w:r>
      <w:bookmarkEnd w:id="2"/>
      <w:bookmarkEnd w:id="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center"/>
        <w:tblLayout w:type="fixed"/>
      </w:tblPr>
      <w:tblGrid>
        <w:gridCol w:w="1800"/>
        <w:gridCol w:w="3173"/>
        <w:gridCol w:w="480"/>
        <w:gridCol w:w="2002"/>
        <w:gridCol w:w="2482"/>
      </w:tblGrid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Kontrolor: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Objednavatel:</w:t>
            </w:r>
          </w:p>
        </w:tc>
      </w:tr>
      <w:tr>
        <w:trPr>
          <w:trHeight w:val="20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Technický a zkušební ústav stavební Praha, s. p. - pobočka TIS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Autorizovaná osoba 204 dle zák. č. 22/1997 Sb. Oznámený subjekt 1020 dle CPR 305/2011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Prosecká 811/76a, 190 00 Praha 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67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00015679</w:t>
              <w:tab/>
              <w:t>DIČ : CZ00015679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72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  <w:tab/>
              <w:t>Komerční banka a.s.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 1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10" w:val="left"/>
                <w:tab w:pos="3918" w:val="left"/>
              </w:tabs>
              <w:bidi w:val="0"/>
              <w:spacing w:before="0" w:after="0" w:line="240" w:lineRule="auto"/>
              <w:ind w:left="2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 .</w:t>
              <w:tab/>
              <w:t>.</w:t>
              <w:tab/>
              <w:t>...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p.o.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57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00090450 DIČ : CZ00090450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38" w:val="left"/>
              </w:tabs>
              <w:bidi w:val="0"/>
              <w:spacing w:before="0" w:after="0" w:line="257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  <w:tab/>
              <w:t>KB Jihlava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47" w:val="left"/>
              </w:tabs>
              <w:bidi w:val="0"/>
              <w:spacing w:before="0" w:after="0" w:line="257" w:lineRule="auto"/>
              <w:ind w:left="160" w:right="0" w:firstLine="20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č.účtu: 18330681/0100 zastoupený: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ředitelem</w:t>
            </w:r>
          </w:p>
        </w:tc>
      </w:tr>
      <w:tr>
        <w:trPr>
          <w:trHeight w:val="6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Martinem Peškem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ředitelem pobočky TZÚS - TIS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Prosecká 811/76a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Kont;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underscore" w:pos="15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ktní oaaba-</w:t>
              <w:tab/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^o^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fech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ráv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odd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57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 00 Praha 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Datum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 - 2 -06- 2021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/ !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Zapsáno v obchodním rejstříku vedeného Městským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ČJ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"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509" w:val="left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 ..</w:t>
              <w:tab/>
              <w:t>t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í</w:t>
            </w:r>
          </w:p>
        </w:tc>
      </w:tr>
      <w:tr>
        <w:trPr>
          <w:trHeight w:val="302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soudem v Praze, oddíl A LX, vložka 711.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— ——i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za účelem provedení kontrolní činnosti - vydání stavebního technického osvědčení dle § 3 a posouzení (certifikace) systému řízení výroby dle § 6 nařízení vlády ČR č. 163/2002 Sb., kterým se stanoví technické požadavky na vybrané stavební výrobky, ve znění nařízení vlády č. 312/2005 Sb. a nařízení vlády č. 215/2016 Sb., v souladu s ustanoveními § 2652 a následujících, zákona č. 89/2012 Sb., občanský zákoník, ve znění pozdějších předpisů, tuto smlouvu: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</w:t>
      </w:r>
      <w:bookmarkEnd w:id="4"/>
      <w:bookmarkEnd w:id="5"/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3" w:val="left"/>
        </w:tabs>
        <w:bidi w:val="0"/>
        <w:spacing w:before="0" w:after="0" w:line="240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kontrolní činnosti 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vydání stavebního technického osvědčení podle § 3 a posouzení (certifikace) systému řízení výroby dle § 6 nařízení vlády ČR č. 163/2002 Sb., ve znění nařízení vlády č. 312/2005 Sb. a nařízení vlády č. 215/2016 Sb.,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ustanovení § 12 zák. č. 22/1997 Sb., o technických požadavcích na výrobky, ve znění pozdějších předpisů.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3364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Výrobek: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OKVS 8 a OKVS 5 (obalované kamenivo pro výspravu asfaltových vozovek za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studená)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Technická specifikace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ČSN 73 6121, příslušný TPD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3364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Výrobce,výrobna: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Obalovna pracoviště Jihlava, Kosovská 1122/16, 586 01 Jihlava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3" w:val="left"/>
        </w:tabs>
        <w:bidi w:val="0"/>
        <w:spacing w:before="0" w:after="0" w:line="240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průběhu kontrolní činnosti bude přezkoumána dokumentace a podklady předložené objednavatelem. Budou posouzeny technické vlastnosti výrobků a jejich úrovně vzhledem k zamýšlenému použití výrobků ve stavbě. Na základě uvedených posouzeni bude vydáno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stavební technické osvědčení.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Bude provedena počáteční prověrka v místě výroby a posouzeno, zda systém řízení výroby odpovídá příslušným technickým podkladům a zda zabezpečuje, aby výrobky uváděné na trh splňovaly požadavky stanovené určenými normami a technickými předpisy a odpovídaly technické dokumentaci. V případě že jsou splněny požadavky na systém řízení výroby, bude kontrolorem vystaven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certifikát řízení výroby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certifikát) a předán objednavateli; při nesplnění požadavků nebude certifikát vydán.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3" w:val="left"/>
        </w:tabs>
        <w:bidi w:val="0"/>
        <w:spacing w:before="0" w:after="120" w:line="240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Kontrolor jako autorizovaná osoba bude následně po vydání certifikátu provádět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periodický dohled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 řádným fungováním systému řízení výroby. Na základě vyhodnocení výsledků dohledu potvrdí kontrolor ve zprávě o dohledu platnost vydaného certifikátu nebo certifikát změní či zruší.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</w:t>
      </w:r>
      <w:bookmarkEnd w:id="6"/>
      <w:bookmarkEnd w:id="7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plnění</w:t>
      </w:r>
      <w:bookmarkEnd w:id="8"/>
      <w:bookmarkEnd w:id="9"/>
    </w:p>
    <w:p>
      <w:pPr>
        <w:pStyle w:val="Style2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line="23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Sjednanou kontrolní činnost dle §§ 3 a 6 - odst. 2 a) a b) nařízení vlády č. 163/2002 Sb., ve znění nařízení vlády č. 312/2005 Sb. a nařízení vlády č. 215/2016 Sb., provede kontrolor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2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zahájení prací s úhradě faktury podle čl. IV odst. 3 a předložení podkladů podle čl. V odst. 1.1. a 1.2.</w:t>
      </w:r>
    </w:p>
    <w:p>
      <w:pPr>
        <w:pStyle w:val="Style2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zjištění neshod může být doba plnění prodloužena o dobu potřebnou k ověření účinnosti opatření přijatých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objednavatelem k nápravě. Změna doby plnění bude potvrzena dle čl. VI. odst. 1.</w:t>
      </w:r>
    </w:p>
    <w:p>
      <w:pPr>
        <w:pStyle w:val="Style2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54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Následný periodický dohled bude prováděn v průběhu doby platnosti certifikátu 1x za 12 měsíců.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</w:t>
      </w:r>
      <w:bookmarkEnd w:id="10"/>
      <w:bookmarkEnd w:id="11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</w:t>
      </w:r>
      <w:bookmarkEnd w:id="12"/>
      <w:bookmarkEnd w:id="13"/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0" w:val="left"/>
        </w:tabs>
        <w:bidi w:val="0"/>
        <w:spacing w:before="0" w:after="140" w:line="228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činnost podle §§ 3 a 6 nařízení vlády č. 163/2002 Sb., ve znění pozdějších předpisů, provede kontrolor v sídle objednavatele, ve výrobně.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</w:t>
      </w:r>
      <w:bookmarkEnd w:id="14"/>
      <w:bookmarkEnd w:id="15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Úplata za kontrolní činnost</w:t>
      </w:r>
      <w:bookmarkEnd w:id="16"/>
      <w:bookmarkEnd w:id="17"/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provedení kontrolní činnosti v rozsahu plnění dle čl. I - odst. 1 a 2 této smlouvy, sjednávají objednavatel a kontrolor úplatu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43 500,-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plus DPH dle platné sazby. Tato částka může být zvýšena v případě zjištění neshod o cenu prací potřebných k došetření a ověření účinnosti přijatých nápravných opatření a na základě písemného dodatku k této smlouvě (viz VI. odst. 1).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kontrolní činnost - dohled podle čl. I odst. 3, bude stanovena podle kontrolorova ceníku platného v době provádění této činnosti.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 zahájení prací a v průběhu prací vystaví kontrolor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konečnou fakturu v celkové výši,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DPH dle čl. IV odst.1, případně odst.2. Faktury musí být objednavatelem uhrazeny do 14 dnů po zaslání na účet. Celková částka bude zdaněna v souladu se zákonem o DPH č. 235/2004 Sb.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Kontrolor bude provedené práce účtovat objednavateli vždy po skončení kontrolní činnosti.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Úplata je splatná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14 kalendářních dnů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odeslání faktury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nedodržení doby splatnosti faktury zaplatí objednavatel navíc úrok z prodlení ve výši 0,05% z dlužné částky za každý den prodlení.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Platba bude objednavatelem provedena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Kč.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Poplatky zahraniční banky objednavatele hradí objednavatel.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</w:t>
      </w:r>
      <w:bookmarkEnd w:id="18"/>
      <w:bookmarkEnd w:id="19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18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smluvních stran</w:t>
      </w:r>
      <w:bookmarkEnd w:id="20"/>
      <w:bookmarkEnd w:id="21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320"/>
        <w:jc w:val="both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Objednavatel se zavazuje:</w:t>
      </w:r>
      <w:bookmarkEnd w:id="22"/>
      <w:bookmarkEnd w:id="23"/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Poskytnout dokumentaci v rozsahu § 4 odst. 3 a § 6 odst. 1d) nařízení vlády č. 163/2002 Sb., ve znění nařízení vlády č. 312/2005 Sb. a nařízení vlády č. 215/2016 Sb.</w:t>
      </w:r>
    </w:p>
    <w:p>
      <w:pPr>
        <w:pStyle w:val="Style27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755" w:val="left"/>
        </w:tabs>
        <w:bidi w:val="0"/>
        <w:spacing w:before="0" w:after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Poskytnout bez náhrady potřebnou součinnost k zajištěni efektivního průběhu kontrolní činnosti v rozsahu potřebném pro výkon činnosti autorizované osoby podle §§ 3 a 6 nařízení vlády (jmenovat odpovědné pracovníky k doprovodu, umožnit vstup do objektů a předložit potřebné doklady).</w:t>
      </w:r>
    </w:p>
    <w:p>
      <w:pPr>
        <w:pStyle w:val="Style27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Provést úhradu za kontrolní činnost dle čl. IV smlouvy na účet nebo v pokladně kontrolora.</w:t>
      </w:r>
    </w:p>
    <w:p>
      <w:pPr>
        <w:pStyle w:val="Style27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755" w:val="left"/>
        </w:tabs>
        <w:bidi w:val="0"/>
        <w:spacing w:before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Oznámit změny týkající se systému řízení výroby (např. změna názvu firmy, změna adresy, změna názvu výrobku, dlouhodobé přerušení výroby apod.).</w:t>
      </w:r>
    </w:p>
    <w:p>
      <w:pPr>
        <w:pStyle w:val="Style2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30" w:val="left"/>
        </w:tabs>
        <w:bidi w:val="0"/>
        <w:spacing w:before="0" w:line="218" w:lineRule="auto"/>
        <w:ind w:left="0" w:right="0" w:firstLine="0"/>
        <w:jc w:val="both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Objednavatel ie oprávněn:</w:t>
      </w:r>
      <w:bookmarkEnd w:id="24"/>
      <w:bookmarkEnd w:id="25"/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Být seznámen s postupem při posouzení systému řízení výroby.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Být v době plněni informován o průběžných výsledcích kontrolní činnosti, pokud o to požádá.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Vznést u kontrolora námitky k provedené kontrolní činnosti. Přezkoumání námitek proběhne podle interních předpisů kontrolora.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98" w:val="left"/>
        </w:tabs>
        <w:bidi w:val="0"/>
        <w:spacing w:before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svých obchodních listinách, dodacích listech atp. (týkajících se předmětu certifikace podle této smlouvy) se odvolávat po dobu platnosti této smlouvy na certifikaci systému řízení výroby provedenou podle § 6 nařízení vlády č. 163/2002 Sb., ve znění pozdějších předpisů. Vydané dokumenty autorizované osoby mohou být předávány třetím osobám pouze v plném znění, pokud předání výpisů nebylo ze strany kontrolora schváleno.</w:t>
      </w:r>
    </w:p>
    <w:p>
      <w:pPr>
        <w:pStyle w:val="Style2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38" w:val="left"/>
        </w:tabs>
        <w:bidi w:val="0"/>
        <w:spacing w:before="0" w:line="218" w:lineRule="auto"/>
        <w:ind w:left="0" w:right="0" w:firstLine="0"/>
        <w:jc w:val="both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Kontrolor se zavazuje:</w:t>
      </w:r>
      <w:bookmarkEnd w:id="26"/>
      <w:bookmarkEnd w:id="27"/>
    </w:p>
    <w:p>
      <w:pPr>
        <w:pStyle w:val="Style2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5" w:val="left"/>
        </w:tabs>
        <w:bidi w:val="0"/>
        <w:spacing w:before="0" w:after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objednavateli nález kontrolní činnosti - stavební technické osvědčení, protokol o výsledku posouzení systému řízení výroby spolu s certifikátem (v případě kladného závěru), zprávy o dohledu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vždy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 provedení úhrady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objednavatelem. Vydání více vyhotovení je možno individuelně dohodnout.</w:t>
      </w:r>
    </w:p>
    <w:p>
      <w:pPr>
        <w:pStyle w:val="Style2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4" w:val="left"/>
        </w:tabs>
        <w:bidi w:val="0"/>
        <w:spacing w:before="0" w:line="240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Zachovávat mlčenlivost o zjištěních nebo údajích, které objednavatel označí jako důvěrné. To neplatí pro žádosti o informace ze strany soudů a úřadů v případech upravených právními předpisy.</w:t>
      </w:r>
    </w:p>
    <w:p>
      <w:pPr>
        <w:pStyle w:val="Style2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38" w:val="left"/>
        </w:tabs>
        <w:bidi w:val="0"/>
        <w:spacing w:before="0" w:line="218" w:lineRule="auto"/>
        <w:ind w:left="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Kontrolor je oprávněn:</w:t>
      </w:r>
      <w:bookmarkEnd w:id="28"/>
      <w:bookmarkEnd w:id="29"/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812" w:val="left"/>
        </w:tabs>
        <w:bidi w:val="0"/>
        <w:spacing w:before="0" w:after="0" w:line="233" w:lineRule="auto"/>
        <w:ind w:left="7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Odstoupit od smlouvy, nezaplatí-li objednavatel řádně a včas sjednanou úplatu, nebo neposkytne-li kontrolorovi vyžádané údaje nebo součinnost ani na opakovanou písemnou výzvu.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812" w:val="left"/>
        </w:tabs>
        <w:bidi w:val="0"/>
        <w:spacing w:before="0" w:line="233" w:lineRule="auto"/>
        <w:ind w:left="720" w:right="0" w:hanging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6" w:left="1392" w:right="194" w:bottom="1013" w:header="0" w:footer="58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Ponechat si dohodnuté podklady nebo jejich kopie a vždy ve 2 vyhotoveních vydané nálezy (stavební technické osvědčení, protokol, certifikát, zprávy).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820" w:val="left"/>
        </w:tabs>
        <w:bidi w:val="0"/>
        <w:spacing w:before="0" w:after="0" w:line="240" w:lineRule="auto"/>
        <w:ind w:left="7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Vést a zveřejňovat záznam o vydaném certifikátu. Ve smyslu § 11a odst. 2 pism. c) zákona č. 22/1997 Sb., v platném znění, předkládat dokumentaci dané kontrolní činnosti pověřeným pracovníkům ÚNMZ ke kontrole.</w:t>
      </w:r>
    </w:p>
    <w:p>
      <w:pPr>
        <w:pStyle w:val="Style2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820" w:val="left"/>
        </w:tabs>
        <w:bidi w:val="0"/>
        <w:spacing w:before="0" w:after="340" w:line="240" w:lineRule="auto"/>
        <w:ind w:left="7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Upozornit orgány dozoru (§ 11a odst.- 2 písm. e) zákona č. 22/1997 Sb., ve znění pozdějších předpisů), pokud bude při kontrolní činnosti zjištěno, že výrobek může ohrozit nebo ohrožuje oprávněný zájem.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VI.</w:t>
      </w:r>
      <w:bookmarkEnd w:id="30"/>
      <w:bookmarkEnd w:id="31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32"/>
      <w:bookmarkEnd w:id="33"/>
    </w:p>
    <w:p>
      <w:pPr>
        <w:pStyle w:val="Style2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92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nebo doplňky této smlouvy lze uzavřít pouze písemnou formou po dohodě smluvních stran; platnosti nabývají podpisem oběma smluvními stranami.</w:t>
      </w:r>
    </w:p>
    <w:p>
      <w:pPr>
        <w:pStyle w:val="Style2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0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smluvních stran, která nejsou ve smlouvě upravena, se řídí českými právními předpisy.</w:t>
      </w:r>
    </w:p>
    <w:p>
      <w:pPr>
        <w:pStyle w:val="Style2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0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2 vyhotoveních. Po jednom vyhotovení obdrží objednavatel a kontrolor.</w:t>
      </w:r>
    </w:p>
    <w:p>
      <w:pPr>
        <w:pStyle w:val="Style2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07" w:val="left"/>
        </w:tabs>
        <w:bidi w:val="0"/>
        <w:spacing w:before="0" w:after="130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účinnosti a platnosti dnem jejího podpisu oběma smluvními stranami a platí po dobu platnosti vydaného certifikátu. Smlouvu lze vypovědět kteroukoliv ze smluvních stran s roční výpovědní lhůtou. Tímto ustanovením není dotčeno odstoupeni od smlouvy podle čl. V odst. 4.1. Je-li smlouva vypovězena v době platnosti certifikátu výrobku a není prováděn další dohled nad certifikovaným výrobkem jinou k tomu autorizovanou osobou, pozbývá vydaný certifikát platnosti.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3360" w:right="0" w:firstLine="0"/>
        <w:jc w:val="left"/>
        <w:rPr>
          <w:sz w:val="17"/>
          <w:szCs w:val="17"/>
        </w:rPr>
      </w:pPr>
      <w:r>
        <w:drawing>
          <wp:anchor distT="0" distB="33655" distL="946150" distR="510540" simplePos="0" relativeHeight="125829382" behindDoc="0" locked="0" layoutInCell="1" allowOverlap="1">
            <wp:simplePos x="0" y="0"/>
            <wp:positionH relativeFrom="page">
              <wp:posOffset>1751965</wp:posOffset>
            </wp:positionH>
            <wp:positionV relativeFrom="margin">
              <wp:posOffset>2995930</wp:posOffset>
            </wp:positionV>
            <wp:extent cx="438785" cy="231775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38785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margin">
                  <wp:posOffset>3090545</wp:posOffset>
                </wp:positionV>
                <wp:extent cx="804545" cy="1708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2.450000000000003pt;margin-top:243.34999999999999pt;width:63.350000000000001pt;height:13.4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2157095</wp:posOffset>
                </wp:positionH>
                <wp:positionV relativeFrom="margin">
                  <wp:posOffset>3105785</wp:posOffset>
                </wp:positionV>
                <wp:extent cx="426720" cy="15557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la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69.84999999999999pt;margin-top:244.55000000000001pt;width:33.600000000000001pt;height:12.2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la 2021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 Praze dne T června 2021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5013960</wp:posOffset>
                </wp:positionH>
                <wp:positionV relativeFrom="margin">
                  <wp:posOffset>3862070</wp:posOffset>
                </wp:positionV>
                <wp:extent cx="1249680" cy="33210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Martin Pešek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zastupující kontrolora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4.80000000000001pt;margin-top:304.10000000000002pt;width:98.400000000000006pt;height:26.149999999999999pt;z-index:-12582937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Martin Pešek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zastupující kontrolora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1392555</wp:posOffset>
            </wp:positionH>
            <wp:positionV relativeFrom="margin">
              <wp:posOffset>3791585</wp:posOffset>
            </wp:positionV>
            <wp:extent cx="341630" cy="19494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4163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Ňecid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zastupující objednavatele</w:t>
      </w:r>
    </w:p>
    <w:sectPr>
      <w:headerReference w:type="default" r:id="rId10"/>
      <w:footnotePr>
        <w:pos w:val="pageBottom"/>
        <w:numFmt w:val="decimal"/>
        <w:numRestart w:val="continuous"/>
      </w:footnotePr>
      <w:pgSz w:w="11900" w:h="16840"/>
      <w:pgMar w:top="966" w:left="1392" w:right="194" w:bottom="1013" w:header="0" w:footer="58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296545</wp:posOffset>
              </wp:positionV>
              <wp:extent cx="6153785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378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186" w:val="right"/>
                              <w:tab w:pos="96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TZÚS Praha, s. p. - pobočka TIS</w:t>
                            <w:tab/>
                            <w:t>Smlouva č. Z 090 21 0301</w:t>
                            <w:tab/>
                            <w:t xml:space="preserve">Strana č.: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/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200000000000003pt;margin-top:23.350000000000001pt;width:484.55000000000001pt;height:13.44999999999999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86" w:val="right"/>
                        <w:tab w:pos="96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TZÚS Praha, s. p. - pobočka TIS</w:t>
                      <w:tab/>
                      <w:t>Smlouva č. Z 090 21 0301</w:t>
                      <w:tab/>
                      <w:t xml:space="preserve">Strana č.: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308610</wp:posOffset>
              </wp:positionV>
              <wp:extent cx="6138545" cy="1676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38545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138" w:val="right"/>
                              <w:tab w:pos="96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TZÚS Praha, s. p. - pobočka TIS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Smlouva č. Z 090 210301</w:t>
                            <w:tab/>
                            <w:t>Strana č.: 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4.150000000000006pt;margin-top:24.300000000000001pt;width:483.35000000000002pt;height:13.199999999999999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138" w:val="right"/>
                        <w:tab w:pos="96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u w:val="single"/>
                        <w:shd w:val="clear" w:color="auto" w:fill="auto"/>
                        <w:lang w:val="cs-CZ" w:eastAsia="cs-CZ" w:bidi="cs-CZ"/>
                      </w:rPr>
                      <w:t>TZÚS Praha, s. p. - pobočka TIS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č. Z 090 210301</w:t>
                      <w:tab/>
                      <w:t>Strana č.: 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3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Nadpis #2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0">
    <w:name w:val="Nadpis #3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540" w:lineRule="auto"/>
      <w:ind w:left="3530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100" w:line="25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spacing w:after="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9">
    <w:name w:val="Nadpis #3"/>
    <w:basedOn w:val="Normal"/>
    <w:link w:val="CharStyle30"/>
    <w:pPr>
      <w:widowControl w:val="0"/>
      <w:shd w:val="clear" w:color="auto" w:fill="FFFFFF"/>
      <w:spacing w:after="40" w:line="228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header" Target="header2.xml"/></Relationships>
</file>