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41" w:rsidRDefault="002245A4">
      <w:r>
        <w:t xml:space="preserve">Dodatek č. 2_PS_B_P3a – VFM a Dodatek č. 2_PS_B_P3b – VPA považuje ARRIVA vlaky s.r.o. za předmět obchodního tajemství. </w:t>
      </w:r>
      <w:bookmarkStart w:id="0" w:name="_GoBack"/>
      <w:bookmarkEnd w:id="0"/>
    </w:p>
    <w:sectPr w:rsidR="00B6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A4"/>
    <w:rsid w:val="002245A4"/>
    <w:rsid w:val="00B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B4C5"/>
  <w15:chartTrackingRefBased/>
  <w15:docId w15:val="{BB0454AB-D4A4-49A1-9E2E-5F2A21EA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Ševcová Hana</dc:creator>
  <cp:keywords/>
  <dc:description/>
  <cp:lastModifiedBy>Ševcová Hana</cp:lastModifiedBy>
  <cp:revision>1</cp:revision>
  <dcterms:created xsi:type="dcterms:W3CDTF">2022-06-27T13:50:00Z</dcterms:created>
  <dcterms:modified xsi:type="dcterms:W3CDTF">2022-06-27T13:54:00Z</dcterms:modified>
</cp:coreProperties>
</file>