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E4" w:rsidRDefault="004B2971">
      <w:r>
        <w:t>Níže uvedeného dne, měsíce a roku spolu uzavírají smluvní strany</w:t>
      </w:r>
    </w:p>
    <w:tbl>
      <w:tblPr>
        <w:tblStyle w:val="Mkatabulky"/>
        <w:tblW w:w="16281" w:type="dxa"/>
        <w:tblLook w:val="04A0" w:firstRow="1" w:lastRow="0" w:firstColumn="1" w:lastColumn="0" w:noHBand="0" w:noVBand="1"/>
      </w:tblPr>
      <w:tblGrid>
        <w:gridCol w:w="1843"/>
        <w:gridCol w:w="7219"/>
        <w:gridCol w:w="7219"/>
      </w:tblGrid>
      <w:tr w:rsidR="00C52EE4">
        <w:tc>
          <w:tcPr>
            <w:tcW w:w="1843" w:type="dxa"/>
            <w:tcBorders>
              <w:top w:val="nil"/>
              <w:left w:val="nil"/>
              <w:bottom w:val="nil"/>
              <w:right w:val="nil"/>
            </w:tcBorders>
            <w:shd w:val="clear" w:color="auto" w:fill="auto"/>
          </w:tcPr>
          <w:p w:rsidR="00C52EE4" w:rsidRDefault="004B2971">
            <w:r>
              <w:t>Název:</w:t>
            </w:r>
          </w:p>
        </w:tc>
        <w:tc>
          <w:tcPr>
            <w:tcW w:w="7219" w:type="dxa"/>
            <w:tcBorders>
              <w:top w:val="nil"/>
              <w:left w:val="nil"/>
              <w:bottom w:val="nil"/>
              <w:right w:val="nil"/>
            </w:tcBorders>
          </w:tcPr>
          <w:p w:rsidR="00C52EE4" w:rsidRDefault="004B2971">
            <w:pPr>
              <w:rPr>
                <w:b/>
                <w:bCs/>
              </w:rPr>
            </w:pPr>
            <w:r>
              <w:rPr>
                <w:b/>
                <w:bCs/>
              </w:rPr>
              <w:t xml:space="preserve">Blue </w:t>
            </w:r>
            <w:proofErr w:type="spellStart"/>
            <w:r>
              <w:rPr>
                <w:b/>
                <w:bCs/>
              </w:rPr>
              <w:t>Dynamic</w:t>
            </w:r>
            <w:proofErr w:type="spellEnd"/>
            <w:r>
              <w:rPr>
                <w:b/>
                <w:bCs/>
              </w:rPr>
              <w:t>, s.r.o.</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Sídlo:</w:t>
            </w:r>
          </w:p>
        </w:tc>
        <w:tc>
          <w:tcPr>
            <w:tcW w:w="7219" w:type="dxa"/>
            <w:tcBorders>
              <w:top w:val="nil"/>
              <w:left w:val="nil"/>
              <w:bottom w:val="nil"/>
              <w:right w:val="nil"/>
            </w:tcBorders>
          </w:tcPr>
          <w:p w:rsidR="00C52EE4" w:rsidRDefault="004B2971">
            <w:r>
              <w:t>Praha, Dlouhá 730/35, 110 00 Praha 1</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IČ:</w:t>
            </w:r>
          </w:p>
          <w:p w:rsidR="00C52EE4" w:rsidRDefault="004B2971">
            <w:r>
              <w:t>DIČ:</w:t>
            </w:r>
          </w:p>
        </w:tc>
        <w:tc>
          <w:tcPr>
            <w:tcW w:w="7219" w:type="dxa"/>
            <w:tcBorders>
              <w:top w:val="nil"/>
              <w:left w:val="nil"/>
              <w:bottom w:val="nil"/>
              <w:right w:val="nil"/>
            </w:tcBorders>
          </w:tcPr>
          <w:p w:rsidR="00C52EE4" w:rsidRDefault="004B2971">
            <w:r>
              <w:t>023 39 234</w:t>
            </w:r>
          </w:p>
          <w:p w:rsidR="00C52EE4" w:rsidRDefault="004B2971">
            <w:r>
              <w:t>CZ02339234</w:t>
            </w:r>
          </w:p>
          <w:p w:rsidR="00C52EE4" w:rsidRDefault="004B2971">
            <w:r>
              <w:t xml:space="preserve">Zapsaná v obchodním rejstříku vedeném Městským soudem v Praze pod </w:t>
            </w:r>
            <w:proofErr w:type="spellStart"/>
            <w:r>
              <w:t>sp</w:t>
            </w:r>
            <w:proofErr w:type="spellEnd"/>
            <w:r>
              <w:t>. zn. C 218198</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Bankovní spojení:</w:t>
            </w:r>
          </w:p>
        </w:tc>
        <w:tc>
          <w:tcPr>
            <w:tcW w:w="7219" w:type="dxa"/>
            <w:tcBorders>
              <w:top w:val="nil"/>
              <w:left w:val="nil"/>
              <w:bottom w:val="nil"/>
              <w:right w:val="nil"/>
            </w:tcBorders>
          </w:tcPr>
          <w:p w:rsidR="00C52EE4" w:rsidRDefault="004B2971">
            <w:pPr>
              <w:rPr>
                <w:lang w:val="en-US"/>
              </w:rPr>
            </w:pPr>
            <w:r>
              <w:rPr>
                <w:lang w:val="en-US"/>
              </w:rPr>
              <w:t>000107-7199040297/0100</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Zastoupená:</w:t>
            </w:r>
          </w:p>
        </w:tc>
        <w:tc>
          <w:tcPr>
            <w:tcW w:w="7219" w:type="dxa"/>
            <w:tcBorders>
              <w:top w:val="nil"/>
              <w:left w:val="nil"/>
              <w:bottom w:val="nil"/>
              <w:right w:val="nil"/>
            </w:tcBorders>
          </w:tcPr>
          <w:p w:rsidR="00C52EE4" w:rsidRDefault="004B2971">
            <w:pPr>
              <w:rPr>
                <w:highlight w:val="yellow"/>
              </w:rPr>
            </w:pPr>
            <w:r>
              <w:t>Karel Pecl, jednatel společnosti</w:t>
            </w:r>
          </w:p>
        </w:tc>
        <w:tc>
          <w:tcPr>
            <w:tcW w:w="7219" w:type="dxa"/>
            <w:tcBorders>
              <w:top w:val="nil"/>
              <w:left w:val="nil"/>
              <w:bottom w:val="nil"/>
              <w:right w:val="nil"/>
            </w:tcBorders>
            <w:shd w:val="clear" w:color="auto" w:fill="auto"/>
          </w:tcPr>
          <w:p w:rsidR="00C52EE4" w:rsidRDefault="00C52EE4">
            <w:pPr>
              <w:rPr>
                <w:highlight w:val="yellow"/>
              </w:rPr>
            </w:pPr>
          </w:p>
        </w:tc>
      </w:tr>
    </w:tbl>
    <w:p w:rsidR="00C52EE4" w:rsidRDefault="004B2971">
      <w:r>
        <w:t>(dále jako Strana 1)</w:t>
      </w:r>
    </w:p>
    <w:p w:rsidR="00C52EE4" w:rsidRDefault="004B2971">
      <w:r>
        <w:t>a</w:t>
      </w:r>
    </w:p>
    <w:tbl>
      <w:tblPr>
        <w:tblStyle w:val="Mkatabulky"/>
        <w:tblW w:w="16281" w:type="dxa"/>
        <w:tblLook w:val="04A0" w:firstRow="1" w:lastRow="0" w:firstColumn="1" w:lastColumn="0" w:noHBand="0" w:noVBand="1"/>
      </w:tblPr>
      <w:tblGrid>
        <w:gridCol w:w="1843"/>
        <w:gridCol w:w="7219"/>
        <w:gridCol w:w="7219"/>
      </w:tblGrid>
      <w:tr w:rsidR="00C52EE4">
        <w:tc>
          <w:tcPr>
            <w:tcW w:w="1843" w:type="dxa"/>
            <w:tcBorders>
              <w:top w:val="nil"/>
              <w:left w:val="nil"/>
              <w:bottom w:val="nil"/>
              <w:right w:val="nil"/>
            </w:tcBorders>
            <w:shd w:val="clear" w:color="auto" w:fill="auto"/>
          </w:tcPr>
          <w:p w:rsidR="00C52EE4" w:rsidRDefault="004B2971">
            <w:r>
              <w:t>Název:</w:t>
            </w:r>
          </w:p>
        </w:tc>
        <w:tc>
          <w:tcPr>
            <w:tcW w:w="7219" w:type="dxa"/>
            <w:tcBorders>
              <w:top w:val="nil"/>
              <w:left w:val="nil"/>
              <w:bottom w:val="nil"/>
              <w:right w:val="nil"/>
            </w:tcBorders>
          </w:tcPr>
          <w:p w:rsidR="00C52EE4" w:rsidRDefault="004B2971">
            <w:pPr>
              <w:rPr>
                <w:b/>
                <w:bCs/>
              </w:rPr>
            </w:pPr>
            <w:r>
              <w:rPr>
                <w:b/>
                <w:bCs/>
              </w:rPr>
              <w:t>Ústav Teorie Informace a Automatizace, Akademie Věd ČR</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Sídlo:</w:t>
            </w:r>
          </w:p>
        </w:tc>
        <w:tc>
          <w:tcPr>
            <w:tcW w:w="7219" w:type="dxa"/>
            <w:tcBorders>
              <w:top w:val="nil"/>
              <w:left w:val="nil"/>
              <w:bottom w:val="nil"/>
              <w:right w:val="nil"/>
            </w:tcBorders>
          </w:tcPr>
          <w:p w:rsidR="00C52EE4" w:rsidRDefault="004B2971">
            <w:r>
              <w:t>Pod Vodárenskou Věží 4, 182 00, Praha 8</w:t>
            </w:r>
          </w:p>
          <w:p w:rsidR="00C52EE4" w:rsidRDefault="004B2971">
            <w:r>
              <w:t xml:space="preserve">Zapsaný v rejstříku veřejných </w:t>
            </w:r>
            <w:r>
              <w:t xml:space="preserve">výzkumných institucí vedeném Ministerstvem školství, mládeže a tělovýchovy ČR pod </w:t>
            </w:r>
            <w:proofErr w:type="spellStart"/>
            <w:r>
              <w:t>sp</w:t>
            </w:r>
            <w:proofErr w:type="spellEnd"/>
            <w:r>
              <w:t>. zn.  17113/2006-34/ÚTIA</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IČ:</w:t>
            </w:r>
          </w:p>
        </w:tc>
        <w:tc>
          <w:tcPr>
            <w:tcW w:w="7219" w:type="dxa"/>
            <w:tcBorders>
              <w:top w:val="nil"/>
              <w:left w:val="nil"/>
              <w:bottom w:val="nil"/>
              <w:right w:val="nil"/>
            </w:tcBorders>
          </w:tcPr>
          <w:p w:rsidR="00C52EE4" w:rsidRDefault="004B2971">
            <w:r>
              <w:t>67985556, DIČ CZ67985556</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Bankovní spojení:</w:t>
            </w:r>
          </w:p>
        </w:tc>
        <w:tc>
          <w:tcPr>
            <w:tcW w:w="7219" w:type="dxa"/>
            <w:tcBorders>
              <w:top w:val="nil"/>
              <w:left w:val="nil"/>
              <w:bottom w:val="nil"/>
              <w:right w:val="nil"/>
            </w:tcBorders>
          </w:tcPr>
          <w:p w:rsidR="00C52EE4" w:rsidRDefault="004B2971">
            <w:r>
              <w:t>131003527/0300</w:t>
            </w:r>
          </w:p>
        </w:tc>
        <w:tc>
          <w:tcPr>
            <w:tcW w:w="7219" w:type="dxa"/>
            <w:tcBorders>
              <w:top w:val="nil"/>
              <w:left w:val="nil"/>
              <w:bottom w:val="nil"/>
              <w:right w:val="nil"/>
            </w:tcBorders>
            <w:shd w:val="clear" w:color="auto" w:fill="auto"/>
          </w:tcPr>
          <w:p w:rsidR="00C52EE4" w:rsidRDefault="00C52EE4"/>
        </w:tc>
      </w:tr>
      <w:tr w:rsidR="00C52EE4">
        <w:tc>
          <w:tcPr>
            <w:tcW w:w="1843" w:type="dxa"/>
            <w:tcBorders>
              <w:top w:val="nil"/>
              <w:left w:val="nil"/>
              <w:bottom w:val="nil"/>
              <w:right w:val="nil"/>
            </w:tcBorders>
            <w:shd w:val="clear" w:color="auto" w:fill="auto"/>
          </w:tcPr>
          <w:p w:rsidR="00C52EE4" w:rsidRDefault="004B2971">
            <w:r>
              <w:t>Zastoupená:</w:t>
            </w:r>
          </w:p>
        </w:tc>
        <w:tc>
          <w:tcPr>
            <w:tcW w:w="7219" w:type="dxa"/>
            <w:tcBorders>
              <w:top w:val="nil"/>
              <w:left w:val="nil"/>
              <w:bottom w:val="nil"/>
              <w:right w:val="nil"/>
            </w:tcBorders>
          </w:tcPr>
          <w:p w:rsidR="00C52EE4" w:rsidRDefault="004B2971">
            <w:r>
              <w:t>Doc. RNDr. Jiřina Vejnarová, CSc., ředitelka</w:t>
            </w:r>
          </w:p>
        </w:tc>
        <w:tc>
          <w:tcPr>
            <w:tcW w:w="7219" w:type="dxa"/>
            <w:tcBorders>
              <w:top w:val="nil"/>
              <w:left w:val="nil"/>
              <w:bottom w:val="nil"/>
              <w:right w:val="nil"/>
            </w:tcBorders>
            <w:shd w:val="clear" w:color="auto" w:fill="auto"/>
          </w:tcPr>
          <w:p w:rsidR="00C52EE4" w:rsidRDefault="00C52EE4"/>
        </w:tc>
      </w:tr>
    </w:tbl>
    <w:p w:rsidR="00C52EE4" w:rsidRDefault="00C52EE4"/>
    <w:p w:rsidR="00C52EE4" w:rsidRDefault="004B2971">
      <w:r>
        <w:t xml:space="preserve">(dále jako strana </w:t>
      </w:r>
      <w:r>
        <w:t xml:space="preserve">2), dohromady též jako „Smluvní strany“, tuto smlouvu uzavřenou dle ustanovení §1746 odst. 2 zákona č. 89/2012 Sb., Občanského zákoníku ve znění pozdějších předpisů, označenou jako </w:t>
      </w:r>
      <w:bookmarkStart w:id="0" w:name="_GoBack"/>
      <w:r>
        <w:t>Smlouva o Poskytnutí Konzultací</w:t>
      </w:r>
      <w:bookmarkEnd w:id="0"/>
      <w:r>
        <w:t>.</w:t>
      </w:r>
    </w:p>
    <w:p w:rsidR="00C52EE4" w:rsidRDefault="00C52EE4"/>
    <w:p w:rsidR="00C52EE4" w:rsidRDefault="004B2971">
      <w:pPr>
        <w:pStyle w:val="Nadpis2"/>
        <w:numPr>
          <w:ilvl w:val="0"/>
          <w:numId w:val="5"/>
        </w:numPr>
        <w:ind w:left="1080" w:hanging="720"/>
      </w:pPr>
      <w:r>
        <w:t>Předmět smlouvy</w:t>
      </w:r>
    </w:p>
    <w:p w:rsidR="00C52EE4" w:rsidRDefault="004B2971">
      <w:pPr>
        <w:pStyle w:val="Odstavecseseznamem"/>
        <w:numPr>
          <w:ilvl w:val="1"/>
          <w:numId w:val="5"/>
        </w:numPr>
        <w:ind w:left="1080" w:hanging="720"/>
      </w:pPr>
      <w:r>
        <w:t>Smluvní strany touto smlo</w:t>
      </w:r>
      <w:r>
        <w:t xml:space="preserve">uvou upravují svá práva a povinnosti při spolupráci v rámci projektu s názvem </w:t>
      </w:r>
      <w:r>
        <w:rPr>
          <w:b/>
          <w:bCs/>
        </w:rPr>
        <w:t>Inteligentní sklad</w:t>
      </w:r>
      <w:r>
        <w:t xml:space="preserve"> (dále jen „projekt“), který bude v případě schválení spolufinancován z Operačního programu Podnikání a inovace pro konkurenceschopnost, výzvy Aplikace – Výzva </w:t>
      </w:r>
      <w:r>
        <w:t>IX.</w:t>
      </w:r>
    </w:p>
    <w:p w:rsidR="00C52EE4" w:rsidRDefault="004B2971">
      <w:pPr>
        <w:pStyle w:val="Odstavecseseznamem"/>
        <w:numPr>
          <w:ilvl w:val="1"/>
          <w:numId w:val="5"/>
        </w:numPr>
        <w:ind w:left="1080" w:hanging="720"/>
      </w:pPr>
      <w:r>
        <w:t>Spolupráce smluvních stran bude spočívat v:</w:t>
      </w:r>
    </w:p>
    <w:p w:rsidR="00C52EE4" w:rsidRDefault="004B2971">
      <w:pPr>
        <w:pStyle w:val="Odstavecseseznamem"/>
        <w:numPr>
          <w:ilvl w:val="0"/>
          <w:numId w:val="2"/>
        </w:numPr>
        <w:ind w:left="2136" w:hanging="360"/>
      </w:pPr>
      <w:r>
        <w:t>konzultační činnosti v oblasti zpracování rozmazaných obrazových dat a jejich restaurace</w:t>
      </w:r>
    </w:p>
    <w:p w:rsidR="00C52EE4" w:rsidRDefault="004B2971">
      <w:pPr>
        <w:pStyle w:val="Odstavecseseznamem"/>
        <w:numPr>
          <w:ilvl w:val="0"/>
          <w:numId w:val="2"/>
        </w:numPr>
        <w:ind w:left="2136" w:hanging="360"/>
      </w:pPr>
      <w:r>
        <w:t>konzultační činnosti v oblasti rozkladu 3D těles</w:t>
      </w:r>
    </w:p>
    <w:p w:rsidR="00C52EE4" w:rsidRDefault="00C52EE4">
      <w:pPr>
        <w:pStyle w:val="Odstavecseseznamem"/>
      </w:pPr>
    </w:p>
    <w:p w:rsidR="00C52EE4" w:rsidRDefault="004B2971">
      <w:pPr>
        <w:pStyle w:val="Nadpis2"/>
        <w:numPr>
          <w:ilvl w:val="0"/>
          <w:numId w:val="5"/>
        </w:numPr>
        <w:ind w:left="1080" w:hanging="720"/>
      </w:pPr>
      <w:r>
        <w:t>Práva a povinnosti stran</w:t>
      </w:r>
    </w:p>
    <w:p w:rsidR="00C52EE4" w:rsidRDefault="004B2971">
      <w:pPr>
        <w:pStyle w:val="Odstavecseseznamem"/>
        <w:numPr>
          <w:ilvl w:val="1"/>
          <w:numId w:val="5"/>
        </w:numPr>
        <w:ind w:left="1080" w:hanging="720"/>
      </w:pPr>
      <w:r>
        <w:t>Smluvní strany se zavazují společně a nerozd</w:t>
      </w:r>
      <w:r>
        <w:t xml:space="preserve">ílně po dobu trvání této smlouvy spolupracovat na plnění projektu dle bodu </w:t>
      </w:r>
      <w:proofErr w:type="gramStart"/>
      <w:r>
        <w:t>1.1. této</w:t>
      </w:r>
      <w:proofErr w:type="gramEnd"/>
      <w:r>
        <w:t xml:space="preserve"> smlouvy.</w:t>
      </w:r>
    </w:p>
    <w:p w:rsidR="00C52EE4" w:rsidRDefault="004B2971">
      <w:pPr>
        <w:pStyle w:val="Odstavecseseznamem"/>
        <w:numPr>
          <w:ilvl w:val="1"/>
          <w:numId w:val="5"/>
        </w:numPr>
        <w:ind w:left="1080" w:hanging="720"/>
      </w:pPr>
      <w:r>
        <w:t xml:space="preserve">Strana 2 opravňuje Stranu 1 k neomezenému nevýlučnému výkonu majetkových práv duševního vlastnictví k výsledkům spolupráce na projektu, zejména k nově získanému </w:t>
      </w:r>
      <w:r>
        <w:t>či vytvořenému know-how, jako například ke zdrojovým kódům, průmyslovým vzorům, technickým řešením.</w:t>
      </w:r>
    </w:p>
    <w:p w:rsidR="00C52EE4" w:rsidRDefault="004B2971">
      <w:pPr>
        <w:pStyle w:val="Odstavecseseznamem"/>
        <w:numPr>
          <w:ilvl w:val="1"/>
          <w:numId w:val="5"/>
        </w:numPr>
        <w:ind w:left="1080" w:hanging="720"/>
      </w:pPr>
      <w:r>
        <w:t xml:space="preserve">Strana 1 je oprávněna k výkonu práv dle bodu </w:t>
      </w:r>
      <w:proofErr w:type="gramStart"/>
      <w:r>
        <w:t>2.2. bez</w:t>
      </w:r>
      <w:proofErr w:type="gramEnd"/>
      <w:r>
        <w:t xml:space="preserve"> územního, množstevního či časového omezení, přičemž platí, že ve vztahu k právům, jejichž povaha připo</w:t>
      </w:r>
      <w:r>
        <w:t>uští udělení licence k nim, uděluje Strana 2 Straně 1 nevýhradní licenci k těmto právům, a to včetně množstevně neomezeného pod licenčního práva.</w:t>
      </w:r>
    </w:p>
    <w:p w:rsidR="00C52EE4" w:rsidRDefault="004B2971">
      <w:pPr>
        <w:pStyle w:val="Odstavecseseznamem"/>
        <w:numPr>
          <w:ilvl w:val="1"/>
          <w:numId w:val="5"/>
        </w:numPr>
        <w:ind w:left="1080" w:hanging="720"/>
      </w:pPr>
      <w:r>
        <w:lastRenderedPageBreak/>
        <w:t xml:space="preserve">Strana 2 opravňuje Stranu 1 k výkonu práv dle bodu </w:t>
      </w:r>
      <w:proofErr w:type="gramStart"/>
      <w:r>
        <w:t>2.2. jak</w:t>
      </w:r>
      <w:proofErr w:type="gramEnd"/>
      <w:r>
        <w:t xml:space="preserve"> k nekomerčním, tak i ke komerčním účelům.</w:t>
      </w:r>
    </w:p>
    <w:p w:rsidR="00C52EE4" w:rsidRDefault="004B2971">
      <w:pPr>
        <w:pStyle w:val="Odstavecseseznamem"/>
        <w:numPr>
          <w:ilvl w:val="1"/>
          <w:numId w:val="5"/>
        </w:numPr>
        <w:ind w:left="1080" w:hanging="720"/>
      </w:pPr>
      <w:r>
        <w:t xml:space="preserve">Bude-li </w:t>
      </w:r>
      <w:r>
        <w:t>Strana 2 v rámci projektu využívat výsledky tvůrčí činnosti či know-how vzniklé na základě aktivit nesouvisejících s projektem, předpokládá se, že uděluje k jeho užití v rámci komerční i nekomerční praxe Strany 1 nevýhradní, množstevně, územně a časově neo</w:t>
      </w:r>
      <w:r>
        <w:t>mezenou licenci.</w:t>
      </w:r>
    </w:p>
    <w:p w:rsidR="00C52EE4" w:rsidRDefault="004B2971">
      <w:pPr>
        <w:pStyle w:val="Odstavecseseznamem"/>
        <w:numPr>
          <w:ilvl w:val="1"/>
          <w:numId w:val="5"/>
        </w:numPr>
        <w:ind w:left="1080" w:hanging="720"/>
      </w:pPr>
      <w:r>
        <w:t>Strana 1 je povinna poskytnout Straně 2 odměnu za spolupráci na projektu v souladu s ustanoveními kapitoly V. této smlouvy.</w:t>
      </w:r>
    </w:p>
    <w:p w:rsidR="00C52EE4" w:rsidRDefault="00C52EE4">
      <w:pPr>
        <w:pStyle w:val="Odstavecseseznamem"/>
        <w:ind w:left="1080"/>
      </w:pPr>
    </w:p>
    <w:p w:rsidR="00C52EE4" w:rsidRDefault="004B2971">
      <w:pPr>
        <w:pStyle w:val="Nadpis2"/>
        <w:numPr>
          <w:ilvl w:val="0"/>
          <w:numId w:val="5"/>
        </w:numPr>
        <w:ind w:left="1080" w:hanging="720"/>
      </w:pPr>
      <w:r>
        <w:t>Ochrana duševního vlastnictví</w:t>
      </w:r>
    </w:p>
    <w:p w:rsidR="00C52EE4" w:rsidRDefault="004B2971">
      <w:pPr>
        <w:pStyle w:val="Odstavecseseznamem"/>
        <w:numPr>
          <w:ilvl w:val="1"/>
          <w:numId w:val="5"/>
        </w:numPr>
        <w:ind w:left="1080" w:hanging="720"/>
      </w:pPr>
      <w:r>
        <w:t>Smluvní strany prohlašují, že všechny informace vztahující se k řešení projektu, a t</w:t>
      </w:r>
      <w:r>
        <w:t>o včetně návrhů, znalostí, získanému know-how, považují za důvěrné či za součást svého obchodního tajemství a to vždy, pokud si ve vztahu ke konkrétní věci neujednají jinak. Za důvěrné budou smluvní strany považovat všechny informace technické nebo obchodn</w:t>
      </w:r>
      <w:r>
        <w:t>í povahy týkající se projektu, zejména takové, které jedna strana v rámci úspěšného plnění projektu zpřístupní či jinak poskytne druhé straně.</w:t>
      </w:r>
    </w:p>
    <w:p w:rsidR="00C52EE4" w:rsidRDefault="004B2971">
      <w:pPr>
        <w:pStyle w:val="Odstavecseseznamem"/>
        <w:numPr>
          <w:ilvl w:val="1"/>
          <w:numId w:val="5"/>
        </w:numPr>
        <w:ind w:left="1080" w:hanging="720"/>
      </w:pPr>
      <w:r>
        <w:t>Smluvní strany se zavazují dbát o utajení všech důvěrných informací s náležitou péčí a nepředat důvěrné informace</w:t>
      </w:r>
      <w:r>
        <w:t xml:space="preserve"> bez předchozího písemného souhlasu strany, jež tyto informace poskytla, třetí straně.</w:t>
      </w:r>
    </w:p>
    <w:p w:rsidR="00C52EE4" w:rsidRDefault="004B2971">
      <w:pPr>
        <w:pStyle w:val="Odstavecseseznamem"/>
        <w:numPr>
          <w:ilvl w:val="1"/>
          <w:numId w:val="5"/>
        </w:numPr>
        <w:ind w:left="1080" w:hanging="720"/>
      </w:pPr>
      <w:r>
        <w:t>S důvěrnými informacemi mohou být seznámeni pouze pracovníci stran, kteří se na projektu přímo podílejí, nebo u kterých je nezbytné, aby tyto informace znali k úspěšnému</w:t>
      </w:r>
      <w:r>
        <w:t xml:space="preserve"> dokončení projektu a poddodavatelé podílející se na projektu.</w:t>
      </w:r>
    </w:p>
    <w:p w:rsidR="00C52EE4" w:rsidRDefault="004B2971">
      <w:pPr>
        <w:pStyle w:val="Odstavecseseznamem"/>
        <w:numPr>
          <w:ilvl w:val="1"/>
          <w:numId w:val="5"/>
        </w:numPr>
        <w:ind w:left="1080" w:hanging="720"/>
      </w:pPr>
      <w:r>
        <w:t xml:space="preserve">Ustanovení </w:t>
      </w:r>
      <w:proofErr w:type="gramStart"/>
      <w:r>
        <w:t>3.2</w:t>
      </w:r>
      <w:proofErr w:type="gramEnd"/>
      <w:r>
        <w:t>. a 3.3. této smlouvy se neuplatní na informace oprávněně či z povinnosti zveřejněné a na informace sdílené s poskytovatelem dotace, kontrolním orgánem Strany 2 nebo kontrolním or</w:t>
      </w:r>
      <w:r>
        <w:t>gánem v souvislosti s dohledem nad poskytnutou dotací a dílčími plněními, jež se k ní váží (projektu), a informacemi zveřejňovanými v Rejstříku informací o výsledcích, registru smluv či obdobných evidencích.</w:t>
      </w:r>
    </w:p>
    <w:p w:rsidR="00C52EE4" w:rsidRDefault="004B2971">
      <w:pPr>
        <w:pStyle w:val="Odstavecseseznamem"/>
        <w:numPr>
          <w:ilvl w:val="1"/>
          <w:numId w:val="5"/>
        </w:numPr>
        <w:ind w:left="1080" w:hanging="720"/>
      </w:pPr>
      <w:r>
        <w:t>Smluvní strany vstupují do projektu s dovednostm</w:t>
      </w:r>
      <w:r>
        <w:t>i, know-how a dalšími právy duševního vlastnictví, která jsou potřebná pro realizaci projektu (dále jako vkládané znalosti či vložené znalosti).</w:t>
      </w:r>
    </w:p>
    <w:p w:rsidR="00C52EE4" w:rsidRDefault="004B2971">
      <w:pPr>
        <w:pStyle w:val="Odstavecseseznamem"/>
        <w:numPr>
          <w:ilvl w:val="1"/>
          <w:numId w:val="5"/>
        </w:numPr>
        <w:ind w:left="1080" w:hanging="720"/>
      </w:pPr>
      <w:r>
        <w:t>Vkládané znalosti zůstávají vlastnictvím strany, která je do projektu vložila, přičemž druhá strana je oprávněn</w:t>
      </w:r>
      <w:r>
        <w:t>a tyto znalosti použít po dobu trvání projektu k pracím na něm bezplatně.</w:t>
      </w:r>
    </w:p>
    <w:p w:rsidR="00C52EE4" w:rsidRDefault="004B2971">
      <w:pPr>
        <w:pStyle w:val="Odstavecseseznamem"/>
        <w:numPr>
          <w:ilvl w:val="1"/>
          <w:numId w:val="5"/>
        </w:numPr>
        <w:ind w:left="1080" w:hanging="720"/>
      </w:pPr>
      <w:r>
        <w:t xml:space="preserve">Smluvní strany mají právo na nevýhradní licenci k vkládaným znalostem ve vlastnictví druhé strany, pokud to nezbytně potřebují pro využití vlastních výsledků projektu, zejména pokud </w:t>
      </w:r>
      <w:r>
        <w:t>by bez nich bylo užití vlastních výsledků technicky či právně nemožné. Odměna za takto udělenou nevýhradní licenci je zahrnuta ve smluvní odměně dle článku V. této smlouvy. Smluvní strany nejsou oprávněny užít vkládané znalosti k jinému účelu a jiným způso</w:t>
      </w:r>
      <w:r>
        <w:t>bem, než vyplývá z této smlouvy, ledaže si předem ujednají dodatkem k této smlouvě či spolu uzavřou zvláštní smlouvu.</w:t>
      </w:r>
    </w:p>
    <w:p w:rsidR="00C52EE4" w:rsidRDefault="004B2971">
      <w:pPr>
        <w:pStyle w:val="Odstavecseseznamem"/>
        <w:numPr>
          <w:ilvl w:val="1"/>
          <w:numId w:val="5"/>
        </w:numPr>
        <w:ind w:left="1080" w:hanging="720"/>
      </w:pPr>
      <w:r>
        <w:t>Smluvní strany používají vkládané znalosti druhé strany na vlastní nebezpečí a berou na vědomí, že jsou jim vkládané znalosti zpřístupněny</w:t>
      </w:r>
      <w:r>
        <w:t xml:space="preserve"> bez jakékoli záruky, zejména co se týče jejich správnosti, přesnosti či vhodnosti pro konkrétní účel. Strana poskytující vkládané znalosti tak neručí za škody způsobené jejich aplikací.</w:t>
      </w:r>
    </w:p>
    <w:p w:rsidR="00C52EE4" w:rsidRDefault="004B2971">
      <w:pPr>
        <w:pStyle w:val="Odstavecseseznamem"/>
        <w:numPr>
          <w:ilvl w:val="1"/>
          <w:numId w:val="5"/>
        </w:numPr>
        <w:ind w:left="1080" w:hanging="720"/>
      </w:pPr>
      <w:r>
        <w:t>Strana, která použije vkládané znalosti druhé strany, je sama odpověd</w:t>
      </w:r>
      <w:r>
        <w:t>na za případná porušení práv duševního vlastnictví třetích osob či jiných aspektů legislativy.</w:t>
      </w:r>
    </w:p>
    <w:p w:rsidR="00C52EE4" w:rsidRDefault="004B2971">
      <w:pPr>
        <w:pStyle w:val="Odstavecseseznamem"/>
        <w:numPr>
          <w:ilvl w:val="1"/>
          <w:numId w:val="5"/>
        </w:numPr>
        <w:ind w:left="1080" w:hanging="720"/>
      </w:pPr>
      <w:r>
        <w:t xml:space="preserve">Vlastník výsledků je povinen na svůj náklad a odpovědnost navrhnout a zajistit vhodnou ochranu duševního vlastnictví k výsledkům dosaženým v rámci projektu. </w:t>
      </w:r>
      <w:r>
        <w:lastRenderedPageBreak/>
        <w:t>Tako</w:t>
      </w:r>
      <w:r>
        <w:t>vou ochranou se pro účely projektu předpokládá zejména, nikoliv však výlučně, podání domácích či zahraničních přihlášek technického řešení jako patentově chráněného vynálezu, užitného vzoru či průmyslového vzoru a také utajení informací o výsledcích či aut</w:t>
      </w:r>
      <w:r>
        <w:t>orskoprávní ochrana.</w:t>
      </w:r>
    </w:p>
    <w:p w:rsidR="00C52EE4" w:rsidRDefault="004B2971">
      <w:pPr>
        <w:pStyle w:val="Odstavecseseznamem"/>
        <w:numPr>
          <w:ilvl w:val="1"/>
          <w:numId w:val="5"/>
        </w:numPr>
        <w:ind w:left="1080" w:hanging="720"/>
      </w:pPr>
      <w:r>
        <w:t xml:space="preserve">Pokud výsledek vlastní smluvní strany společně, zavazují se u všech takto nabytých výsledků při podání přihlášek či žádostí k ochraně duševního vlastnictví dle bodu </w:t>
      </w:r>
      <w:proofErr w:type="gramStart"/>
      <w:r>
        <w:t>3.10. této</w:t>
      </w:r>
      <w:proofErr w:type="gramEnd"/>
      <w:r>
        <w:t xml:space="preserve"> smlouvy uvést, že jsou spolumajiteli (spoluvlastníky) přísl</w:t>
      </w:r>
      <w:r>
        <w:t>ušného ochranného institutu. Pro vztahy mezi smluvními stranami jako spolumajiteli příslušného předmětu práv průmyslového vlastnictví se použijí ustanovení právních předpisů upravujících podílové spoluvlastnictví.</w:t>
      </w:r>
    </w:p>
    <w:p w:rsidR="00C52EE4" w:rsidRDefault="004B2971">
      <w:pPr>
        <w:pStyle w:val="Odstavecseseznamem"/>
        <w:numPr>
          <w:ilvl w:val="1"/>
          <w:numId w:val="5"/>
        </w:numPr>
        <w:ind w:left="1080" w:hanging="720"/>
      </w:pPr>
      <w:r>
        <w:t>Na nákladech spojených se získáním a udržo</w:t>
      </w:r>
      <w:r>
        <w:t xml:space="preserve">váním ochrany dle bodu </w:t>
      </w:r>
      <w:proofErr w:type="gramStart"/>
      <w:r>
        <w:t>3.11. se</w:t>
      </w:r>
      <w:proofErr w:type="gramEnd"/>
      <w:r>
        <w:t xml:space="preserve"> strany podílejí poměrně dle výše spoluvlastnických podílů.</w:t>
      </w:r>
    </w:p>
    <w:p w:rsidR="00C52EE4" w:rsidRDefault="004B2971">
      <w:pPr>
        <w:pStyle w:val="Odstavecseseznamem"/>
        <w:numPr>
          <w:ilvl w:val="1"/>
          <w:numId w:val="5"/>
        </w:numPr>
        <w:ind w:left="1080" w:hanging="720"/>
      </w:pPr>
      <w:r>
        <w:t>K převodu titulu k ochraně práv duševního vlastnictví či podílu na takovém titulu a k převodu licence předmětu práv duševního vlastnictví či uzavření licenční smlouv</w:t>
      </w:r>
      <w:r>
        <w:t>y k takovému se třetí stranou je vždy zapotřebí písemného souhlasu druhé strany.</w:t>
      </w:r>
    </w:p>
    <w:p w:rsidR="00C52EE4" w:rsidRDefault="004B2971">
      <w:pPr>
        <w:pStyle w:val="Odstavecseseznamem"/>
        <w:numPr>
          <w:ilvl w:val="1"/>
          <w:numId w:val="5"/>
        </w:numPr>
        <w:ind w:left="1080" w:hanging="720"/>
      </w:pPr>
      <w:r>
        <w:t>Každý z vlastníků či spoluvlastníků titulu k ochraně duševního vlastnictví je oprávněn samostatně uplatňovat nároky z prokazatelných porušení práv k předmětu či předmětům chrá</w:t>
      </w:r>
      <w:r>
        <w:t xml:space="preserve">něného duševního vlastnictví. </w:t>
      </w:r>
    </w:p>
    <w:p w:rsidR="00C52EE4" w:rsidRDefault="004B2971">
      <w:pPr>
        <w:pStyle w:val="Odstavecseseznamem"/>
        <w:numPr>
          <w:ilvl w:val="1"/>
          <w:numId w:val="5"/>
        </w:numPr>
        <w:ind w:left="1080" w:hanging="720"/>
      </w:pPr>
      <w:r>
        <w:t>Smluvní strany jsou povinny zajistit si vůči nositelům chráněných práv duševního vlastnictví vzniklých v souvislosti s realizací projektu či jeho části možnost volného nakládání s těmito právy (zejména řádně a včas uplatnit v</w:t>
      </w:r>
      <w:r>
        <w:t>ůči původci právo na zaměstnanecký vynález, užitný vzor nebo průmyslový vzor, případně se vypořádat s původci či autory smluvně). Každá ze stran je odpovědná za vypořádání nároků autorů a původců na své straně.</w:t>
      </w:r>
    </w:p>
    <w:p w:rsidR="00C52EE4" w:rsidRDefault="004B2971">
      <w:pPr>
        <w:pStyle w:val="Odstavecseseznamem"/>
        <w:numPr>
          <w:ilvl w:val="1"/>
          <w:numId w:val="5"/>
        </w:numPr>
        <w:ind w:left="1080" w:hanging="720"/>
      </w:pPr>
      <w:r>
        <w:t>Pokud si smluvní strany písemně neujednají ji</w:t>
      </w:r>
      <w:r>
        <w:t>nak, uplatní se ustanovení čl. III této smlouvy obdobně i na nároky k výsledkům projektu v případě předčasného ukončení projektu.</w:t>
      </w:r>
    </w:p>
    <w:p w:rsidR="00C52EE4" w:rsidRDefault="004B2971">
      <w:pPr>
        <w:pStyle w:val="Odstavecseseznamem"/>
        <w:numPr>
          <w:ilvl w:val="1"/>
          <w:numId w:val="5"/>
        </w:numPr>
        <w:ind w:left="1080" w:hanging="720"/>
      </w:pPr>
      <w:r>
        <w:t>Strana 1 je oprávněna pracovat na ověření proveditelnosti a komerčního potenciálu daných výsledků vědy a výzkumu, které vzejdo</w:t>
      </w:r>
      <w:r>
        <w:t>u z projektu a Strana 2 se zavazuje práva duševního vlastnictví vzešlá z projektu Straně 1 postoupit a k tomu poskytnout licenci, přičemž odměna za takovou licenci je zahrnuta v odměně dle článku V. této smlouvy.</w:t>
      </w:r>
    </w:p>
    <w:p w:rsidR="00C52EE4" w:rsidRDefault="004B2971">
      <w:pPr>
        <w:pStyle w:val="Nadpis2"/>
        <w:numPr>
          <w:ilvl w:val="0"/>
          <w:numId w:val="5"/>
        </w:numPr>
        <w:ind w:left="1080" w:hanging="720"/>
      </w:pPr>
      <w:r>
        <w:t>Práva k výsledkům a jejich využití</w:t>
      </w:r>
    </w:p>
    <w:p w:rsidR="00C52EE4" w:rsidRDefault="004B2971">
      <w:pPr>
        <w:pStyle w:val="Odstavecseseznamem"/>
        <w:numPr>
          <w:ilvl w:val="1"/>
          <w:numId w:val="5"/>
        </w:numPr>
        <w:ind w:left="1080" w:hanging="720"/>
      </w:pPr>
      <w:r>
        <w:t>Výsledky</w:t>
      </w:r>
      <w:r>
        <w:t xml:space="preserve"> projektu, kterých bude dosaženo pouze jednou smluvní stranou, budou zcela ve vlastnictví této strany.</w:t>
      </w:r>
    </w:p>
    <w:p w:rsidR="00C52EE4" w:rsidRDefault="004B2971">
      <w:pPr>
        <w:pStyle w:val="Odstavecseseznamem"/>
        <w:numPr>
          <w:ilvl w:val="1"/>
          <w:numId w:val="5"/>
        </w:numPr>
        <w:ind w:left="1080" w:hanging="720"/>
      </w:pPr>
      <w:r>
        <w:t xml:space="preserve">Výsledky projektu dosažené více stranami tak, že lze důvodně předpokládat, že bez stranou vkládaných znalostí či prostředků by nebylo možné tohoto </w:t>
      </w:r>
      <w:r>
        <w:t>výsledku projektu dosáhnout bez ztráty kvality nebo vůbec, jsou tyto výsledky ve spoluvlastnictví stran.</w:t>
      </w:r>
    </w:p>
    <w:p w:rsidR="00C52EE4" w:rsidRDefault="004B2971">
      <w:pPr>
        <w:pStyle w:val="Odstavecseseznamem"/>
        <w:numPr>
          <w:ilvl w:val="1"/>
          <w:numId w:val="5"/>
        </w:numPr>
        <w:ind w:left="1080" w:hanging="720"/>
      </w:pPr>
      <w:r>
        <w:t>Je-li možné určit poměrně míru přičinění stran na výsledku projektu, bude se tento poměr rovnat poměru spoluvlastnickému.</w:t>
      </w:r>
    </w:p>
    <w:p w:rsidR="00C52EE4" w:rsidRDefault="004B2971">
      <w:pPr>
        <w:pStyle w:val="Odstavecseseznamem"/>
        <w:numPr>
          <w:ilvl w:val="1"/>
          <w:numId w:val="5"/>
        </w:numPr>
        <w:ind w:left="1080" w:hanging="720"/>
      </w:pPr>
      <w:r>
        <w:t>Není-li možné určit poměrně m</w:t>
      </w:r>
      <w:r>
        <w:t>íru přičinění stran, a tedy i poměr spoluvlastnictví platí, že jsou spoluvlastnické podíly rovné.</w:t>
      </w:r>
    </w:p>
    <w:p w:rsidR="00C52EE4" w:rsidRDefault="004B2971">
      <w:pPr>
        <w:pStyle w:val="Odstavecseseznamem"/>
        <w:numPr>
          <w:ilvl w:val="1"/>
          <w:numId w:val="5"/>
        </w:numPr>
        <w:ind w:left="1080" w:hanging="720"/>
      </w:pPr>
      <w:r>
        <w:t xml:space="preserve">Smluvní strana je oprávněna k nevýhradnímu užití výsledků ve vlastnictví druhé strany, pokud je toto nezbytné pro užívání výsledků projektu vlastněných touto </w:t>
      </w:r>
      <w:r>
        <w:t>smluvní stranou, a to za obvyklých tržních podmínek.</w:t>
      </w:r>
    </w:p>
    <w:p w:rsidR="00C52EE4" w:rsidRDefault="004B2971">
      <w:pPr>
        <w:pStyle w:val="Odstavecseseznamem"/>
        <w:numPr>
          <w:ilvl w:val="1"/>
          <w:numId w:val="5"/>
        </w:numPr>
        <w:ind w:left="1080" w:hanging="720"/>
      </w:pPr>
      <w:r>
        <w:t>Výsledky ve společném vlastnictví je oprávněna užívat každá strana samostatně, a to i ke komerčním účelům.</w:t>
      </w:r>
    </w:p>
    <w:p w:rsidR="00C52EE4" w:rsidRDefault="004B2971">
      <w:pPr>
        <w:pStyle w:val="Odstavecseseznamem"/>
        <w:numPr>
          <w:ilvl w:val="1"/>
          <w:numId w:val="5"/>
        </w:numPr>
        <w:ind w:left="1080" w:hanging="720"/>
      </w:pPr>
      <w:r>
        <w:t>Ustanovení článku IV. nebrání tomu, aby smluvní strany po vzájemné písemné dohodě upravily vlast</w:t>
      </w:r>
      <w:r>
        <w:t xml:space="preserve">nická a užívací práva k výsledkům projektu v jednotlivých případech </w:t>
      </w:r>
      <w:r>
        <w:lastRenderedPageBreak/>
        <w:t>odlišně při respektování platné legislativy a podmínek projektu stanovených poskytovatelem.</w:t>
      </w:r>
    </w:p>
    <w:p w:rsidR="00C52EE4" w:rsidRDefault="004B2971">
      <w:pPr>
        <w:pStyle w:val="Odstavecseseznamem"/>
        <w:numPr>
          <w:ilvl w:val="1"/>
          <w:numId w:val="5"/>
        </w:numPr>
        <w:ind w:left="1080" w:hanging="720"/>
      </w:pPr>
      <w:r>
        <w:t>Nedohodnou-li se strany písemně jinak, uplatní se ustanovení článku IV. obdobně na nároky k výsl</w:t>
      </w:r>
      <w:r>
        <w:t>edkům projektu v případě předčasného ukončení projektu.</w:t>
      </w:r>
    </w:p>
    <w:p w:rsidR="00C52EE4" w:rsidRDefault="00C52EE4">
      <w:pPr>
        <w:pStyle w:val="Odstavecseseznamem"/>
        <w:ind w:left="1080"/>
      </w:pPr>
    </w:p>
    <w:p w:rsidR="00C52EE4" w:rsidRDefault="004B2971">
      <w:pPr>
        <w:pStyle w:val="Nadpis2"/>
        <w:numPr>
          <w:ilvl w:val="0"/>
          <w:numId w:val="5"/>
        </w:numPr>
        <w:ind w:left="1080" w:hanging="720"/>
      </w:pPr>
      <w:r>
        <w:t>Odměna a platební podmínky</w:t>
      </w:r>
    </w:p>
    <w:p w:rsidR="00C52EE4" w:rsidRDefault="004B2971">
      <w:pPr>
        <w:pStyle w:val="Odstavecseseznamem"/>
        <w:numPr>
          <w:ilvl w:val="1"/>
          <w:numId w:val="5"/>
        </w:numPr>
        <w:ind w:left="1080" w:hanging="720"/>
      </w:pPr>
      <w:r>
        <w:t xml:space="preserve">Odměna za spolupráci na Projektu (dále jen „odměna“) je sjednána na částku 300 000,- Korun českých bez DPH (slovy </w:t>
      </w:r>
      <w:proofErr w:type="spellStart"/>
      <w:r>
        <w:t>třistatisíckorun</w:t>
      </w:r>
      <w:proofErr w:type="spellEnd"/>
      <w:r>
        <w:t xml:space="preserve"> českých).</w:t>
      </w:r>
    </w:p>
    <w:p w:rsidR="00C52EE4" w:rsidRDefault="004B2971">
      <w:pPr>
        <w:pStyle w:val="Odstavecseseznamem"/>
        <w:numPr>
          <w:ilvl w:val="1"/>
          <w:numId w:val="5"/>
        </w:numPr>
        <w:ind w:left="1080" w:hanging="720"/>
      </w:pPr>
      <w:r>
        <w:t>Vyúčtování odměny neproběhne dř</w:t>
      </w:r>
      <w:r>
        <w:t>íve než 6 měsíců a déle než 10 měsíců od uzavření této smlouvy. Konkrétní okamžik vyúčtování v tomto období určí Strana 2.</w:t>
      </w:r>
    </w:p>
    <w:p w:rsidR="00C52EE4" w:rsidRDefault="004B2971">
      <w:pPr>
        <w:pStyle w:val="Odstavecseseznamem"/>
        <w:numPr>
          <w:ilvl w:val="1"/>
          <w:numId w:val="5"/>
        </w:numPr>
        <w:ind w:left="1080" w:hanging="720"/>
      </w:pPr>
      <w:r>
        <w:t>Vyúčtování Odměny provede Strana 2 vůči Straně 1 na základě daňového dokladu (faktury) splňujícího náležitosti dle příslušných právní</w:t>
      </w:r>
      <w:r>
        <w:t>ch předpisů, zejména náležitostí dle §28 odst. 2 zákona č. 235/2004 Sb. o dani z přidané hodnoty, ve znění pozdějších předpisů, zákona č. 563/1991 Sb., o účetnictví, ve znění pozdějších předpisů a náležitostí obchodní listiny ve smyslu ustanovení § 435 zák</w:t>
      </w:r>
      <w:r>
        <w:t>ona č. 89/2012 Sb., Občanského zákoníku, ve znění pozdějších předpisů.</w:t>
      </w:r>
    </w:p>
    <w:p w:rsidR="00C52EE4" w:rsidRDefault="004B2971">
      <w:pPr>
        <w:pStyle w:val="Odstavecseseznamem"/>
        <w:numPr>
          <w:ilvl w:val="1"/>
          <w:numId w:val="5"/>
        </w:numPr>
        <w:ind w:left="1080" w:hanging="720"/>
      </w:pPr>
      <w:r>
        <w:t xml:space="preserve">Daňový doklad dle bodu </w:t>
      </w:r>
      <w:proofErr w:type="gramStart"/>
      <w:r>
        <w:t>5.3. musí</w:t>
      </w:r>
      <w:proofErr w:type="gramEnd"/>
      <w:r>
        <w:t xml:space="preserve"> obsahovat název a datum podpisu této smlouvy, číslo účtu Strany 2 a specifikaci plnění tak, aby byla v souladu s platnými předpisy dle bodu 5.3. a další</w:t>
      </w:r>
      <w:r>
        <w:t xml:space="preserve"> relevantní legislativou.</w:t>
      </w:r>
    </w:p>
    <w:p w:rsidR="00C52EE4" w:rsidRDefault="004B2971">
      <w:pPr>
        <w:pStyle w:val="Odstavecseseznamem"/>
        <w:numPr>
          <w:ilvl w:val="1"/>
          <w:numId w:val="5"/>
        </w:numPr>
        <w:ind w:left="1080" w:hanging="720"/>
      </w:pPr>
      <w:r>
        <w:t>Faktura je splatná do 60 kalendářních dnů ode dne jejího doručení na adresu sídla Strany 1.</w:t>
      </w:r>
    </w:p>
    <w:p w:rsidR="00C52EE4" w:rsidRDefault="004B2971">
      <w:pPr>
        <w:pStyle w:val="Odstavecseseznamem"/>
        <w:numPr>
          <w:ilvl w:val="1"/>
          <w:numId w:val="5"/>
        </w:numPr>
        <w:ind w:left="1080" w:hanging="720"/>
      </w:pPr>
      <w:r>
        <w:t>Strana 1 je oprávněna do data splatnosti vrátit fakturu, která neobsahuje požadované náležitosti, nebo která byla vystavena před vznikem p</w:t>
      </w:r>
      <w:r>
        <w:t xml:space="preserve">ráva fakturovat dle bodu </w:t>
      </w:r>
      <w:proofErr w:type="gramStart"/>
      <w:r>
        <w:t>5.2. této</w:t>
      </w:r>
      <w:proofErr w:type="gramEnd"/>
      <w:r>
        <w:t xml:space="preserve"> smlouvy, nebo která obsahuje cenové údaje odlišné od bodu 5.1. této smlouvy. Splatnost nové faktury vystavené po vrácení předchozí faktury se řídí ustanovením bodu </w:t>
      </w:r>
      <w:proofErr w:type="gramStart"/>
      <w:r>
        <w:t>5.5. této</w:t>
      </w:r>
      <w:proofErr w:type="gramEnd"/>
      <w:r>
        <w:t xml:space="preserve"> smlouvy.</w:t>
      </w:r>
    </w:p>
    <w:p w:rsidR="00C52EE4" w:rsidRDefault="004B2971">
      <w:pPr>
        <w:pStyle w:val="Odstavecseseznamem"/>
        <w:numPr>
          <w:ilvl w:val="1"/>
          <w:numId w:val="5"/>
        </w:numPr>
        <w:ind w:left="1080" w:hanging="720"/>
      </w:pPr>
      <w:r>
        <w:t>Strana 1 neposkytuje zálohové platby o</w:t>
      </w:r>
      <w:r>
        <w:t>dměny a Strana 2 nemá právo od ní toto požadovat.</w:t>
      </w:r>
    </w:p>
    <w:p w:rsidR="00C52EE4" w:rsidRDefault="004B2971">
      <w:pPr>
        <w:pStyle w:val="Odstavecseseznamem"/>
        <w:numPr>
          <w:ilvl w:val="1"/>
          <w:numId w:val="5"/>
        </w:numPr>
        <w:ind w:left="1080" w:hanging="720"/>
      </w:pPr>
      <w:r>
        <w:t>Strana 2 nese odpovědnost za stanovení sazby daně z přidané hodnoty v souladu s platnými právními předpisy.</w:t>
      </w:r>
    </w:p>
    <w:p w:rsidR="00C52EE4" w:rsidRDefault="004B2971">
      <w:pPr>
        <w:pStyle w:val="Nadpis2"/>
        <w:numPr>
          <w:ilvl w:val="0"/>
          <w:numId w:val="5"/>
        </w:numPr>
        <w:ind w:left="1080" w:hanging="720"/>
      </w:pPr>
      <w:r>
        <w:t>Sankční ujednání</w:t>
      </w:r>
    </w:p>
    <w:p w:rsidR="00C52EE4" w:rsidRDefault="004B2971">
      <w:pPr>
        <w:pStyle w:val="Odstavecseseznamem"/>
        <w:numPr>
          <w:ilvl w:val="1"/>
          <w:numId w:val="5"/>
        </w:numPr>
        <w:ind w:left="1080" w:hanging="720"/>
      </w:pPr>
      <w:r>
        <w:t>Nedodrží-li Strana 1 lhůtu pro splatnost faktury, je Strana 2 oprávněna požadovat</w:t>
      </w:r>
      <w:r>
        <w:t xml:space="preserve"> úhradu úroku z prodlení, jehož výše je stanovena na 0,1% z fakturované částky za každý den prodlení.</w:t>
      </w:r>
    </w:p>
    <w:p w:rsidR="00C52EE4" w:rsidRDefault="004B2971">
      <w:pPr>
        <w:pStyle w:val="Nadpis2"/>
        <w:numPr>
          <w:ilvl w:val="0"/>
          <w:numId w:val="5"/>
        </w:numPr>
        <w:ind w:left="1080" w:hanging="720"/>
      </w:pPr>
      <w:r>
        <w:t>Ostatní ujednání</w:t>
      </w:r>
    </w:p>
    <w:p w:rsidR="00C52EE4" w:rsidRDefault="004B2971">
      <w:pPr>
        <w:pStyle w:val="Odstavecseseznamem"/>
        <w:numPr>
          <w:ilvl w:val="1"/>
          <w:numId w:val="5"/>
        </w:numPr>
        <w:ind w:left="1080" w:hanging="720"/>
      </w:pPr>
      <w:r>
        <w:t>Smluvní strany se zavazují zachovat dobrou víru při řešení vzájemných sporů vzniklých při plnění projektu či na základě této smlouvy a so</w:t>
      </w:r>
      <w:r>
        <w:t>učasně se zavazují, k řešení sporů prvně mimosoudní cestou a v případě sporného řízení před civilními soudy formou smíru.</w:t>
      </w:r>
    </w:p>
    <w:p w:rsidR="00C52EE4" w:rsidRDefault="004B2971">
      <w:pPr>
        <w:pStyle w:val="Odstavecseseznamem"/>
        <w:numPr>
          <w:ilvl w:val="1"/>
          <w:numId w:val="5"/>
        </w:numPr>
        <w:ind w:left="1080" w:hanging="720"/>
      </w:pPr>
      <w:r>
        <w:t>Pro místní a věcnou příslušnost soudu k řešení sporu vzniklého z plnění projektu či této smlouvy platí ustanovení zákona č. 99/1963 Sb</w:t>
      </w:r>
      <w:r>
        <w:t>., Občanského soudního řádu, ve znění pozdějších předpisů.</w:t>
      </w:r>
    </w:p>
    <w:p w:rsidR="00C52EE4" w:rsidRDefault="004B2971">
      <w:pPr>
        <w:pStyle w:val="Nadpis2"/>
        <w:numPr>
          <w:ilvl w:val="0"/>
          <w:numId w:val="5"/>
        </w:numPr>
        <w:ind w:left="1080" w:hanging="720"/>
      </w:pPr>
      <w:r>
        <w:t>Závěrečná ustanovení</w:t>
      </w:r>
    </w:p>
    <w:p w:rsidR="00C52EE4" w:rsidRDefault="004B2971">
      <w:pPr>
        <w:pStyle w:val="Odstavecseseznamem"/>
        <w:numPr>
          <w:ilvl w:val="1"/>
          <w:numId w:val="5"/>
        </w:numPr>
        <w:ind w:left="1080" w:hanging="720"/>
      </w:pPr>
      <w:r>
        <w:t xml:space="preserve">Tato smlouvy pozbývá účinnosti v případě, že Projekt nebude schválen a podpořen ze strany Evropské unie skrze programy vedené správními orgány České republiky či jiné pověřené </w:t>
      </w:r>
      <w:r>
        <w:t>orgány.</w:t>
      </w:r>
    </w:p>
    <w:p w:rsidR="00C52EE4" w:rsidRDefault="004B2971">
      <w:pPr>
        <w:pStyle w:val="Odstavecseseznamem"/>
        <w:numPr>
          <w:ilvl w:val="1"/>
          <w:numId w:val="5"/>
        </w:numPr>
        <w:ind w:left="1080" w:hanging="720"/>
      </w:pPr>
      <w:r>
        <w:lastRenderedPageBreak/>
        <w:t>Právní vztahy touto smlouvou výslovně neupravené se řídí právním řádem České republiky, zejména zákonem č. 89/2012 Sb., Občanským zákoníkem, ve znění pozdějších předpisů.</w:t>
      </w:r>
    </w:p>
    <w:p w:rsidR="00C52EE4" w:rsidRDefault="004B2971">
      <w:pPr>
        <w:pStyle w:val="Odstavecseseznamem"/>
        <w:numPr>
          <w:ilvl w:val="1"/>
          <w:numId w:val="5"/>
        </w:numPr>
        <w:ind w:left="1080" w:hanging="720"/>
      </w:pPr>
      <w:r>
        <w:t>Tato smlouva může být měněna nebo rušena pouze formou písemných dodatků podep</w:t>
      </w:r>
      <w:r>
        <w:t>saných oprávněnými zástupci obou smluvních stran.</w:t>
      </w:r>
    </w:p>
    <w:p w:rsidR="00C52EE4" w:rsidRDefault="004B2971">
      <w:pPr>
        <w:pStyle w:val="Odstavecseseznamem"/>
        <w:numPr>
          <w:ilvl w:val="1"/>
          <w:numId w:val="5"/>
        </w:numPr>
        <w:ind w:left="1080" w:hanging="720"/>
      </w:pPr>
      <w:r>
        <w:t xml:space="preserve">Smluvní strany souhlasí s uveřejněním této smlouvy v registru smluv dle zákona č. 340/2015 Sb., o registru smluv, ve znění pozdějších předpisů. Toto uveřejnění zajistí Strana 2. Pokud některá ze smluvních </w:t>
      </w:r>
      <w:r>
        <w:t>stran považuje některé informace uvedené ve smlouvě za osobní údaj, obchodní tajemství či údaj, který je možné neuveřejnit podle zákona č. 340/2015 Sb., musí takové informace označit.</w:t>
      </w:r>
    </w:p>
    <w:p w:rsidR="00C52EE4" w:rsidRDefault="004B2971">
      <w:pPr>
        <w:pStyle w:val="Odstavecseseznamem"/>
        <w:numPr>
          <w:ilvl w:val="1"/>
          <w:numId w:val="5"/>
        </w:numPr>
        <w:ind w:left="1080" w:hanging="720"/>
      </w:pPr>
      <w:r>
        <w:t>Smluvní strany prohlašují, že disponují všemi právy třetích osob potřebn</w:t>
      </w:r>
      <w:r>
        <w:t xml:space="preserve">ých k uveřejnění smlouvy dle bodu </w:t>
      </w:r>
      <w:proofErr w:type="gramStart"/>
      <w:r>
        <w:t>8.4., pokud</w:t>
      </w:r>
      <w:proofErr w:type="gramEnd"/>
      <w:r>
        <w:t xml:space="preserve"> taková existují.</w:t>
      </w:r>
    </w:p>
    <w:p w:rsidR="00C52EE4" w:rsidRDefault="004B2971">
      <w:pPr>
        <w:pStyle w:val="Odstavecseseznamem"/>
        <w:numPr>
          <w:ilvl w:val="1"/>
          <w:numId w:val="5"/>
        </w:numPr>
        <w:ind w:left="1080" w:hanging="720"/>
      </w:pPr>
      <w:r>
        <w:t>Smlouva je vyhotovena ve třech stejnopisech s platností originálu, z nichž každá smluvní strana obdrží pro své potřeby jedno a třetí bude svěřeno do úschovy Straně 2. Ta je povinna toto vyhotov</w:t>
      </w:r>
      <w:r>
        <w:t>ení bezpečně uschovat a archivovat pro případné potřeby kontrolních orgánů či úřadů. Strana 2 není oprávněna se třetím vyhotovením nakládat jakkoliv jinak, než pro účely kontrolní a dohledové činnosti k tomu pověřených orgánů a odpovídá za to, že toto vyho</w:t>
      </w:r>
      <w:r>
        <w:t>tovení nepředá osobě nedisponující takovým oprávněním.</w:t>
      </w:r>
    </w:p>
    <w:p w:rsidR="00C52EE4" w:rsidRDefault="004B2971">
      <w:pPr>
        <w:pStyle w:val="Odstavecseseznamem"/>
        <w:numPr>
          <w:ilvl w:val="1"/>
          <w:numId w:val="5"/>
        </w:numPr>
        <w:ind w:left="1080" w:hanging="720"/>
      </w:pPr>
      <w:r>
        <w:t>Tato smlouva nabývá platnosti dnem jejího podpisu a účinnosti dnem vkladu do registru smluv.</w:t>
      </w:r>
    </w:p>
    <w:p w:rsidR="00C52EE4" w:rsidRDefault="004B2971">
      <w:pPr>
        <w:pStyle w:val="Odstavecseseznamem"/>
        <w:numPr>
          <w:ilvl w:val="1"/>
          <w:numId w:val="5"/>
        </w:numPr>
        <w:ind w:left="1080" w:hanging="720"/>
      </w:pPr>
      <w:r>
        <w:t>Na důkaz své vážné a svobodné vůle připojují zástupci smluvních stran níže své podpisy.</w:t>
      </w:r>
    </w:p>
    <w:p w:rsidR="00C52EE4" w:rsidRDefault="00C52EE4">
      <w:pPr>
        <w:pStyle w:val="Odstavecseseznamem"/>
        <w:ind w:left="1080"/>
      </w:pPr>
    </w:p>
    <w:p w:rsidR="00C52EE4" w:rsidRDefault="00C52EE4">
      <w:pPr>
        <w:pStyle w:val="Odstavecseseznamem"/>
        <w:ind w:left="1080"/>
      </w:pPr>
    </w:p>
    <w:p w:rsidR="00C52EE4" w:rsidRDefault="004B2971">
      <w:pPr>
        <w:pStyle w:val="Odstavecseseznamem"/>
        <w:ind w:left="1080"/>
        <w:jc w:val="left"/>
      </w:pPr>
      <w:r>
        <w:t xml:space="preserve">V Praze dne </w:t>
      </w:r>
      <w:proofErr w:type="gramStart"/>
      <w:r w:rsidR="000D144A">
        <w:t>1.7</w:t>
      </w:r>
      <w:r w:rsidR="000D144A">
        <w:t>.</w:t>
      </w:r>
      <w:r>
        <w:t>20</w:t>
      </w:r>
      <w:r>
        <w:t>22</w:t>
      </w:r>
      <w:proofErr w:type="gramEnd"/>
      <w:r>
        <w:tab/>
      </w:r>
      <w:r>
        <w:tab/>
      </w:r>
      <w:r>
        <w:tab/>
      </w:r>
      <w:r>
        <w:tab/>
        <w:t xml:space="preserve">    V Praze dne </w:t>
      </w:r>
      <w:r w:rsidR="000D144A">
        <w:t xml:space="preserve"> 1.7.2022</w:t>
      </w:r>
    </w:p>
    <w:p w:rsidR="00C52EE4" w:rsidRDefault="00C52EE4">
      <w:pPr>
        <w:pStyle w:val="Odstavecseseznamem"/>
        <w:ind w:left="1080"/>
        <w:jc w:val="left"/>
      </w:pPr>
    </w:p>
    <w:p w:rsidR="00C52EE4" w:rsidRDefault="00C52EE4">
      <w:pPr>
        <w:pStyle w:val="Odstavecseseznamem"/>
        <w:ind w:left="1080"/>
        <w:jc w:val="left"/>
      </w:pPr>
    </w:p>
    <w:p w:rsidR="00C52EE4" w:rsidRDefault="00C52EE4">
      <w:pPr>
        <w:pStyle w:val="Odstavecseseznamem"/>
        <w:ind w:left="1080"/>
        <w:jc w:val="left"/>
      </w:pPr>
    </w:p>
    <w:p w:rsidR="00C52EE4" w:rsidRDefault="004B2971">
      <w:pPr>
        <w:pStyle w:val="Odstavecseseznamem"/>
        <w:ind w:left="1080"/>
        <w:jc w:val="left"/>
      </w:pPr>
      <w:r>
        <w:t>……………………………………</w:t>
      </w:r>
      <w:r>
        <w:tab/>
      </w:r>
      <w:r>
        <w:tab/>
      </w:r>
      <w:r>
        <w:tab/>
      </w:r>
      <w:r>
        <w:tab/>
        <w:t xml:space="preserve">     ……………………………………</w:t>
      </w:r>
    </w:p>
    <w:p w:rsidR="00C52EE4" w:rsidRDefault="004B2971">
      <w:r>
        <w:tab/>
      </w:r>
      <w:r>
        <w:tab/>
        <w:t xml:space="preserve">       Strana 1</w:t>
      </w:r>
      <w:r>
        <w:tab/>
      </w:r>
      <w:r>
        <w:tab/>
      </w:r>
      <w:r>
        <w:tab/>
      </w:r>
      <w:r>
        <w:tab/>
      </w:r>
      <w:r>
        <w:tab/>
      </w:r>
      <w:r>
        <w:tab/>
        <w:t xml:space="preserve">     Strana 2</w:t>
      </w:r>
    </w:p>
    <w:p w:rsidR="00C52EE4" w:rsidRDefault="004B2971">
      <w:r>
        <w:tab/>
      </w:r>
      <w:r>
        <w:tab/>
        <w:t xml:space="preserve">Blue </w:t>
      </w:r>
      <w:proofErr w:type="spellStart"/>
      <w:r>
        <w:t>Dynamic</w:t>
      </w:r>
      <w:proofErr w:type="spellEnd"/>
      <w:r>
        <w:t xml:space="preserve"> s.r.o.</w:t>
      </w:r>
      <w:r>
        <w:tab/>
      </w:r>
      <w:r>
        <w:tab/>
      </w:r>
      <w:r>
        <w:tab/>
      </w:r>
      <w:r>
        <w:tab/>
      </w:r>
      <w:r>
        <w:tab/>
        <w:t>ÚTIA AV ČR, v. v. i.</w:t>
      </w:r>
    </w:p>
    <w:sectPr w:rsidR="00C52EE4">
      <w:pgSz w:w="11906" w:h="16838"/>
      <w:pgMar w:top="1417" w:right="1417" w:bottom="1417" w:left="141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61C"/>
    <w:multiLevelType w:val="hybridMultilevel"/>
    <w:tmpl w:val="A5506840"/>
    <w:lvl w:ilvl="0" w:tplc="E1EE2ACA">
      <w:numFmt w:val="none"/>
      <w:lvlText w:val=""/>
      <w:lvlJc w:val="left"/>
      <w:pPr>
        <w:tabs>
          <w:tab w:val="num" w:pos="360"/>
        </w:tabs>
        <w:ind w:left="360" w:hanging="360"/>
      </w:pPr>
    </w:lvl>
    <w:lvl w:ilvl="1" w:tplc="FF0E4454">
      <w:numFmt w:val="none"/>
      <w:lvlText w:val=""/>
      <w:lvlJc w:val="left"/>
      <w:pPr>
        <w:tabs>
          <w:tab w:val="num" w:pos="360"/>
        </w:tabs>
        <w:ind w:left="360" w:hanging="360"/>
      </w:pPr>
    </w:lvl>
    <w:lvl w:ilvl="2" w:tplc="B91AA51E">
      <w:numFmt w:val="none"/>
      <w:lvlText w:val=""/>
      <w:lvlJc w:val="left"/>
      <w:pPr>
        <w:tabs>
          <w:tab w:val="num" w:pos="360"/>
        </w:tabs>
        <w:ind w:left="360" w:hanging="360"/>
      </w:pPr>
    </w:lvl>
    <w:lvl w:ilvl="3" w:tplc="E0A0DE72">
      <w:numFmt w:val="none"/>
      <w:lvlText w:val=""/>
      <w:lvlJc w:val="left"/>
      <w:pPr>
        <w:tabs>
          <w:tab w:val="num" w:pos="360"/>
        </w:tabs>
        <w:ind w:left="360" w:hanging="360"/>
      </w:pPr>
    </w:lvl>
    <w:lvl w:ilvl="4" w:tplc="76900E6E">
      <w:numFmt w:val="none"/>
      <w:lvlText w:val=""/>
      <w:lvlJc w:val="left"/>
      <w:pPr>
        <w:tabs>
          <w:tab w:val="num" w:pos="360"/>
        </w:tabs>
        <w:ind w:left="360" w:hanging="360"/>
      </w:pPr>
    </w:lvl>
    <w:lvl w:ilvl="5" w:tplc="D11CBDCA">
      <w:numFmt w:val="none"/>
      <w:lvlText w:val=""/>
      <w:lvlJc w:val="left"/>
      <w:pPr>
        <w:tabs>
          <w:tab w:val="num" w:pos="360"/>
        </w:tabs>
        <w:ind w:left="360" w:hanging="360"/>
      </w:pPr>
    </w:lvl>
    <w:lvl w:ilvl="6" w:tplc="7F52EC14">
      <w:numFmt w:val="none"/>
      <w:lvlText w:val=""/>
      <w:lvlJc w:val="left"/>
      <w:pPr>
        <w:tabs>
          <w:tab w:val="num" w:pos="360"/>
        </w:tabs>
        <w:ind w:left="360" w:hanging="360"/>
      </w:pPr>
    </w:lvl>
    <w:lvl w:ilvl="7" w:tplc="4CF4A9F6">
      <w:numFmt w:val="none"/>
      <w:lvlText w:val=""/>
      <w:lvlJc w:val="left"/>
      <w:pPr>
        <w:tabs>
          <w:tab w:val="num" w:pos="360"/>
        </w:tabs>
        <w:ind w:left="360" w:hanging="360"/>
      </w:pPr>
    </w:lvl>
    <w:lvl w:ilvl="8" w:tplc="DBACE83E">
      <w:numFmt w:val="none"/>
      <w:lvlText w:val=""/>
      <w:lvlJc w:val="left"/>
      <w:pPr>
        <w:tabs>
          <w:tab w:val="num" w:pos="360"/>
        </w:tabs>
        <w:ind w:left="360" w:hanging="360"/>
      </w:pPr>
    </w:lvl>
  </w:abstractNum>
  <w:abstractNum w:abstractNumId="1" w15:restartNumberingAfterBreak="0">
    <w:nsid w:val="085E30C8"/>
    <w:multiLevelType w:val="multilevel"/>
    <w:tmpl w:val="1E8AEAFA"/>
    <w:name w:val="Numbered list 4"/>
    <w:lvl w:ilvl="0">
      <w:start w:val="1"/>
      <w:numFmt w:val="decimal"/>
      <w:lvlText w:val="%1."/>
      <w:lvlJc w:val="left"/>
      <w:pPr>
        <w:ind w:left="360" w:firstLine="0"/>
      </w:pPr>
    </w:lvl>
    <w:lvl w:ilvl="1">
      <w:start w:val="1"/>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abstractNum w:abstractNumId="2" w15:restartNumberingAfterBreak="0">
    <w:nsid w:val="1C813044"/>
    <w:multiLevelType w:val="hybridMultilevel"/>
    <w:tmpl w:val="9E3CEAE8"/>
    <w:name w:val="Numbered list 1"/>
    <w:lvl w:ilvl="0" w:tplc="684CA222">
      <w:numFmt w:val="bullet"/>
      <w:lvlText w:val="-"/>
      <w:lvlJc w:val="left"/>
      <w:pPr>
        <w:ind w:left="1080" w:firstLine="0"/>
      </w:pPr>
      <w:rPr>
        <w:rFonts w:ascii="Cambria" w:eastAsia="Calibri" w:hAnsi="Cambria" w:cs="Calibri"/>
      </w:rPr>
    </w:lvl>
    <w:lvl w:ilvl="1" w:tplc="7E0E6BDC">
      <w:numFmt w:val="bullet"/>
      <w:lvlText w:val="o"/>
      <w:lvlJc w:val="left"/>
      <w:pPr>
        <w:ind w:left="1800" w:firstLine="0"/>
      </w:pPr>
      <w:rPr>
        <w:rFonts w:ascii="Courier New" w:hAnsi="Courier New" w:cs="Courier New"/>
      </w:rPr>
    </w:lvl>
    <w:lvl w:ilvl="2" w:tplc="37C88680">
      <w:numFmt w:val="bullet"/>
      <w:lvlText w:val=""/>
      <w:lvlJc w:val="left"/>
      <w:pPr>
        <w:ind w:left="2520" w:firstLine="0"/>
      </w:pPr>
      <w:rPr>
        <w:rFonts w:ascii="Wingdings" w:eastAsia="Wingdings" w:hAnsi="Wingdings" w:cs="Wingdings"/>
      </w:rPr>
    </w:lvl>
    <w:lvl w:ilvl="3" w:tplc="3B326904">
      <w:numFmt w:val="bullet"/>
      <w:lvlText w:val="·"/>
      <w:lvlJc w:val="left"/>
      <w:pPr>
        <w:ind w:left="3240" w:firstLine="0"/>
      </w:pPr>
      <w:rPr>
        <w:rFonts w:ascii="Symbol" w:hAnsi="Symbol"/>
      </w:rPr>
    </w:lvl>
    <w:lvl w:ilvl="4" w:tplc="39607E30">
      <w:numFmt w:val="bullet"/>
      <w:lvlText w:val="o"/>
      <w:lvlJc w:val="left"/>
      <w:pPr>
        <w:ind w:left="3960" w:firstLine="0"/>
      </w:pPr>
      <w:rPr>
        <w:rFonts w:ascii="Courier New" w:hAnsi="Courier New" w:cs="Courier New"/>
      </w:rPr>
    </w:lvl>
    <w:lvl w:ilvl="5" w:tplc="82BCC8D4">
      <w:numFmt w:val="bullet"/>
      <w:lvlText w:val=""/>
      <w:lvlJc w:val="left"/>
      <w:pPr>
        <w:ind w:left="4680" w:firstLine="0"/>
      </w:pPr>
      <w:rPr>
        <w:rFonts w:ascii="Wingdings" w:eastAsia="Wingdings" w:hAnsi="Wingdings" w:cs="Wingdings"/>
      </w:rPr>
    </w:lvl>
    <w:lvl w:ilvl="6" w:tplc="03BC9C3A">
      <w:numFmt w:val="bullet"/>
      <w:lvlText w:val="·"/>
      <w:lvlJc w:val="left"/>
      <w:pPr>
        <w:ind w:left="5400" w:firstLine="0"/>
      </w:pPr>
      <w:rPr>
        <w:rFonts w:ascii="Symbol" w:hAnsi="Symbol"/>
      </w:rPr>
    </w:lvl>
    <w:lvl w:ilvl="7" w:tplc="D21875AA">
      <w:numFmt w:val="bullet"/>
      <w:lvlText w:val="o"/>
      <w:lvlJc w:val="left"/>
      <w:pPr>
        <w:ind w:left="6120" w:firstLine="0"/>
      </w:pPr>
      <w:rPr>
        <w:rFonts w:ascii="Courier New" w:hAnsi="Courier New" w:cs="Courier New"/>
      </w:rPr>
    </w:lvl>
    <w:lvl w:ilvl="8" w:tplc="5CCEBC12">
      <w:numFmt w:val="bullet"/>
      <w:lvlText w:val=""/>
      <w:lvlJc w:val="left"/>
      <w:pPr>
        <w:ind w:left="6840" w:firstLine="0"/>
      </w:pPr>
      <w:rPr>
        <w:rFonts w:ascii="Wingdings" w:eastAsia="Wingdings" w:hAnsi="Wingdings" w:cs="Wingdings"/>
      </w:rPr>
    </w:lvl>
  </w:abstractNum>
  <w:abstractNum w:abstractNumId="3" w15:restartNumberingAfterBreak="0">
    <w:nsid w:val="22432FB4"/>
    <w:multiLevelType w:val="hybridMultilevel"/>
    <w:tmpl w:val="8758C60A"/>
    <w:name w:val="Numbered list 6"/>
    <w:lvl w:ilvl="0" w:tplc="EB52617C">
      <w:start w:val="1"/>
      <w:numFmt w:val="lowerLetter"/>
      <w:lvlText w:val="%1)"/>
      <w:lvlJc w:val="left"/>
      <w:pPr>
        <w:ind w:left="1080" w:firstLine="0"/>
      </w:pPr>
    </w:lvl>
    <w:lvl w:ilvl="1" w:tplc="5ED484DC">
      <w:start w:val="1"/>
      <w:numFmt w:val="lowerLetter"/>
      <w:lvlText w:val="%2."/>
      <w:lvlJc w:val="left"/>
      <w:pPr>
        <w:ind w:left="1800" w:firstLine="0"/>
      </w:pPr>
    </w:lvl>
    <w:lvl w:ilvl="2" w:tplc="6AFA93C2">
      <w:start w:val="1"/>
      <w:numFmt w:val="lowerRoman"/>
      <w:lvlText w:val="%3."/>
      <w:lvlJc w:val="left"/>
      <w:pPr>
        <w:ind w:left="2700" w:firstLine="0"/>
      </w:pPr>
    </w:lvl>
    <w:lvl w:ilvl="3" w:tplc="0F7C83DE">
      <w:start w:val="1"/>
      <w:numFmt w:val="decimal"/>
      <w:lvlText w:val="%4."/>
      <w:lvlJc w:val="left"/>
      <w:pPr>
        <w:ind w:left="3240" w:firstLine="0"/>
      </w:pPr>
    </w:lvl>
    <w:lvl w:ilvl="4" w:tplc="4970E010">
      <w:start w:val="1"/>
      <w:numFmt w:val="lowerLetter"/>
      <w:lvlText w:val="%5."/>
      <w:lvlJc w:val="left"/>
      <w:pPr>
        <w:ind w:left="3960" w:firstLine="0"/>
      </w:pPr>
    </w:lvl>
    <w:lvl w:ilvl="5" w:tplc="66BCB1EC">
      <w:start w:val="1"/>
      <w:numFmt w:val="lowerRoman"/>
      <w:lvlText w:val="%6."/>
      <w:lvlJc w:val="left"/>
      <w:pPr>
        <w:ind w:left="4860" w:firstLine="0"/>
      </w:pPr>
    </w:lvl>
    <w:lvl w:ilvl="6" w:tplc="359E6090">
      <w:start w:val="1"/>
      <w:numFmt w:val="decimal"/>
      <w:lvlText w:val="%7."/>
      <w:lvlJc w:val="left"/>
      <w:pPr>
        <w:ind w:left="5400" w:firstLine="0"/>
      </w:pPr>
    </w:lvl>
    <w:lvl w:ilvl="7" w:tplc="C7FCA434">
      <w:start w:val="1"/>
      <w:numFmt w:val="lowerLetter"/>
      <w:lvlText w:val="%8."/>
      <w:lvlJc w:val="left"/>
      <w:pPr>
        <w:ind w:left="6120" w:firstLine="0"/>
      </w:pPr>
    </w:lvl>
    <w:lvl w:ilvl="8" w:tplc="DD8E5336">
      <w:start w:val="1"/>
      <w:numFmt w:val="lowerRoman"/>
      <w:lvlText w:val="%9."/>
      <w:lvlJc w:val="left"/>
      <w:pPr>
        <w:ind w:left="7020" w:firstLine="0"/>
      </w:pPr>
    </w:lvl>
  </w:abstractNum>
  <w:abstractNum w:abstractNumId="4" w15:restartNumberingAfterBreak="0">
    <w:nsid w:val="52294113"/>
    <w:multiLevelType w:val="multilevel"/>
    <w:tmpl w:val="24B8FED0"/>
    <w:name w:val="Numbered list 5"/>
    <w:lvl w:ilvl="0">
      <w:start w:val="1"/>
      <w:numFmt w:val="upperRoman"/>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5" w15:restartNumberingAfterBreak="0">
    <w:nsid w:val="561D6AB4"/>
    <w:multiLevelType w:val="hybridMultilevel"/>
    <w:tmpl w:val="78468802"/>
    <w:name w:val="Numbered list 2"/>
    <w:lvl w:ilvl="0" w:tplc="2FB0BCE8">
      <w:numFmt w:val="bullet"/>
      <w:lvlText w:val="·"/>
      <w:lvlJc w:val="left"/>
      <w:pPr>
        <w:ind w:left="1776" w:firstLine="0"/>
      </w:pPr>
      <w:rPr>
        <w:rFonts w:ascii="Symbol" w:hAnsi="Symbol"/>
      </w:rPr>
    </w:lvl>
    <w:lvl w:ilvl="1" w:tplc="B8ECEEA2">
      <w:numFmt w:val="bullet"/>
      <w:lvlText w:val="o"/>
      <w:lvlJc w:val="left"/>
      <w:pPr>
        <w:ind w:left="2496" w:firstLine="0"/>
      </w:pPr>
      <w:rPr>
        <w:rFonts w:ascii="Courier New" w:hAnsi="Courier New" w:cs="Courier New"/>
      </w:rPr>
    </w:lvl>
    <w:lvl w:ilvl="2" w:tplc="811CB2B0">
      <w:numFmt w:val="bullet"/>
      <w:lvlText w:val=""/>
      <w:lvlJc w:val="left"/>
      <w:pPr>
        <w:ind w:left="3216" w:firstLine="0"/>
      </w:pPr>
      <w:rPr>
        <w:rFonts w:ascii="Wingdings" w:eastAsia="Wingdings" w:hAnsi="Wingdings" w:cs="Wingdings"/>
      </w:rPr>
    </w:lvl>
    <w:lvl w:ilvl="3" w:tplc="C1C2CF76">
      <w:numFmt w:val="bullet"/>
      <w:lvlText w:val="·"/>
      <w:lvlJc w:val="left"/>
      <w:pPr>
        <w:ind w:left="3936" w:firstLine="0"/>
      </w:pPr>
      <w:rPr>
        <w:rFonts w:ascii="Symbol" w:hAnsi="Symbol"/>
      </w:rPr>
    </w:lvl>
    <w:lvl w:ilvl="4" w:tplc="98D24A18">
      <w:numFmt w:val="bullet"/>
      <w:lvlText w:val="o"/>
      <w:lvlJc w:val="left"/>
      <w:pPr>
        <w:ind w:left="4656" w:firstLine="0"/>
      </w:pPr>
      <w:rPr>
        <w:rFonts w:ascii="Courier New" w:hAnsi="Courier New" w:cs="Courier New"/>
      </w:rPr>
    </w:lvl>
    <w:lvl w:ilvl="5" w:tplc="095EA206">
      <w:numFmt w:val="bullet"/>
      <w:lvlText w:val=""/>
      <w:lvlJc w:val="left"/>
      <w:pPr>
        <w:ind w:left="5376" w:firstLine="0"/>
      </w:pPr>
      <w:rPr>
        <w:rFonts w:ascii="Wingdings" w:eastAsia="Wingdings" w:hAnsi="Wingdings" w:cs="Wingdings"/>
      </w:rPr>
    </w:lvl>
    <w:lvl w:ilvl="6" w:tplc="50C60E0C">
      <w:numFmt w:val="bullet"/>
      <w:lvlText w:val="·"/>
      <w:lvlJc w:val="left"/>
      <w:pPr>
        <w:ind w:left="6096" w:firstLine="0"/>
      </w:pPr>
      <w:rPr>
        <w:rFonts w:ascii="Symbol" w:hAnsi="Symbol"/>
      </w:rPr>
    </w:lvl>
    <w:lvl w:ilvl="7" w:tplc="5DCCD502">
      <w:numFmt w:val="bullet"/>
      <w:lvlText w:val="o"/>
      <w:lvlJc w:val="left"/>
      <w:pPr>
        <w:ind w:left="6816" w:firstLine="0"/>
      </w:pPr>
      <w:rPr>
        <w:rFonts w:ascii="Courier New" w:hAnsi="Courier New" w:cs="Courier New"/>
      </w:rPr>
    </w:lvl>
    <w:lvl w:ilvl="8" w:tplc="6A666C6C">
      <w:numFmt w:val="bullet"/>
      <w:lvlText w:val=""/>
      <w:lvlJc w:val="left"/>
      <w:pPr>
        <w:ind w:left="7536" w:firstLine="0"/>
      </w:pPr>
      <w:rPr>
        <w:rFonts w:ascii="Wingdings" w:eastAsia="Wingdings" w:hAnsi="Wingdings" w:cs="Wingdings"/>
      </w:rPr>
    </w:lvl>
  </w:abstractNum>
  <w:abstractNum w:abstractNumId="6" w15:restartNumberingAfterBreak="0">
    <w:nsid w:val="65F9559B"/>
    <w:multiLevelType w:val="hybridMultilevel"/>
    <w:tmpl w:val="AD32C9C6"/>
    <w:name w:val="Numbered list 3"/>
    <w:lvl w:ilvl="0" w:tplc="6C4E7188">
      <w:start w:val="1"/>
      <w:numFmt w:val="decimal"/>
      <w:lvlText w:val="%1."/>
      <w:lvlJc w:val="left"/>
      <w:pPr>
        <w:ind w:left="360" w:firstLine="0"/>
      </w:pPr>
    </w:lvl>
    <w:lvl w:ilvl="1" w:tplc="EDBA7A8E">
      <w:start w:val="1"/>
      <w:numFmt w:val="lowerLetter"/>
      <w:lvlText w:val="%2."/>
      <w:lvlJc w:val="left"/>
      <w:pPr>
        <w:ind w:left="1080" w:firstLine="0"/>
      </w:pPr>
    </w:lvl>
    <w:lvl w:ilvl="2" w:tplc="F63E70A2">
      <w:start w:val="1"/>
      <w:numFmt w:val="lowerRoman"/>
      <w:lvlText w:val="%3."/>
      <w:lvlJc w:val="left"/>
      <w:pPr>
        <w:ind w:left="1980" w:firstLine="0"/>
      </w:pPr>
    </w:lvl>
    <w:lvl w:ilvl="3" w:tplc="69AA213E">
      <w:start w:val="1"/>
      <w:numFmt w:val="decimal"/>
      <w:lvlText w:val="%4."/>
      <w:lvlJc w:val="left"/>
      <w:pPr>
        <w:ind w:left="2520" w:firstLine="0"/>
      </w:pPr>
    </w:lvl>
    <w:lvl w:ilvl="4" w:tplc="8BD022D4">
      <w:start w:val="1"/>
      <w:numFmt w:val="lowerLetter"/>
      <w:lvlText w:val="%5."/>
      <w:lvlJc w:val="left"/>
      <w:pPr>
        <w:ind w:left="3240" w:firstLine="0"/>
      </w:pPr>
    </w:lvl>
    <w:lvl w:ilvl="5" w:tplc="78F0FD1C">
      <w:start w:val="1"/>
      <w:numFmt w:val="lowerRoman"/>
      <w:lvlText w:val="%6."/>
      <w:lvlJc w:val="left"/>
      <w:pPr>
        <w:ind w:left="4140" w:firstLine="0"/>
      </w:pPr>
    </w:lvl>
    <w:lvl w:ilvl="6" w:tplc="AAEA7B02">
      <w:start w:val="1"/>
      <w:numFmt w:val="decimal"/>
      <w:lvlText w:val="%7."/>
      <w:lvlJc w:val="left"/>
      <w:pPr>
        <w:ind w:left="4680" w:firstLine="0"/>
      </w:pPr>
    </w:lvl>
    <w:lvl w:ilvl="7" w:tplc="903CCD08">
      <w:start w:val="1"/>
      <w:numFmt w:val="lowerLetter"/>
      <w:lvlText w:val="%8."/>
      <w:lvlJc w:val="left"/>
      <w:pPr>
        <w:ind w:left="5400" w:firstLine="0"/>
      </w:pPr>
    </w:lvl>
    <w:lvl w:ilvl="8" w:tplc="4E94EA10">
      <w:start w:val="1"/>
      <w:numFmt w:val="lowerRoman"/>
      <w:lvlText w:val="%9."/>
      <w:lvlJc w:val="left"/>
      <w:pPr>
        <w:ind w:left="6300" w:firstLine="0"/>
      </w:p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E4"/>
    <w:rsid w:val="000D144A"/>
    <w:rsid w:val="004B2971"/>
    <w:rsid w:val="00C52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4752"/>
  <w15:docId w15:val="{90BCC21E-7F88-4227-9A4F-9683D99E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mbria" w:hAnsi="Cambria"/>
    </w:rPr>
  </w:style>
  <w:style w:type="paragraph" w:styleId="Nadpis1">
    <w:name w:val="heading 1"/>
    <w:basedOn w:val="Normln"/>
    <w:next w:val="Normln"/>
    <w:qFormat/>
    <w:pPr>
      <w:keepNext/>
      <w:keepLines/>
      <w:spacing w:before="240" w:after="0" w:line="360" w:lineRule="auto"/>
      <w:jc w:val="center"/>
      <w:outlineLvl w:val="0"/>
    </w:pPr>
    <w:rPr>
      <w:rFonts w:eastAsia="Calibri Light" w:cs="Calibri Light"/>
      <w:b/>
      <w:sz w:val="32"/>
      <w:szCs w:val="32"/>
    </w:rPr>
  </w:style>
  <w:style w:type="paragraph" w:styleId="Nadpis2">
    <w:name w:val="heading 2"/>
    <w:basedOn w:val="Normln"/>
    <w:next w:val="Normln"/>
    <w:qFormat/>
    <w:pPr>
      <w:keepNext/>
      <w:keepLines/>
      <w:spacing w:before="40" w:after="0"/>
      <w:outlineLvl w:val="1"/>
    </w:pPr>
    <w:rPr>
      <w:rFonts w:eastAsia="Calibri Light" w:cs="Calibri Light"/>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pPr>
      <w:ind w:left="720"/>
      <w:contextualSpacing/>
    </w:pPr>
  </w:style>
  <w:style w:type="paragraph" w:styleId="Textbubliny">
    <w:name w:val="Balloon Text"/>
    <w:basedOn w:val="Normln"/>
    <w:qFormat/>
    <w:pPr>
      <w:spacing w:after="0" w:line="240" w:lineRule="auto"/>
    </w:pPr>
    <w:rPr>
      <w:rFonts w:ascii="Segoe UI" w:hAnsi="Segoe UI" w:cs="Segoe UI"/>
      <w:sz w:val="18"/>
      <w:szCs w:val="18"/>
    </w:rPr>
  </w:style>
  <w:style w:type="paragraph" w:customStyle="1" w:styleId="Textkomente1">
    <w:name w:val="Text komentáře1"/>
    <w:basedOn w:val="Normln"/>
    <w:qFormat/>
    <w:pPr>
      <w:spacing w:line="240" w:lineRule="auto"/>
    </w:pPr>
    <w:rPr>
      <w:sz w:val="20"/>
      <w:szCs w:val="20"/>
    </w:rPr>
  </w:style>
  <w:style w:type="paragraph" w:customStyle="1" w:styleId="Pedmtkomente1">
    <w:name w:val="Předmět komentáře1"/>
    <w:basedOn w:val="Textkomente1"/>
    <w:next w:val="Textkomente1"/>
    <w:qFormat/>
    <w:rPr>
      <w:b/>
      <w:bCs/>
    </w:rPr>
  </w:style>
  <w:style w:type="paragraph" w:customStyle="1" w:styleId="Revize1">
    <w:name w:val="Revize1"/>
    <w:qFormat/>
    <w:pPr>
      <w:spacing w:after="0" w:line="240" w:lineRule="auto"/>
      <w:jc w:val="left"/>
    </w:pPr>
    <w:rPr>
      <w:rFonts w:ascii="Cambria" w:hAnsi="Cambria"/>
    </w:rPr>
  </w:style>
  <w:style w:type="character" w:customStyle="1" w:styleId="Heading1Char">
    <w:name w:val="Heading 1 Char"/>
    <w:basedOn w:val="Standardnpsmoodstavce"/>
    <w:rPr>
      <w:rFonts w:ascii="Cambria" w:eastAsia="Calibri Light" w:hAnsi="Cambria" w:cs="Calibri Light"/>
      <w:b/>
      <w:sz w:val="32"/>
      <w:szCs w:val="32"/>
    </w:rPr>
  </w:style>
  <w:style w:type="character" w:customStyle="1" w:styleId="Heading2Char">
    <w:name w:val="Heading 2 Char"/>
    <w:basedOn w:val="Standardnpsmoodstavce"/>
    <w:rPr>
      <w:rFonts w:ascii="Cambria" w:eastAsia="Calibri Light" w:hAnsi="Cambria" w:cs="Calibri Light"/>
      <w:b/>
      <w:sz w:val="26"/>
      <w:szCs w:val="26"/>
    </w:rPr>
  </w:style>
  <w:style w:type="character" w:customStyle="1" w:styleId="BalloonTextChar">
    <w:name w:val="Balloon Text Char"/>
    <w:basedOn w:val="Standardnpsmoodstavce"/>
    <w:rPr>
      <w:rFonts w:ascii="Segoe UI" w:hAnsi="Segoe UI" w:cs="Segoe UI"/>
      <w:sz w:val="18"/>
      <w:szCs w:val="18"/>
    </w:rPr>
  </w:style>
  <w:style w:type="character" w:customStyle="1" w:styleId="Odkaznakoment1">
    <w:name w:val="Odkaz na komentář1"/>
    <w:basedOn w:val="Standardnpsmoodstavce"/>
    <w:rPr>
      <w:sz w:val="16"/>
      <w:szCs w:val="16"/>
    </w:rPr>
  </w:style>
  <w:style w:type="character" w:customStyle="1" w:styleId="CommentTextChar">
    <w:name w:val="Comment Text Char"/>
    <w:basedOn w:val="Standardnpsmoodstavce"/>
    <w:rPr>
      <w:rFonts w:ascii="Cambria" w:hAnsi="Cambria"/>
      <w:sz w:val="20"/>
      <w:szCs w:val="20"/>
    </w:rPr>
  </w:style>
  <w:style w:type="character" w:customStyle="1" w:styleId="CommentSubjectChar">
    <w:name w:val="Comment Subject Char"/>
    <w:basedOn w:val="CommentTextChar"/>
    <w:rPr>
      <w:rFonts w:ascii="Cambria" w:hAnsi="Cambria"/>
      <w:b/>
      <w:bCs/>
      <w:sz w:val="20"/>
      <w:szCs w:val="20"/>
    </w:rPr>
  </w:style>
  <w:style w:type="table" w:styleId="Mkatabulky">
    <w:name w:val="Table Grid"/>
    <w:basedOn w:val="Normlntabulka"/>
    <w:uiPriority w:val="5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libri Light"/>
        <a:cs typeface="Calibri Light"/>
      </a:majorFont>
      <a:minorFont>
        <a:latin typeface="Cambria"/>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11510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Liška</dc:creator>
  <cp:keywords/>
  <dc:description/>
  <cp:lastModifiedBy>Jaroslava Marešová</cp:lastModifiedBy>
  <cp:revision>2</cp:revision>
  <cp:lastPrinted>2022-06-30T10:39:00Z</cp:lastPrinted>
  <dcterms:created xsi:type="dcterms:W3CDTF">2022-07-01T13:26:00Z</dcterms:created>
  <dcterms:modified xsi:type="dcterms:W3CDTF">2022-07-01T13:26:00Z</dcterms:modified>
</cp:coreProperties>
</file>