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2CAFD" w14:textId="77777777" w:rsidR="00046680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b/>
          <w:szCs w:val="24"/>
          <w:lang w:eastAsia="en-US"/>
        </w:rPr>
      </w:pPr>
      <w:bookmarkStart w:id="0" w:name="_GoBack"/>
      <w:bookmarkEnd w:id="0"/>
      <w:r w:rsidRPr="00046680">
        <w:rPr>
          <w:rFonts w:ascii="Arial" w:eastAsiaTheme="minorHAnsi" w:hAnsi="Arial" w:cs="Arial"/>
          <w:b/>
          <w:szCs w:val="24"/>
          <w:lang w:eastAsia="en-US"/>
        </w:rPr>
        <w:t xml:space="preserve">Dodatek č. </w:t>
      </w:r>
      <w:r w:rsidR="00C7180F">
        <w:rPr>
          <w:rFonts w:ascii="Arial" w:eastAsiaTheme="minorHAnsi" w:hAnsi="Arial" w:cs="Arial"/>
          <w:b/>
          <w:szCs w:val="24"/>
          <w:lang w:eastAsia="en-US"/>
        </w:rPr>
        <w:t>7</w:t>
      </w:r>
    </w:p>
    <w:p w14:paraId="1EA20874" w14:textId="77777777" w:rsidR="00C7180F" w:rsidRDefault="00046680" w:rsidP="001C2C3D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MT" w:eastAsiaTheme="minorHAnsi" w:hAnsi="ArialMT" w:cs="ArialMT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ke Smlouvě 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>č.</w:t>
      </w:r>
      <w:r w:rsidR="009A37EC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9A37EC" w:rsidRPr="008E6668">
        <w:rPr>
          <w:rFonts w:ascii="Arial" w:hAnsi="Arial" w:cs="Arial"/>
          <w:b/>
          <w:sz w:val="20"/>
        </w:rPr>
        <w:t>1900</w:t>
      </w:r>
      <w:r w:rsidR="007633F8" w:rsidRPr="008E6668">
        <w:rPr>
          <w:rFonts w:ascii="Arial" w:hAnsi="Arial" w:cs="Arial"/>
          <w:b/>
          <w:sz w:val="20"/>
        </w:rPr>
        <w:t>375</w:t>
      </w:r>
      <w:r w:rsidR="009A37EC" w:rsidRPr="008E6668">
        <w:rPr>
          <w:rFonts w:ascii="Arial" w:hAnsi="Arial" w:cs="Arial"/>
          <w:b/>
          <w:sz w:val="20"/>
        </w:rPr>
        <w:t>/4100055</w:t>
      </w:r>
      <w:r w:rsidR="007633F8" w:rsidRPr="008E6668">
        <w:rPr>
          <w:rFonts w:ascii="Arial" w:hAnsi="Arial" w:cs="Arial"/>
          <w:b/>
          <w:sz w:val="20"/>
        </w:rPr>
        <w:t>210</w:t>
      </w:r>
      <w:r w:rsidR="00867116" w:rsidRPr="008E6668">
        <w:rPr>
          <w:rFonts w:ascii="Arial" w:eastAsiaTheme="minorHAnsi" w:hAnsi="Arial" w:cs="Arial"/>
          <w:b/>
          <w:sz w:val="20"/>
          <w:lang w:eastAsia="en-US"/>
        </w:rPr>
        <w:t xml:space="preserve"> </w:t>
      </w:r>
      <w:r w:rsidR="007633F8" w:rsidRPr="008E6668">
        <w:rPr>
          <w:rFonts w:ascii="Arial" w:hAnsi="Arial" w:cs="Arial"/>
          <w:b/>
          <w:bCs/>
          <w:sz w:val="20"/>
        </w:rPr>
        <w:t>o</w:t>
      </w:r>
      <w:r w:rsidR="009A37EC" w:rsidRPr="008E6668">
        <w:rPr>
          <w:rFonts w:ascii="Arial" w:hAnsi="Arial" w:cs="Arial"/>
          <w:b/>
          <w:bCs/>
          <w:sz w:val="20"/>
        </w:rPr>
        <w:t xml:space="preserve"> poskytování </w:t>
      </w:r>
      <w:r w:rsidR="007633F8" w:rsidRPr="008E6668">
        <w:rPr>
          <w:rFonts w:ascii="Arial" w:hAnsi="Arial" w:cs="Arial"/>
          <w:b/>
          <w:bCs/>
          <w:sz w:val="20"/>
        </w:rPr>
        <w:t>datových komunikačních</w:t>
      </w:r>
      <w:r w:rsidR="009A37EC" w:rsidRPr="008E6668">
        <w:rPr>
          <w:rFonts w:ascii="Arial" w:hAnsi="Arial" w:cs="Arial"/>
          <w:b/>
          <w:sz w:val="20"/>
        </w:rPr>
        <w:t xml:space="preserve"> služ</w:t>
      </w:r>
      <w:r w:rsidR="007633F8" w:rsidRPr="008E6668">
        <w:rPr>
          <w:rFonts w:ascii="Arial" w:hAnsi="Arial" w:cs="Arial"/>
          <w:b/>
          <w:sz w:val="20"/>
        </w:rPr>
        <w:t>eb</w:t>
      </w:r>
      <w:r w:rsidR="009A37EC" w:rsidRPr="008E6668">
        <w:rPr>
          <w:rFonts w:ascii="Arial" w:hAnsi="Arial" w:cs="Arial"/>
          <w:b/>
          <w:bCs/>
          <w:sz w:val="20"/>
        </w:rPr>
        <w:t xml:space="preserve"> </w:t>
      </w:r>
      <w:r w:rsidR="00585801" w:rsidRPr="008E6668">
        <w:rPr>
          <w:rFonts w:ascii="Arial" w:eastAsiaTheme="minorHAnsi" w:hAnsi="Arial" w:cs="Arial"/>
          <w:sz w:val="20"/>
          <w:lang w:eastAsia="en-US"/>
        </w:rPr>
        <w:t>uzavřené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dne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 xml:space="preserve"> 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mezi níže uvedenými smluvními stranami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,</w:t>
      </w:r>
      <w:r w:rsidR="00465D67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ve znění Dodatku č. 1</w:t>
      </w:r>
      <w:r w:rsidR="00C7180F">
        <w:rPr>
          <w:rFonts w:ascii="Arial" w:eastAsiaTheme="minorHAnsi" w:hAnsi="Arial" w:cs="Arial"/>
          <w:sz w:val="20"/>
          <w:lang w:eastAsia="en-US"/>
        </w:rPr>
        <w:t xml:space="preserve"> </w:t>
      </w:r>
      <w:r w:rsidR="00C7180F">
        <w:rPr>
          <w:rFonts w:ascii="ArialMT" w:eastAsiaTheme="minorHAnsi" w:hAnsi="ArialMT" w:cs="ArialMT"/>
          <w:sz w:val="20"/>
          <w:lang w:eastAsia="en-US"/>
        </w:rPr>
        <w:t>ze dne 30. 6. 2020, Dodatku č. 2 ze dne 30. 6. 2020, Dodatku č. 3 ze dne 11. 9. 2020, Dodatku č. 4 ze dne 13. 11. 2020, Dodatku č. 5 ze dne 1. 12. 2020 a Dodatku č. 6 ze dne 18. 3. 2021</w:t>
      </w:r>
    </w:p>
    <w:p w14:paraId="492B1AFD" w14:textId="77777777" w:rsidR="00046680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Smlouva</w:t>
      </w:r>
      <w:r w:rsidRPr="008E6668">
        <w:rPr>
          <w:rFonts w:ascii="Arial" w:eastAsiaTheme="minorHAnsi" w:hAnsi="Arial" w:cs="Arial"/>
          <w:sz w:val="20"/>
          <w:lang w:eastAsia="en-US"/>
        </w:rPr>
        <w:t>” a „</w:t>
      </w:r>
      <w:r w:rsidRPr="008E6668">
        <w:rPr>
          <w:rFonts w:ascii="Arial" w:eastAsiaTheme="minorHAnsi" w:hAnsi="Arial" w:cs="Arial"/>
          <w:b/>
          <w:sz w:val="20"/>
          <w:lang w:eastAsia="en-US"/>
        </w:rPr>
        <w:t xml:space="preserve">Dodatek č. </w:t>
      </w:r>
      <w:r w:rsidR="00C7180F">
        <w:rPr>
          <w:rFonts w:ascii="Arial" w:eastAsiaTheme="minorHAnsi" w:hAnsi="Arial" w:cs="Arial"/>
          <w:b/>
          <w:sz w:val="20"/>
          <w:lang w:eastAsia="en-US"/>
        </w:rPr>
        <w:t>7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15B73561" w14:textId="77777777" w:rsidR="002F038C" w:rsidRDefault="002F038C" w:rsidP="001C2C3D">
      <w:pPr>
        <w:spacing w:before="120" w:after="120" w:line="276" w:lineRule="auto"/>
        <w:jc w:val="center"/>
        <w:rPr>
          <w:rFonts w:ascii="Arial" w:eastAsiaTheme="minorHAnsi" w:hAnsi="Arial" w:cs="Arial"/>
          <w:sz w:val="20"/>
          <w:lang w:eastAsia="en-US"/>
        </w:rPr>
      </w:pPr>
      <w:bookmarkStart w:id="1" w:name="_Hlk43719484"/>
      <w:r>
        <w:rPr>
          <w:rFonts w:ascii="Arial" w:eastAsiaTheme="minorHAnsi" w:hAnsi="Arial" w:cs="Arial"/>
          <w:sz w:val="20"/>
          <w:lang w:eastAsia="en-US"/>
        </w:rPr>
        <w:t>ID VZ:</w:t>
      </w:r>
      <w:r w:rsidR="000973BF">
        <w:rPr>
          <w:rFonts w:ascii="Arial" w:eastAsiaTheme="minorHAnsi" w:hAnsi="Arial" w:cs="Arial"/>
          <w:sz w:val="20"/>
          <w:lang w:eastAsia="en-US"/>
        </w:rPr>
        <w:t xml:space="preserve"> </w:t>
      </w:r>
      <w:r w:rsidR="00DB0B60" w:rsidRPr="001C2C3D">
        <w:rPr>
          <w:rFonts w:ascii="Arial" w:hAnsi="Arial" w:cs="Arial"/>
          <w:b/>
          <w:bCs/>
          <w:kern w:val="32"/>
          <w:sz w:val="20"/>
        </w:rPr>
        <w:t>2200257</w:t>
      </w:r>
    </w:p>
    <w:bookmarkEnd w:id="1"/>
    <w:p w14:paraId="30877912" w14:textId="77777777" w:rsidR="008E6668" w:rsidRDefault="008E6668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583C6F2B" w14:textId="77777777" w:rsidR="00046680" w:rsidRPr="008E6668" w:rsidRDefault="00046680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  <w:r w:rsidRPr="008E6668">
        <w:rPr>
          <w:rFonts w:ascii="Arial" w:eastAsia="Calibri" w:hAnsi="Arial" w:cs="Arial"/>
          <w:b/>
          <w:sz w:val="20"/>
          <w:lang w:eastAsia="en-US"/>
        </w:rPr>
        <w:t>Smluvní strany:</w:t>
      </w:r>
    </w:p>
    <w:p w14:paraId="2181B757" w14:textId="77777777" w:rsidR="00046680" w:rsidRPr="008E6668" w:rsidRDefault="00046680" w:rsidP="001C2C3D">
      <w:pPr>
        <w:tabs>
          <w:tab w:val="num" w:pos="2880"/>
        </w:tabs>
        <w:spacing w:before="120" w:after="120" w:line="276" w:lineRule="auto"/>
        <w:ind w:left="284" w:hanging="284"/>
        <w:contextualSpacing/>
        <w:rPr>
          <w:rFonts w:ascii="Arial" w:eastAsia="Calibri" w:hAnsi="Arial" w:cs="Arial"/>
          <w:b/>
          <w:sz w:val="20"/>
          <w:lang w:eastAsia="en-US"/>
        </w:rPr>
      </w:pPr>
    </w:p>
    <w:p w14:paraId="08633B9B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Všeobecná zdravotní pojišťovna České republiky</w:t>
      </w:r>
      <w:r w:rsidRPr="008E6668">
        <w:rPr>
          <w:rFonts w:ascii="Arial" w:eastAsiaTheme="minorHAnsi" w:hAnsi="Arial" w:cs="Arial"/>
          <w:sz w:val="20"/>
          <w:lang w:eastAsia="en-US"/>
        </w:rPr>
        <w:br/>
      </w:r>
      <w:r w:rsidRPr="008E6668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 xml:space="preserve">Orlická </w:t>
      </w:r>
      <w:r w:rsidR="00770505" w:rsidRPr="008E6668">
        <w:rPr>
          <w:rFonts w:ascii="Arial" w:eastAsia="Calibri" w:hAnsi="Arial" w:cs="Arial"/>
          <w:sz w:val="20"/>
          <w:lang w:eastAsia="en-US"/>
        </w:rPr>
        <w:t>2020/</w:t>
      </w:r>
      <w:r w:rsidRPr="008E6668">
        <w:rPr>
          <w:rFonts w:ascii="Arial" w:eastAsia="Calibri" w:hAnsi="Arial" w:cs="Arial"/>
          <w:sz w:val="20"/>
          <w:lang w:eastAsia="en-US"/>
        </w:rPr>
        <w:t>4, 130 00 Praha 3</w:t>
      </w:r>
    </w:p>
    <w:p w14:paraId="61F26938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 xml:space="preserve">kterou zastupuje: </w:t>
      </w:r>
      <w:r w:rsidRPr="008E6668">
        <w:rPr>
          <w:rFonts w:ascii="Arial" w:eastAsia="Calibri" w:hAnsi="Arial" w:cs="Arial"/>
          <w:sz w:val="20"/>
          <w:lang w:eastAsia="en-US"/>
        </w:rPr>
        <w:tab/>
        <w:t>Ing. Zdeněk Kabátek, ředitel VZP ČR</w:t>
      </w:r>
    </w:p>
    <w:p w14:paraId="2BBB873A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IČO: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411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97</w:t>
      </w:r>
      <w:r w:rsidR="008E6668">
        <w:rPr>
          <w:rFonts w:ascii="Arial" w:eastAsia="Calibri" w:hAnsi="Arial" w:cs="Arial"/>
          <w:sz w:val="20"/>
          <w:lang w:eastAsia="en-US"/>
        </w:rPr>
        <w:t xml:space="preserve"> </w:t>
      </w:r>
      <w:r w:rsidRPr="008E6668">
        <w:rPr>
          <w:rFonts w:ascii="Arial" w:eastAsia="Calibri" w:hAnsi="Arial" w:cs="Arial"/>
          <w:sz w:val="20"/>
          <w:lang w:eastAsia="en-US"/>
        </w:rPr>
        <w:t>518</w:t>
      </w:r>
    </w:p>
    <w:p w14:paraId="543F758A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DIČ: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  <w:t>CZ41197518</w:t>
      </w:r>
    </w:p>
    <w:p w14:paraId="218D1530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bankovní spojení:</w:t>
      </w:r>
      <w:r w:rsidRPr="008E6668">
        <w:rPr>
          <w:rFonts w:ascii="Arial" w:eastAsia="Calibri" w:hAnsi="Arial" w:cs="Arial"/>
          <w:sz w:val="20"/>
          <w:lang w:eastAsia="en-US"/>
        </w:rPr>
        <w:tab/>
        <w:t>Česká národní banka, Praha 1, Na Příkopě 28</w:t>
      </w:r>
    </w:p>
    <w:p w14:paraId="3C72950D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číslo účtu:</w:t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Pr="008E6668">
        <w:rPr>
          <w:rFonts w:ascii="Arial" w:eastAsia="Calibri" w:hAnsi="Arial" w:cs="Arial"/>
          <w:sz w:val="20"/>
          <w:lang w:eastAsia="en-US"/>
        </w:rPr>
        <w:tab/>
      </w:r>
      <w:r w:rsidR="00E1615E" w:rsidRPr="008E6668">
        <w:rPr>
          <w:rFonts w:ascii="Arial" w:eastAsia="Calibri" w:hAnsi="Arial" w:cs="Arial"/>
          <w:sz w:val="20"/>
          <w:lang w:eastAsia="en-US"/>
        </w:rPr>
        <w:t>1110205001/0710</w:t>
      </w:r>
      <w:r w:rsidR="00853792">
        <w:rPr>
          <w:rFonts w:ascii="Arial" w:eastAsia="Calibri" w:hAnsi="Arial" w:cs="Arial"/>
          <w:sz w:val="20"/>
          <w:lang w:eastAsia="en-US"/>
        </w:rPr>
        <w:t xml:space="preserve">, </w:t>
      </w:r>
      <w:r w:rsidR="00853792">
        <w:rPr>
          <w:rFonts w:ascii="Helvetica" w:eastAsiaTheme="minorHAnsi" w:hAnsi="Helvetica" w:cs="Helvetica"/>
          <w:sz w:val="20"/>
          <w:lang w:eastAsia="en-US"/>
        </w:rPr>
        <w:t>1114003001/0710</w:t>
      </w:r>
    </w:p>
    <w:p w14:paraId="12CCD98F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="Calibri" w:hAnsi="Arial" w:cs="Arial"/>
          <w:sz w:val="20"/>
          <w:lang w:eastAsia="en-US"/>
        </w:rPr>
        <w:t>zřízena zákonem č. 551/1991 Sb., o Všeobecné zdravotní pojišťovně České republiky, ve znění pozdějších předpisů</w:t>
      </w:r>
    </w:p>
    <w:p w14:paraId="57C30183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770505" w:rsidRPr="00CF072A">
        <w:rPr>
          <w:rFonts w:ascii="Arial" w:eastAsiaTheme="minorHAnsi" w:hAnsi="Arial" w:cs="Arial"/>
          <w:b/>
          <w:sz w:val="20"/>
          <w:lang w:eastAsia="en-US"/>
        </w:rPr>
        <w:t>Objednatel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“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nebo „</w:t>
      </w:r>
      <w:r w:rsidR="00770505" w:rsidRPr="00CF072A">
        <w:rPr>
          <w:rFonts w:ascii="Arial" w:eastAsiaTheme="minorHAnsi" w:hAnsi="Arial" w:cs="Arial"/>
          <w:b/>
          <w:sz w:val="20"/>
          <w:lang w:eastAsia="en-US"/>
        </w:rPr>
        <w:t>VZP ČR</w:t>
      </w:r>
      <w:r w:rsidR="00770505"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6F1DF220" w14:textId="77777777" w:rsidR="00046680" w:rsidRPr="008E6668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a</w:t>
      </w:r>
    </w:p>
    <w:p w14:paraId="6ADEB946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b/>
          <w:sz w:val="20"/>
          <w:lang w:eastAsia="en-US"/>
        </w:rPr>
      </w:pPr>
      <w:r w:rsidRPr="00CF072A">
        <w:rPr>
          <w:rFonts w:ascii="Arial" w:eastAsia="Calibri" w:hAnsi="Arial" w:cs="Arial"/>
          <w:b/>
          <w:sz w:val="20"/>
          <w:lang w:eastAsia="en-US"/>
        </w:rPr>
        <w:t>ha-vel internet s.r.o.</w:t>
      </w:r>
    </w:p>
    <w:p w14:paraId="7D7691CF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se sídlem: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Olešní 587/11a, 712 00 Ostrava Muglinov</w:t>
      </w:r>
    </w:p>
    <w:p w14:paraId="48C4BB3E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>kterou zastupuje:</w:t>
      </w:r>
      <w:r w:rsidRPr="00CF072A">
        <w:rPr>
          <w:rFonts w:ascii="Arial" w:eastAsia="Calibri" w:hAnsi="Arial" w:cs="Arial"/>
          <w:sz w:val="20"/>
          <w:lang w:eastAsia="en-US"/>
        </w:rPr>
        <w:tab/>
        <w:t>Ing. Pavel Halfar, jednatel</w:t>
      </w:r>
    </w:p>
    <w:p w14:paraId="3E501BE8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IČO: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253</w:t>
      </w:r>
      <w:r w:rsidR="002103DF" w:rsidRPr="00CF072A">
        <w:rPr>
          <w:rFonts w:ascii="Arial" w:eastAsia="Calibri" w:hAnsi="Arial" w:cs="Arial"/>
          <w:sz w:val="20"/>
          <w:lang w:eastAsia="en-US"/>
        </w:rPr>
        <w:t xml:space="preserve"> </w:t>
      </w:r>
      <w:r w:rsidRPr="00CF072A">
        <w:rPr>
          <w:rFonts w:ascii="Arial" w:eastAsia="Calibri" w:hAnsi="Arial" w:cs="Arial"/>
          <w:sz w:val="20"/>
          <w:lang w:eastAsia="en-US"/>
        </w:rPr>
        <w:t>54</w:t>
      </w:r>
      <w:r w:rsidR="002103DF" w:rsidRPr="00CF072A">
        <w:rPr>
          <w:rFonts w:ascii="Arial" w:eastAsia="Calibri" w:hAnsi="Arial" w:cs="Arial"/>
          <w:sz w:val="20"/>
          <w:lang w:eastAsia="en-US"/>
        </w:rPr>
        <w:t xml:space="preserve"> </w:t>
      </w:r>
      <w:r w:rsidRPr="00CF072A">
        <w:rPr>
          <w:rFonts w:ascii="Arial" w:eastAsia="Calibri" w:hAnsi="Arial" w:cs="Arial"/>
          <w:sz w:val="20"/>
          <w:lang w:eastAsia="en-US"/>
        </w:rPr>
        <w:t>973</w:t>
      </w:r>
    </w:p>
    <w:p w14:paraId="224B59B7" w14:textId="77777777" w:rsidR="00862B3E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 xml:space="preserve">DIČ: </w:t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</w:r>
      <w:r w:rsidRPr="00CF072A">
        <w:rPr>
          <w:rFonts w:ascii="Arial" w:eastAsia="Calibri" w:hAnsi="Arial" w:cs="Arial"/>
          <w:sz w:val="20"/>
          <w:lang w:eastAsia="en-US"/>
        </w:rPr>
        <w:tab/>
        <w:t>CZ25354973</w:t>
      </w:r>
    </w:p>
    <w:p w14:paraId="3F062408" w14:textId="24D99AC4" w:rsidR="002F568B" w:rsidRPr="002F568B" w:rsidRDefault="002F568B" w:rsidP="001C2C3D">
      <w:pPr>
        <w:spacing w:before="120" w:after="120" w:line="276" w:lineRule="auto"/>
        <w:contextualSpacing/>
        <w:jc w:val="left"/>
        <w:rPr>
          <w:rFonts w:ascii="Arial" w:hAnsi="Arial" w:cs="Arial"/>
          <w:sz w:val="20"/>
        </w:rPr>
      </w:pPr>
      <w:r w:rsidRPr="002F568B">
        <w:rPr>
          <w:rFonts w:ascii="Arial" w:hAnsi="Arial" w:cs="Arial"/>
          <w:sz w:val="20"/>
        </w:rPr>
        <w:t xml:space="preserve">bankovní spojení: </w:t>
      </w:r>
      <w:r w:rsidRPr="002F568B">
        <w:rPr>
          <w:rFonts w:ascii="Arial" w:hAnsi="Arial" w:cs="Arial"/>
          <w:sz w:val="20"/>
        </w:rPr>
        <w:tab/>
        <w:t xml:space="preserve">Komerční banka, a.s. </w:t>
      </w:r>
    </w:p>
    <w:p w14:paraId="6660A653" w14:textId="3692B742" w:rsidR="002F568B" w:rsidRPr="002F568B" w:rsidRDefault="002F568B" w:rsidP="001C2C3D">
      <w:pPr>
        <w:spacing w:before="120" w:after="120" w:line="276" w:lineRule="auto"/>
        <w:contextualSpacing/>
        <w:jc w:val="left"/>
        <w:rPr>
          <w:rFonts w:ascii="Arial" w:hAnsi="Arial" w:cs="Arial"/>
          <w:sz w:val="20"/>
        </w:rPr>
      </w:pPr>
      <w:r w:rsidRPr="002F568B">
        <w:rPr>
          <w:rFonts w:ascii="Arial" w:hAnsi="Arial" w:cs="Arial"/>
          <w:sz w:val="20"/>
        </w:rPr>
        <w:t xml:space="preserve">číslo účtu: </w:t>
      </w:r>
      <w:r w:rsidRPr="002F568B">
        <w:rPr>
          <w:rFonts w:ascii="Arial" w:hAnsi="Arial" w:cs="Arial"/>
          <w:sz w:val="20"/>
        </w:rPr>
        <w:tab/>
      </w:r>
      <w:r w:rsidRPr="002F568B">
        <w:rPr>
          <w:rFonts w:ascii="Arial" w:hAnsi="Arial" w:cs="Arial"/>
          <w:sz w:val="20"/>
        </w:rPr>
        <w:tab/>
        <w:t xml:space="preserve">8888888888/0100 </w:t>
      </w:r>
    </w:p>
    <w:p w14:paraId="7D3E70B0" w14:textId="69A126F6" w:rsidR="00046680" w:rsidRPr="00CF072A" w:rsidRDefault="00862B3E" w:rsidP="001C2C3D">
      <w:pPr>
        <w:spacing w:before="120" w:after="120" w:line="276" w:lineRule="auto"/>
        <w:contextualSpacing/>
        <w:jc w:val="left"/>
        <w:rPr>
          <w:rFonts w:ascii="Arial" w:eastAsia="Calibri" w:hAnsi="Arial" w:cs="Arial"/>
          <w:sz w:val="20"/>
          <w:lang w:eastAsia="en-US"/>
        </w:rPr>
      </w:pPr>
      <w:r w:rsidRPr="00CF072A">
        <w:rPr>
          <w:rFonts w:ascii="Arial" w:eastAsia="Calibri" w:hAnsi="Arial" w:cs="Arial"/>
          <w:sz w:val="20"/>
          <w:lang w:eastAsia="en-US"/>
        </w:rPr>
        <w:t>zapsaná v obchodním rejstříku vedeném Krajským soudem v Ostravě, oddíl C, vložka 9719</w:t>
      </w:r>
      <w:r w:rsidR="00046680" w:rsidRPr="008E6668">
        <w:rPr>
          <w:rFonts w:ascii="Arial" w:eastAsia="Calibri" w:hAnsi="Arial" w:cs="Arial"/>
          <w:sz w:val="20"/>
          <w:lang w:eastAsia="en-US"/>
        </w:rPr>
        <w:br/>
      </w:r>
    </w:p>
    <w:p w14:paraId="5F75F96F" w14:textId="77777777" w:rsidR="00046680" w:rsidRPr="008E6668" w:rsidRDefault="00046680" w:rsidP="001C2C3D">
      <w:pPr>
        <w:spacing w:before="120" w:after="120" w:line="276" w:lineRule="auto"/>
        <w:contextualSpacing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(dále jen „</w:t>
      </w:r>
      <w:r w:rsidR="00C3494F" w:rsidRPr="008E6668">
        <w:rPr>
          <w:rFonts w:ascii="Arial" w:eastAsiaTheme="minorHAnsi" w:hAnsi="Arial" w:cs="Arial"/>
          <w:b/>
          <w:sz w:val="20"/>
          <w:lang w:eastAsia="en-US"/>
        </w:rPr>
        <w:t>Poskytovatel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4BEF0DEF" w14:textId="77777777" w:rsidR="0090518E" w:rsidRDefault="00046680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(společně též „</w:t>
      </w:r>
      <w:r w:rsidR="00236283" w:rsidRPr="008E6668">
        <w:rPr>
          <w:rFonts w:ascii="Arial" w:eastAsiaTheme="minorHAnsi" w:hAnsi="Arial" w:cs="Arial"/>
          <w:b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b/>
          <w:sz w:val="20"/>
          <w:lang w:eastAsia="en-US"/>
        </w:rPr>
        <w:t>mluvní strany</w:t>
      </w:r>
      <w:r w:rsidRPr="008E6668">
        <w:rPr>
          <w:rFonts w:ascii="Arial" w:eastAsiaTheme="minorHAnsi" w:hAnsi="Arial" w:cs="Arial"/>
          <w:sz w:val="20"/>
          <w:lang w:eastAsia="en-US"/>
        </w:rPr>
        <w:t>“)</w:t>
      </w:r>
    </w:p>
    <w:p w14:paraId="2CF67845" w14:textId="77777777" w:rsidR="00046680" w:rsidRPr="008E6668" w:rsidRDefault="00046680" w:rsidP="001C2C3D">
      <w:pPr>
        <w:spacing w:before="120"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Preambule</w:t>
      </w:r>
    </w:p>
    <w:p w14:paraId="0670BEDE" w14:textId="77777777" w:rsidR="00250248" w:rsidRDefault="00046680" w:rsidP="001C2C3D">
      <w:pPr>
        <w:spacing w:before="120" w:after="120" w:line="276" w:lineRule="auto"/>
        <w:ind w:left="360"/>
        <w:rPr>
          <w:rFonts w:ascii="Arial" w:eastAsiaTheme="minorHAnsi" w:hAnsi="Arial" w:cs="Arial"/>
          <w:sz w:val="20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Předmětná Smlouva byla uzavřena mezi výše uvedenými </w:t>
      </w:r>
      <w:r w:rsidR="00E62B71" w:rsidRPr="008E6668">
        <w:rPr>
          <w:rFonts w:ascii="Arial" w:eastAsiaTheme="minorHAnsi" w:hAnsi="Arial" w:cs="Arial"/>
          <w:sz w:val="20"/>
          <w:lang w:eastAsia="en-US"/>
        </w:rPr>
        <w:t>S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mluvními stranami dne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26. 3. 2020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 účinností od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1. 4. 2020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 xml:space="preserve"> na základě 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otevřeného zadávacího řízení na nadlimitní veř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>ejnou zakázku s </w:t>
      </w:r>
      <w:r w:rsidR="00862B3E" w:rsidRPr="008E6668">
        <w:rPr>
          <w:rFonts w:ascii="Arial" w:eastAsiaTheme="minorHAnsi" w:hAnsi="Arial" w:cs="Arial"/>
          <w:sz w:val="20"/>
          <w:lang w:eastAsia="en-US"/>
        </w:rPr>
        <w:t>názvem „Datové služby VZP ČR II.“, evidovanou VZP ČR pod číslem ID VZ: 1900375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(dále též jen „Původní VZ“)</w:t>
      </w:r>
      <w:r w:rsidR="009A37EC" w:rsidRPr="008E6668">
        <w:rPr>
          <w:rFonts w:ascii="Arial" w:eastAsiaTheme="minorHAnsi" w:hAnsi="Arial" w:cs="Arial"/>
          <w:sz w:val="20"/>
          <w:lang w:eastAsia="en-US"/>
        </w:rPr>
        <w:t>.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8E6668">
        <w:rPr>
          <w:rFonts w:ascii="Arial" w:eastAsiaTheme="minorHAnsi" w:hAnsi="Arial" w:cs="Arial"/>
          <w:sz w:val="20"/>
        </w:rPr>
        <w:t>Na základě ustanovení čl. XVI.</w:t>
      </w:r>
      <w:r w:rsidR="00CC091E">
        <w:rPr>
          <w:rFonts w:ascii="Arial" w:eastAsiaTheme="minorHAnsi" w:hAnsi="Arial" w:cs="Arial"/>
          <w:sz w:val="20"/>
        </w:rPr>
        <w:t>,</w:t>
      </w:r>
      <w:r w:rsidR="008E6668" w:rsidRPr="008E6668">
        <w:rPr>
          <w:rFonts w:ascii="Arial" w:eastAsiaTheme="minorHAnsi" w:hAnsi="Arial" w:cs="Arial"/>
          <w:sz w:val="20"/>
        </w:rPr>
        <w:t xml:space="preserve"> odst. 4. Smlouvy uzavírají Smluvní strany ke Smlouvě tento Dodatek č. </w:t>
      </w:r>
      <w:r w:rsidR="00C7180F">
        <w:rPr>
          <w:rFonts w:ascii="Arial" w:eastAsiaTheme="minorHAnsi" w:hAnsi="Arial" w:cs="Arial"/>
          <w:sz w:val="20"/>
        </w:rPr>
        <w:t>7</w:t>
      </w:r>
      <w:r w:rsidR="008E6668" w:rsidRPr="008E6668">
        <w:rPr>
          <w:rFonts w:ascii="Arial" w:eastAsiaTheme="minorHAnsi" w:hAnsi="Arial" w:cs="Arial"/>
          <w:sz w:val="20"/>
        </w:rPr>
        <w:t>.</w:t>
      </w:r>
    </w:p>
    <w:p w14:paraId="2E570F49" w14:textId="77777777" w:rsidR="001C2C3D" w:rsidRPr="008E6668" w:rsidRDefault="001C2C3D" w:rsidP="001C2C3D">
      <w:pPr>
        <w:spacing w:before="120" w:after="120" w:line="276" w:lineRule="auto"/>
        <w:ind w:left="360"/>
        <w:rPr>
          <w:rFonts w:ascii="Arial" w:eastAsiaTheme="minorHAnsi" w:hAnsi="Arial" w:cs="Arial"/>
          <w:sz w:val="20"/>
          <w:lang w:eastAsia="en-US"/>
        </w:rPr>
      </w:pPr>
    </w:p>
    <w:p w14:paraId="5CF225AE" w14:textId="77777777" w:rsidR="00046680" w:rsidRPr="00CF072A" w:rsidRDefault="00824976" w:rsidP="001C2C3D">
      <w:pPr>
        <w:pStyle w:val="Odstavecseseznamem"/>
        <w:numPr>
          <w:ilvl w:val="0"/>
          <w:numId w:val="43"/>
        </w:numPr>
        <w:spacing w:before="120"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CF072A">
        <w:rPr>
          <w:rFonts w:ascii="Arial" w:eastAsiaTheme="minorHAnsi" w:hAnsi="Arial" w:cs="Arial"/>
          <w:b/>
          <w:sz w:val="20"/>
          <w:lang w:eastAsia="en-US"/>
        </w:rPr>
        <w:t>Úvodní ustanovení</w:t>
      </w:r>
    </w:p>
    <w:p w14:paraId="509C6CF6" w14:textId="77777777" w:rsidR="000C461A" w:rsidRDefault="00E37346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>Objednatel si v zadávací dokumentaci k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 Původní VZ vyhradil v souladu s § 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100 odst. 3 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zákona č. 134/2016 Sb., o zadávání veřejných zakázek, ve znění pozdějších předpisů, (dále jen „ZZVZ“) možnost použití jednacího řízení bez uveřejnění dle § 66 ZZVZ pro poskytnutí </w:t>
      </w:r>
      <w:r w:rsidR="0001641F">
        <w:rPr>
          <w:rFonts w:ascii="Arial" w:eastAsiaTheme="minorHAnsi" w:hAnsi="Arial" w:cs="Arial"/>
          <w:sz w:val="20"/>
          <w:lang w:eastAsia="en-US"/>
        </w:rPr>
        <w:t>služeb ve smyslu čl. III. Smlouvy</w:t>
      </w:r>
      <w:r w:rsidR="00715985" w:rsidRPr="008E6668">
        <w:rPr>
          <w:rFonts w:ascii="Arial" w:eastAsiaTheme="minorHAnsi" w:hAnsi="Arial" w:cs="Arial"/>
          <w:sz w:val="20"/>
          <w:lang w:eastAsia="en-US"/>
        </w:rPr>
        <w:t>.</w:t>
      </w:r>
      <w:r w:rsidR="00E704E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</w:p>
    <w:p w14:paraId="1C0CF0A9" w14:textId="77777777" w:rsidR="00E37346" w:rsidRPr="008E6668" w:rsidRDefault="000C461A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Objednatel si vyhradil právo na poskytování nových Služeb, resp. na změnu poskytování stávajících Služeb. Výhrada změn Služeb byla uvedena v čl. 6.4 Hlavního dokumentu zadávací dokumentace </w:t>
      </w:r>
      <w:r w:rsidRPr="008E6668">
        <w:rPr>
          <w:rFonts w:ascii="Arial" w:eastAsiaTheme="minorHAnsi" w:hAnsi="Arial" w:cs="Arial"/>
          <w:sz w:val="20"/>
          <w:lang w:eastAsia="en-US"/>
        </w:rPr>
        <w:lastRenderedPageBreak/>
        <w:t>a rovněž v čl. IV. odst. 2. Smlouvy. Jednou z vyhrazených změn Služeb je, cit.:</w:t>
      </w:r>
      <w:r w:rsidR="00981DF4">
        <w:rPr>
          <w:rFonts w:ascii="Arial" w:eastAsiaTheme="minorHAnsi" w:hAnsi="Arial" w:cs="Arial"/>
          <w:sz w:val="20"/>
          <w:lang w:eastAsia="en-US"/>
        </w:rPr>
        <w:t xml:space="preserve"> </w:t>
      </w:r>
      <w:r w:rsidRPr="00CF072A">
        <w:rPr>
          <w:rFonts w:ascii="Arial" w:eastAsiaTheme="minorHAnsi" w:hAnsi="Arial" w:cs="Arial"/>
          <w:i/>
          <w:sz w:val="20"/>
          <w:lang w:eastAsia="en-US"/>
        </w:rPr>
        <w:t>„Zrušení stávající Služby a je</w:t>
      </w:r>
      <w:r w:rsidR="00715985" w:rsidRPr="00CF072A">
        <w:rPr>
          <w:rFonts w:ascii="Arial" w:eastAsiaTheme="minorHAnsi" w:hAnsi="Arial" w:cs="Arial"/>
          <w:i/>
          <w:sz w:val="20"/>
          <w:lang w:eastAsia="en-US"/>
        </w:rPr>
        <w:t>jí nahrazení novou Službou, tj. </w:t>
      </w:r>
      <w:r w:rsidRPr="00CF072A">
        <w:rPr>
          <w:rFonts w:ascii="Arial" w:eastAsiaTheme="minorHAnsi" w:hAnsi="Arial" w:cs="Arial"/>
          <w:i/>
          <w:sz w:val="20"/>
          <w:lang w:eastAsia="en-US"/>
        </w:rPr>
        <w:t xml:space="preserve">poskytování Služby vč. zřízení a aktivace Služby a poskytování souvisejících služeb v lokalitě neuvedené v Příloze č. 3 Smlouvy, tj. v případě přemístění pracoviště VZP ČR ze stávající lokality do nové lokality, pro kterou bude Objednatel požadovat poskytování služeb </w:t>
      </w:r>
      <w:bookmarkStart w:id="2" w:name="_Hlk103677134"/>
      <w:r w:rsidRPr="00CF072A">
        <w:rPr>
          <w:rFonts w:ascii="Arial" w:eastAsiaTheme="minorHAnsi" w:hAnsi="Arial" w:cs="Arial"/>
          <w:i/>
          <w:sz w:val="20"/>
          <w:lang w:eastAsia="en-US"/>
        </w:rPr>
        <w:t>dle článku III. Smlouvy</w:t>
      </w:r>
      <w:bookmarkEnd w:id="2"/>
      <w:r w:rsidRPr="00CF072A">
        <w:rPr>
          <w:rFonts w:ascii="Arial" w:eastAsiaTheme="minorHAnsi" w:hAnsi="Arial" w:cs="Arial"/>
          <w:i/>
          <w:sz w:val="20"/>
          <w:lang w:eastAsia="en-US"/>
        </w:rPr>
        <w:t>.</w:t>
      </w:r>
      <w:r w:rsidR="00FE5DE6">
        <w:rPr>
          <w:rFonts w:ascii="Arial" w:eastAsiaTheme="minorHAnsi" w:hAnsi="Arial" w:cs="Arial"/>
          <w:sz w:val="20"/>
          <w:lang w:eastAsia="en-US"/>
        </w:rPr>
        <w:t>“.</w:t>
      </w:r>
    </w:p>
    <w:p w14:paraId="37794E53" w14:textId="77777777" w:rsidR="008E6668" w:rsidRPr="0001641F" w:rsidRDefault="00715985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C7180F">
        <w:rPr>
          <w:rFonts w:ascii="Arial" w:eastAsiaTheme="minorHAnsi" w:hAnsi="Arial" w:cs="Arial"/>
          <w:sz w:val="20"/>
          <w:lang w:eastAsia="en-US"/>
        </w:rPr>
        <w:t>7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uzavírá na základě výsledku veřejné zakázky s názvem „</w:t>
      </w:r>
      <w:r w:rsidR="00C7180F" w:rsidRPr="00C7180F">
        <w:rPr>
          <w:rFonts w:ascii="Arial" w:eastAsiaTheme="minorHAnsi" w:hAnsi="Arial" w:cs="Arial"/>
          <w:sz w:val="20"/>
          <w:lang w:eastAsia="en-US"/>
        </w:rPr>
        <w:t>Dodatek č. 7 ke Smlouvě č. 1900375/4100055210 o poskytování datových komunikačních služeb</w:t>
      </w:r>
      <w:r w:rsidRPr="008E6668">
        <w:rPr>
          <w:rFonts w:ascii="Arial" w:eastAsiaTheme="minorHAnsi" w:hAnsi="Arial" w:cs="Arial"/>
          <w:sz w:val="20"/>
          <w:lang w:eastAsia="en-US"/>
        </w:rPr>
        <w:t>“ evidovan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>é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VZP ČR pod číslem ID VZ</w:t>
      </w:r>
      <w:r w:rsidR="00DB0B60">
        <w:rPr>
          <w:rFonts w:ascii="Arial" w:eastAsiaTheme="minorHAnsi" w:hAnsi="Arial" w:cs="Arial"/>
          <w:sz w:val="20"/>
          <w:lang w:eastAsia="en-US"/>
        </w:rPr>
        <w:t xml:space="preserve"> </w:t>
      </w:r>
      <w:r w:rsidR="00DB0B60" w:rsidRPr="00DB0B60">
        <w:rPr>
          <w:rFonts w:ascii="Arial" w:hAnsi="Arial" w:cs="Arial"/>
          <w:bCs/>
          <w:kern w:val="32"/>
          <w:sz w:val="20"/>
        </w:rPr>
        <w:t>2200257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, zadávané v souladu s ustanovením § 66 ve spojení s § 100 odst. 3 ZZVZ v </w:t>
      </w:r>
      <w:r w:rsidR="0001641F">
        <w:rPr>
          <w:rFonts w:ascii="Arial" w:eastAsiaTheme="minorHAnsi" w:hAnsi="Arial" w:cs="Arial"/>
          <w:sz w:val="20"/>
          <w:lang w:eastAsia="en-US"/>
        </w:rPr>
        <w:t>jednacím</w:t>
      </w:r>
      <w:r w:rsidR="008E6668" w:rsidRPr="008E6668">
        <w:rPr>
          <w:rFonts w:ascii="Arial" w:eastAsiaTheme="minorHAnsi" w:hAnsi="Arial" w:cs="Arial"/>
          <w:sz w:val="20"/>
          <w:lang w:eastAsia="en-US"/>
        </w:rPr>
        <w:t xml:space="preserve"> řízení bez uveřejnění. </w:t>
      </w:r>
    </w:p>
    <w:p w14:paraId="43BE9234" w14:textId="77777777" w:rsidR="00250248" w:rsidRDefault="00E37346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CF072A">
        <w:rPr>
          <w:rFonts w:ascii="Arial" w:eastAsiaTheme="minorHAnsi" w:hAnsi="Arial" w:cs="Arial"/>
          <w:sz w:val="20"/>
          <w:lang w:eastAsia="en-US"/>
        </w:rPr>
        <w:t xml:space="preserve">Pro výše uvedený způsob zadávacího řízení byly splněny </w:t>
      </w:r>
      <w:r w:rsidR="0001641F" w:rsidRPr="00CF072A">
        <w:rPr>
          <w:rFonts w:ascii="Arial" w:eastAsiaTheme="minorHAnsi" w:hAnsi="Arial" w:cs="Arial"/>
          <w:sz w:val="20"/>
          <w:lang w:eastAsia="en-US"/>
        </w:rPr>
        <w:t xml:space="preserve">všechny </w:t>
      </w:r>
      <w:r w:rsidRPr="00CF072A">
        <w:rPr>
          <w:rFonts w:ascii="Arial" w:eastAsiaTheme="minorHAnsi" w:hAnsi="Arial" w:cs="Arial"/>
          <w:sz w:val="20"/>
          <w:lang w:eastAsia="en-US"/>
        </w:rPr>
        <w:t xml:space="preserve">podmínky </w:t>
      </w:r>
      <w:r w:rsidR="0001641F" w:rsidRPr="00CF072A">
        <w:rPr>
          <w:rFonts w:ascii="Arial" w:eastAsiaTheme="minorHAnsi" w:hAnsi="Arial" w:cs="Arial"/>
          <w:sz w:val="20"/>
          <w:lang w:eastAsia="en-US"/>
        </w:rPr>
        <w:t>stanovené v</w:t>
      </w:r>
      <w:r w:rsidRPr="00CF072A">
        <w:rPr>
          <w:rFonts w:ascii="Arial" w:eastAsiaTheme="minorHAnsi" w:hAnsi="Arial" w:cs="Arial"/>
          <w:sz w:val="20"/>
          <w:lang w:eastAsia="en-US"/>
        </w:rPr>
        <w:t xml:space="preserve"> § 66 </w:t>
      </w:r>
      <w:r w:rsidR="0001641F" w:rsidRPr="00CF072A">
        <w:rPr>
          <w:rFonts w:ascii="Arial" w:eastAsiaTheme="minorHAnsi" w:hAnsi="Arial" w:cs="Arial"/>
          <w:sz w:val="20"/>
          <w:lang w:eastAsia="en-US"/>
        </w:rPr>
        <w:t>ZZVZ.</w:t>
      </w:r>
    </w:p>
    <w:p w14:paraId="00FBBCBF" w14:textId="77777777" w:rsidR="001C2C3D" w:rsidRPr="00CF072A" w:rsidRDefault="001C2C3D" w:rsidP="001C2C3D">
      <w:pPr>
        <w:spacing w:before="120"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5484956C" w14:textId="77777777" w:rsidR="00824976" w:rsidRPr="008E6668" w:rsidRDefault="00824976" w:rsidP="001C2C3D">
      <w:pPr>
        <w:pStyle w:val="Odstavecseseznamem"/>
        <w:numPr>
          <w:ilvl w:val="0"/>
          <w:numId w:val="43"/>
        </w:numPr>
        <w:spacing w:before="120"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Předmět plnění</w:t>
      </w:r>
    </w:p>
    <w:p w14:paraId="7D652640" w14:textId="77777777" w:rsidR="00236283" w:rsidRDefault="00A85A9F" w:rsidP="001C2C3D">
      <w:pPr>
        <w:pStyle w:val="Odrazkac"/>
        <w:numPr>
          <w:ilvl w:val="0"/>
          <w:numId w:val="41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01641F">
        <w:rPr>
          <w:rFonts w:ascii="Arial" w:eastAsiaTheme="minorHAnsi" w:hAnsi="Arial" w:cs="Arial"/>
          <w:sz w:val="20"/>
        </w:rPr>
        <w:t xml:space="preserve">Předmětem </w:t>
      </w:r>
      <w:r w:rsidR="00824976" w:rsidRPr="0001641F">
        <w:rPr>
          <w:rFonts w:ascii="Arial" w:eastAsiaTheme="minorHAnsi" w:hAnsi="Arial" w:cs="Arial"/>
          <w:sz w:val="20"/>
        </w:rPr>
        <w:t xml:space="preserve">tohoto Dodatku č. </w:t>
      </w:r>
      <w:r w:rsidR="00C7180F">
        <w:rPr>
          <w:rFonts w:ascii="Arial" w:eastAsiaTheme="minorHAnsi" w:hAnsi="Arial" w:cs="Arial"/>
          <w:sz w:val="20"/>
        </w:rPr>
        <w:t>7</w:t>
      </w:r>
      <w:r w:rsidR="00824976" w:rsidRPr="0001641F">
        <w:rPr>
          <w:rFonts w:ascii="Arial" w:eastAsiaTheme="minorHAnsi" w:hAnsi="Arial" w:cs="Arial"/>
          <w:sz w:val="20"/>
        </w:rPr>
        <w:t xml:space="preserve"> je </w:t>
      </w:r>
      <w:r w:rsidR="0090518E" w:rsidRPr="0001641F">
        <w:rPr>
          <w:rFonts w:ascii="Arial" w:eastAsiaTheme="minorHAnsi" w:hAnsi="Arial" w:cs="Arial"/>
          <w:sz w:val="20"/>
        </w:rPr>
        <w:t xml:space="preserve">zrušení </w:t>
      </w:r>
      <w:r w:rsidR="00824976" w:rsidRPr="0001641F">
        <w:rPr>
          <w:rFonts w:ascii="Arial" w:eastAsiaTheme="minorHAnsi" w:hAnsi="Arial" w:cs="Arial"/>
          <w:sz w:val="20"/>
        </w:rPr>
        <w:t xml:space="preserve">poskytování </w:t>
      </w:r>
      <w:r w:rsidR="00600758" w:rsidRPr="0001641F">
        <w:rPr>
          <w:rFonts w:ascii="Arial" w:eastAsiaTheme="minorHAnsi" w:hAnsi="Arial" w:cs="Arial"/>
          <w:sz w:val="20"/>
        </w:rPr>
        <w:t>S</w:t>
      </w:r>
      <w:r w:rsidRPr="0001641F">
        <w:rPr>
          <w:rFonts w:ascii="Arial" w:eastAsiaTheme="minorHAnsi" w:hAnsi="Arial" w:cs="Arial"/>
          <w:sz w:val="20"/>
        </w:rPr>
        <w:t xml:space="preserve">lužeb v lokalitách </w:t>
      </w:r>
      <w:r w:rsidR="005D7551" w:rsidRPr="009B36F9">
        <w:rPr>
          <w:rFonts w:ascii="Arial" w:hAnsi="Arial"/>
          <w:sz w:val="20"/>
        </w:rPr>
        <w:t xml:space="preserve">S. Čecha </w:t>
      </w:r>
      <w:r w:rsidR="005D7551">
        <w:rPr>
          <w:rFonts w:ascii="Arial" w:hAnsi="Arial"/>
          <w:sz w:val="20"/>
        </w:rPr>
        <w:t>38</w:t>
      </w:r>
      <w:r w:rsidR="005D7551" w:rsidRPr="009B36F9">
        <w:rPr>
          <w:rFonts w:ascii="Arial" w:hAnsi="Arial"/>
          <w:sz w:val="20"/>
        </w:rPr>
        <w:t>, 563 01 Lanškroun</w:t>
      </w:r>
      <w:r w:rsidR="005D7551">
        <w:rPr>
          <w:rFonts w:ascii="Arial" w:hAnsi="Arial"/>
          <w:sz w:val="20"/>
        </w:rPr>
        <w:t>, nám. T. G. Masaryka 120/16, 571 01 Moravská Třebová a Dolní 165/1, 591 01 Žďár nad Sázavou</w:t>
      </w:r>
      <w:r w:rsidR="00C7180F">
        <w:rPr>
          <w:rFonts w:ascii="Arial" w:hAnsi="Arial" w:cs="Arial"/>
          <w:sz w:val="20"/>
        </w:rPr>
        <w:t xml:space="preserve"> </w:t>
      </w:r>
      <w:r w:rsidRPr="0001641F">
        <w:rPr>
          <w:rFonts w:ascii="Arial" w:eastAsiaTheme="minorHAnsi" w:hAnsi="Arial" w:cs="Arial"/>
          <w:sz w:val="20"/>
        </w:rPr>
        <w:t>a jejich nahrazení nov</w:t>
      </w:r>
      <w:r w:rsidR="00600758" w:rsidRPr="0001641F">
        <w:rPr>
          <w:rFonts w:ascii="Arial" w:eastAsiaTheme="minorHAnsi" w:hAnsi="Arial" w:cs="Arial"/>
          <w:sz w:val="20"/>
        </w:rPr>
        <w:t>ými Službami</w:t>
      </w:r>
      <w:r w:rsidRPr="0001641F">
        <w:rPr>
          <w:rFonts w:ascii="Arial" w:eastAsiaTheme="minorHAnsi" w:hAnsi="Arial" w:cs="Arial"/>
          <w:sz w:val="20"/>
        </w:rPr>
        <w:t>, tj. poskytování</w:t>
      </w:r>
      <w:r w:rsidR="00600758" w:rsidRPr="0001641F">
        <w:rPr>
          <w:rFonts w:ascii="Arial" w:eastAsiaTheme="minorHAnsi" w:hAnsi="Arial" w:cs="Arial"/>
          <w:sz w:val="20"/>
        </w:rPr>
        <w:t>m</w:t>
      </w:r>
      <w:r w:rsidRPr="0001641F">
        <w:rPr>
          <w:rFonts w:ascii="Arial" w:eastAsiaTheme="minorHAnsi" w:hAnsi="Arial" w:cs="Arial"/>
          <w:sz w:val="20"/>
        </w:rPr>
        <w:t xml:space="preserve"> </w:t>
      </w:r>
      <w:r w:rsidR="00600758" w:rsidRPr="0001641F">
        <w:rPr>
          <w:rFonts w:ascii="Arial" w:eastAsiaTheme="minorHAnsi" w:hAnsi="Arial" w:cs="Arial"/>
          <w:sz w:val="20"/>
        </w:rPr>
        <w:t>S</w:t>
      </w:r>
      <w:r w:rsidRPr="0001641F">
        <w:rPr>
          <w:rFonts w:ascii="Arial" w:eastAsiaTheme="minorHAnsi" w:hAnsi="Arial" w:cs="Arial"/>
          <w:sz w:val="20"/>
        </w:rPr>
        <w:t>luž</w:t>
      </w:r>
      <w:r w:rsidR="00600758" w:rsidRPr="0001641F">
        <w:rPr>
          <w:rFonts w:ascii="Arial" w:eastAsiaTheme="minorHAnsi" w:hAnsi="Arial" w:cs="Arial"/>
          <w:sz w:val="20"/>
        </w:rPr>
        <w:t>e</w:t>
      </w:r>
      <w:r w:rsidRPr="0001641F">
        <w:rPr>
          <w:rFonts w:ascii="Arial" w:eastAsiaTheme="minorHAnsi" w:hAnsi="Arial" w:cs="Arial"/>
          <w:sz w:val="20"/>
        </w:rPr>
        <w:t xml:space="preserve">b vč. zřízení a aktivace </w:t>
      </w:r>
      <w:r w:rsidR="00600758" w:rsidRPr="0001641F">
        <w:rPr>
          <w:rFonts w:ascii="Arial" w:eastAsiaTheme="minorHAnsi" w:hAnsi="Arial" w:cs="Arial"/>
          <w:sz w:val="20"/>
        </w:rPr>
        <w:t>S</w:t>
      </w:r>
      <w:r w:rsidRPr="0001641F">
        <w:rPr>
          <w:rFonts w:ascii="Arial" w:eastAsiaTheme="minorHAnsi" w:hAnsi="Arial" w:cs="Arial"/>
          <w:sz w:val="20"/>
        </w:rPr>
        <w:t>luž</w:t>
      </w:r>
      <w:r w:rsidR="00600758" w:rsidRPr="0001641F">
        <w:rPr>
          <w:rFonts w:ascii="Arial" w:eastAsiaTheme="minorHAnsi" w:hAnsi="Arial" w:cs="Arial"/>
          <w:sz w:val="20"/>
        </w:rPr>
        <w:t>eb</w:t>
      </w:r>
      <w:r w:rsidRPr="0001641F">
        <w:rPr>
          <w:rFonts w:ascii="Arial" w:eastAsiaTheme="minorHAnsi" w:hAnsi="Arial" w:cs="Arial"/>
          <w:sz w:val="20"/>
        </w:rPr>
        <w:t xml:space="preserve"> a poskytování souvisejících služeb v lokalitách</w:t>
      </w:r>
      <w:r w:rsidR="00C7180F" w:rsidRPr="00C7180F">
        <w:rPr>
          <w:rFonts w:ascii="Arial" w:hAnsi="Arial"/>
          <w:sz w:val="20"/>
        </w:rPr>
        <w:t xml:space="preserve"> </w:t>
      </w:r>
      <w:r w:rsidR="005D7551" w:rsidRPr="009B36F9">
        <w:rPr>
          <w:rFonts w:ascii="Arial" w:hAnsi="Arial"/>
          <w:sz w:val="20"/>
        </w:rPr>
        <w:t xml:space="preserve">S. Čecha </w:t>
      </w:r>
      <w:r w:rsidR="005D7551">
        <w:rPr>
          <w:rFonts w:ascii="Arial" w:hAnsi="Arial"/>
          <w:sz w:val="20"/>
        </w:rPr>
        <w:t>43</w:t>
      </w:r>
      <w:r w:rsidR="005D7551" w:rsidRPr="009B36F9">
        <w:rPr>
          <w:rFonts w:ascii="Arial" w:hAnsi="Arial"/>
          <w:sz w:val="20"/>
        </w:rPr>
        <w:t>, 563 01 Lanškroun</w:t>
      </w:r>
      <w:r w:rsidR="005D7551">
        <w:rPr>
          <w:rFonts w:ascii="Arial" w:hAnsi="Arial"/>
          <w:sz w:val="20"/>
        </w:rPr>
        <w:t>, Brněnská 9, 571 01 Moravská Třebová a Horní 135/2, 591 01 Žďár nad Sázavou</w:t>
      </w:r>
      <w:r w:rsidRPr="0001641F">
        <w:rPr>
          <w:rFonts w:ascii="Arial" w:eastAsiaTheme="minorHAnsi" w:hAnsi="Arial" w:cs="Arial"/>
          <w:sz w:val="20"/>
        </w:rPr>
        <w:t>.</w:t>
      </w:r>
    </w:p>
    <w:p w14:paraId="2C795EA3" w14:textId="77777777" w:rsidR="00693234" w:rsidRPr="0001641F" w:rsidRDefault="000036C5" w:rsidP="001C2C3D">
      <w:pPr>
        <w:pStyle w:val="Odrazkac"/>
        <w:numPr>
          <w:ilvl w:val="0"/>
          <w:numId w:val="41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 xml:space="preserve">S ohledem na skutečnost, že od 1. 7. 2022 dochází dle Smlouvy </w:t>
      </w:r>
      <w:r w:rsidR="00001388">
        <w:rPr>
          <w:rFonts w:ascii="Arial" w:eastAsiaTheme="minorHAnsi" w:hAnsi="Arial" w:cs="Arial"/>
          <w:sz w:val="20"/>
        </w:rPr>
        <w:t xml:space="preserve">k </w:t>
      </w:r>
      <w:r>
        <w:rPr>
          <w:rFonts w:ascii="Arial" w:eastAsiaTheme="minorHAnsi" w:hAnsi="Arial" w:cs="Arial"/>
          <w:sz w:val="20"/>
        </w:rPr>
        <w:t>začátku běh</w:t>
      </w:r>
      <w:r w:rsidR="00001388">
        <w:rPr>
          <w:rFonts w:ascii="Arial" w:eastAsiaTheme="minorHAnsi" w:hAnsi="Arial" w:cs="Arial"/>
          <w:sz w:val="20"/>
        </w:rPr>
        <w:t>u</w:t>
      </w:r>
      <w:r>
        <w:rPr>
          <w:rFonts w:ascii="Arial" w:eastAsiaTheme="minorHAnsi" w:hAnsi="Arial" w:cs="Arial"/>
          <w:sz w:val="20"/>
        </w:rPr>
        <w:t xml:space="preserve"> období „B“, je předmětem tohoto Dodatku č. 7 pouze </w:t>
      </w:r>
      <w:r w:rsidR="00001388">
        <w:rPr>
          <w:rFonts w:ascii="Arial" w:eastAsiaTheme="minorHAnsi" w:hAnsi="Arial" w:cs="Arial"/>
          <w:sz w:val="20"/>
        </w:rPr>
        <w:t>cena za toto období „B“ u výše uvedených lokalit.</w:t>
      </w:r>
      <w:r>
        <w:rPr>
          <w:rFonts w:ascii="Arial" w:eastAsiaTheme="minorHAnsi" w:hAnsi="Arial" w:cs="Arial"/>
          <w:sz w:val="20"/>
        </w:rPr>
        <w:t xml:space="preserve"> </w:t>
      </w:r>
    </w:p>
    <w:p w14:paraId="47305095" w14:textId="77777777" w:rsidR="009F4FA3" w:rsidRDefault="004D13E0" w:rsidP="001C2C3D">
      <w:pPr>
        <w:pStyle w:val="Odrazkac"/>
        <w:numPr>
          <w:ilvl w:val="0"/>
          <w:numId w:val="41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4D13E0">
        <w:rPr>
          <w:rFonts w:ascii="Arial" w:eastAsiaTheme="minorHAnsi" w:hAnsi="Arial" w:cs="Arial"/>
          <w:sz w:val="20"/>
        </w:rPr>
        <w:t xml:space="preserve">Z důvodu </w:t>
      </w:r>
      <w:r w:rsidR="00F61E4B">
        <w:rPr>
          <w:rFonts w:ascii="Arial" w:eastAsiaTheme="minorHAnsi" w:hAnsi="Arial" w:cs="Arial"/>
          <w:sz w:val="20"/>
        </w:rPr>
        <w:t xml:space="preserve">změny lokalit </w:t>
      </w:r>
      <w:r w:rsidRPr="004D13E0">
        <w:rPr>
          <w:rFonts w:ascii="Arial" w:eastAsiaTheme="minorHAnsi" w:hAnsi="Arial" w:cs="Arial"/>
          <w:sz w:val="20"/>
        </w:rPr>
        <w:t>dle odst. 1</w:t>
      </w:r>
      <w:r w:rsidR="009F4FA3">
        <w:rPr>
          <w:rFonts w:ascii="Arial" w:eastAsiaTheme="minorHAnsi" w:hAnsi="Arial" w:cs="Arial"/>
          <w:sz w:val="20"/>
        </w:rPr>
        <w:t>.</w:t>
      </w:r>
      <w:r w:rsidRPr="004D13E0">
        <w:rPr>
          <w:rFonts w:ascii="Arial" w:eastAsiaTheme="minorHAnsi" w:hAnsi="Arial" w:cs="Arial"/>
          <w:sz w:val="20"/>
        </w:rPr>
        <w:t xml:space="preserve"> tohoto článku </w:t>
      </w:r>
      <w:r w:rsidR="00F61E4B">
        <w:rPr>
          <w:rFonts w:ascii="Arial" w:eastAsiaTheme="minorHAnsi" w:hAnsi="Arial" w:cs="Arial"/>
          <w:sz w:val="20"/>
        </w:rPr>
        <w:t xml:space="preserve">a z důvodu </w:t>
      </w:r>
      <w:r w:rsidR="00E12AC1" w:rsidRPr="00E12AC1">
        <w:rPr>
          <w:rFonts w:ascii="Arial" w:eastAsiaTheme="minorHAnsi" w:hAnsi="Arial" w:cs="Arial"/>
          <w:sz w:val="20"/>
        </w:rPr>
        <w:t>nezbytn</w:t>
      </w:r>
      <w:r w:rsidR="00E12AC1">
        <w:rPr>
          <w:rFonts w:ascii="Arial" w:eastAsiaTheme="minorHAnsi" w:hAnsi="Arial" w:cs="Arial"/>
          <w:sz w:val="20"/>
        </w:rPr>
        <w:t>é</w:t>
      </w:r>
      <w:r w:rsidR="00E12AC1" w:rsidRPr="00E12AC1">
        <w:rPr>
          <w:rFonts w:ascii="Arial" w:eastAsiaTheme="minorHAnsi" w:hAnsi="Arial" w:cs="Arial"/>
          <w:sz w:val="20"/>
        </w:rPr>
        <w:t xml:space="preserve"> změn</w:t>
      </w:r>
      <w:r w:rsidR="00E12AC1">
        <w:rPr>
          <w:rFonts w:ascii="Arial" w:eastAsiaTheme="minorHAnsi" w:hAnsi="Arial" w:cs="Arial"/>
          <w:sz w:val="20"/>
        </w:rPr>
        <w:t>y</w:t>
      </w:r>
      <w:r w:rsidR="00E12AC1" w:rsidRPr="00E12AC1">
        <w:rPr>
          <w:rFonts w:ascii="Arial" w:eastAsiaTheme="minorHAnsi" w:hAnsi="Arial" w:cs="Arial"/>
          <w:sz w:val="20"/>
        </w:rPr>
        <w:t xml:space="preserve"> technologického zajištění datového připojení</w:t>
      </w:r>
      <w:r w:rsidR="00F61E4B">
        <w:rPr>
          <w:rFonts w:ascii="Arial" w:eastAsiaTheme="minorHAnsi" w:hAnsi="Arial" w:cs="Arial"/>
          <w:sz w:val="20"/>
        </w:rPr>
        <w:t xml:space="preserve"> </w:t>
      </w:r>
      <w:r w:rsidRPr="004D13E0">
        <w:rPr>
          <w:rFonts w:ascii="Arial" w:eastAsiaTheme="minorHAnsi" w:hAnsi="Arial" w:cs="Arial"/>
          <w:sz w:val="20"/>
        </w:rPr>
        <w:t xml:space="preserve">bylo na základě výsledku výše uvedeného jednacího řízení </w:t>
      </w:r>
      <w:r w:rsidR="009F4FA3">
        <w:rPr>
          <w:rFonts w:ascii="Arial" w:eastAsiaTheme="minorHAnsi" w:hAnsi="Arial" w:cs="Arial"/>
          <w:sz w:val="20"/>
        </w:rPr>
        <w:t xml:space="preserve">ode dne 1. 7. 2022 </w:t>
      </w:r>
      <w:r w:rsidRPr="004D13E0">
        <w:rPr>
          <w:rFonts w:ascii="Arial" w:eastAsiaTheme="minorHAnsi" w:hAnsi="Arial" w:cs="Arial"/>
          <w:sz w:val="20"/>
        </w:rPr>
        <w:t>sjednáno navýšení měsíční paušální ceny pro období “</w:t>
      </w:r>
      <w:r w:rsidR="00BC4238">
        <w:rPr>
          <w:rFonts w:ascii="Arial" w:eastAsiaTheme="minorHAnsi" w:hAnsi="Arial" w:cs="Arial"/>
          <w:sz w:val="20"/>
        </w:rPr>
        <w:t>B</w:t>
      </w:r>
      <w:r w:rsidRPr="004D13E0">
        <w:rPr>
          <w:rFonts w:ascii="Arial" w:eastAsiaTheme="minorHAnsi" w:hAnsi="Arial" w:cs="Arial"/>
          <w:sz w:val="20"/>
        </w:rPr>
        <w:t xml:space="preserve">“ za poskytování Služeb pro </w:t>
      </w:r>
      <w:r w:rsidR="009F4FA3">
        <w:rPr>
          <w:rFonts w:ascii="Arial" w:eastAsiaTheme="minorHAnsi" w:hAnsi="Arial" w:cs="Arial"/>
          <w:sz w:val="20"/>
        </w:rPr>
        <w:t>níže uvedené lokality:</w:t>
      </w:r>
    </w:p>
    <w:p w14:paraId="239034E7" w14:textId="77777777" w:rsidR="009F4FA3" w:rsidRPr="00FE5DE6" w:rsidRDefault="00F2006B" w:rsidP="001C2C3D">
      <w:pPr>
        <w:pStyle w:val="Odrazkac"/>
        <w:numPr>
          <w:ilvl w:val="0"/>
          <w:numId w:val="44"/>
        </w:numPr>
        <w:spacing w:before="120" w:after="120" w:line="276" w:lineRule="auto"/>
        <w:ind w:left="1077" w:hanging="357"/>
        <w:rPr>
          <w:rFonts w:ascii="Arial" w:eastAsiaTheme="minorHAnsi" w:hAnsi="Arial" w:cs="Arial"/>
          <w:sz w:val="20"/>
        </w:rPr>
      </w:pPr>
      <w:r w:rsidRPr="00FE5DE6">
        <w:rPr>
          <w:rFonts w:ascii="Arial" w:hAnsi="Arial"/>
          <w:sz w:val="20"/>
        </w:rPr>
        <w:t>S. Čecha 43, 563 01 Lanškroun</w:t>
      </w:r>
      <w:r w:rsidR="009F4FA3" w:rsidRPr="00FE5DE6">
        <w:rPr>
          <w:rFonts w:ascii="Arial" w:hAnsi="Arial"/>
          <w:sz w:val="20"/>
        </w:rPr>
        <w:t xml:space="preserve"> z ceny ve výši 3</w:t>
      </w:r>
      <w:r w:rsidR="00CC091E">
        <w:rPr>
          <w:rFonts w:ascii="Arial" w:hAnsi="Arial"/>
          <w:sz w:val="20"/>
        </w:rPr>
        <w:t> </w:t>
      </w:r>
      <w:r w:rsidR="009F4FA3" w:rsidRPr="00FE5DE6">
        <w:rPr>
          <w:rFonts w:ascii="Arial" w:hAnsi="Arial"/>
          <w:sz w:val="20"/>
        </w:rPr>
        <w:t xml:space="preserve">100 Kč bez DPH na cenu ve výši </w:t>
      </w:r>
      <w:r w:rsidR="00A22A83" w:rsidRPr="00A22A83">
        <w:rPr>
          <w:rFonts w:ascii="Arial" w:hAnsi="Arial"/>
          <w:sz w:val="20"/>
        </w:rPr>
        <w:t>3</w:t>
      </w:r>
      <w:r w:rsidR="00A22A83">
        <w:rPr>
          <w:rFonts w:ascii="Arial" w:hAnsi="Arial"/>
          <w:sz w:val="20"/>
        </w:rPr>
        <w:t> </w:t>
      </w:r>
      <w:r w:rsidR="00A22A83" w:rsidRPr="00A22A83">
        <w:rPr>
          <w:rFonts w:ascii="Arial" w:hAnsi="Arial"/>
          <w:sz w:val="20"/>
        </w:rPr>
        <w:t>270</w:t>
      </w:r>
      <w:r w:rsidR="00A22A83">
        <w:rPr>
          <w:rFonts w:ascii="Arial" w:hAnsi="Arial"/>
          <w:sz w:val="20"/>
        </w:rPr>
        <w:t>,-</w:t>
      </w:r>
      <w:r w:rsidR="009F4FA3" w:rsidRPr="00FE5DE6">
        <w:rPr>
          <w:rFonts w:ascii="Arial" w:eastAsiaTheme="minorHAnsi" w:hAnsi="Arial" w:cs="Arial"/>
          <w:sz w:val="20"/>
        </w:rPr>
        <w:t xml:space="preserve"> Kč bez DPH</w:t>
      </w:r>
      <w:r w:rsidR="00DB0B60" w:rsidRPr="00FE5DE6">
        <w:rPr>
          <w:rFonts w:ascii="Arial" w:eastAsiaTheme="minorHAnsi" w:hAnsi="Arial" w:cs="Arial"/>
          <w:sz w:val="20"/>
        </w:rPr>
        <w:t>,</w:t>
      </w:r>
    </w:p>
    <w:p w14:paraId="6E4A5469" w14:textId="77777777" w:rsidR="009F4FA3" w:rsidRPr="00FE5DE6" w:rsidRDefault="00F2006B" w:rsidP="001C2C3D">
      <w:pPr>
        <w:pStyle w:val="Odrazkac"/>
        <w:numPr>
          <w:ilvl w:val="0"/>
          <w:numId w:val="44"/>
        </w:numPr>
        <w:spacing w:before="120" w:after="120" w:line="276" w:lineRule="auto"/>
        <w:ind w:left="1077" w:hanging="357"/>
        <w:rPr>
          <w:rFonts w:ascii="Arial" w:eastAsiaTheme="minorHAnsi" w:hAnsi="Arial" w:cs="Arial"/>
          <w:sz w:val="20"/>
        </w:rPr>
      </w:pPr>
      <w:r w:rsidRPr="00FE5DE6">
        <w:rPr>
          <w:rFonts w:ascii="Arial" w:hAnsi="Arial"/>
          <w:sz w:val="20"/>
        </w:rPr>
        <w:t xml:space="preserve">Brněnská 9, 571 01 Moravská Třebová </w:t>
      </w:r>
      <w:r w:rsidR="009F4FA3" w:rsidRPr="00FE5DE6">
        <w:rPr>
          <w:rFonts w:ascii="Arial" w:hAnsi="Arial"/>
          <w:sz w:val="20"/>
        </w:rPr>
        <w:t>z ceny ve výši 3</w:t>
      </w:r>
      <w:r w:rsidR="00CC091E">
        <w:rPr>
          <w:rFonts w:ascii="Arial" w:hAnsi="Arial"/>
          <w:sz w:val="20"/>
        </w:rPr>
        <w:t> </w:t>
      </w:r>
      <w:r w:rsidR="009F4FA3" w:rsidRPr="00FE5DE6">
        <w:rPr>
          <w:rFonts w:ascii="Arial" w:hAnsi="Arial"/>
          <w:sz w:val="20"/>
        </w:rPr>
        <w:t xml:space="preserve">100 Kč bez DPH na cenu ve výši </w:t>
      </w:r>
      <w:r w:rsidR="00A22A83" w:rsidRPr="00A22A83">
        <w:rPr>
          <w:rFonts w:ascii="Arial" w:hAnsi="Arial"/>
          <w:sz w:val="20"/>
        </w:rPr>
        <w:t>3</w:t>
      </w:r>
      <w:r w:rsidR="00A22A83">
        <w:rPr>
          <w:rFonts w:ascii="Arial" w:hAnsi="Arial"/>
          <w:sz w:val="20"/>
        </w:rPr>
        <w:t> </w:t>
      </w:r>
      <w:r w:rsidR="00A22A83" w:rsidRPr="00A22A83">
        <w:rPr>
          <w:rFonts w:ascii="Arial" w:hAnsi="Arial"/>
          <w:sz w:val="20"/>
        </w:rPr>
        <w:t>262</w:t>
      </w:r>
      <w:r w:rsidR="00A22A83">
        <w:rPr>
          <w:rFonts w:ascii="Arial" w:hAnsi="Arial"/>
          <w:sz w:val="20"/>
        </w:rPr>
        <w:t xml:space="preserve">,- </w:t>
      </w:r>
      <w:r w:rsidR="009F4FA3" w:rsidRPr="00FE5DE6">
        <w:rPr>
          <w:rFonts w:ascii="Arial" w:eastAsiaTheme="minorHAnsi" w:hAnsi="Arial" w:cs="Arial"/>
          <w:sz w:val="20"/>
        </w:rPr>
        <w:t>Kč bez DPH</w:t>
      </w:r>
      <w:r w:rsidR="00DB0B60" w:rsidRPr="00FE5DE6">
        <w:rPr>
          <w:rFonts w:ascii="Arial" w:eastAsiaTheme="minorHAnsi" w:hAnsi="Arial" w:cs="Arial"/>
          <w:sz w:val="20"/>
        </w:rPr>
        <w:t>,</w:t>
      </w:r>
    </w:p>
    <w:p w14:paraId="34953FD3" w14:textId="77777777" w:rsidR="004D13E0" w:rsidRPr="00FE5DE6" w:rsidRDefault="00F2006B" w:rsidP="001C2C3D">
      <w:pPr>
        <w:pStyle w:val="Odrazkac"/>
        <w:numPr>
          <w:ilvl w:val="0"/>
          <w:numId w:val="44"/>
        </w:numPr>
        <w:spacing w:before="120" w:after="120" w:line="276" w:lineRule="auto"/>
        <w:ind w:left="1077" w:hanging="357"/>
        <w:rPr>
          <w:rFonts w:ascii="Arial" w:eastAsiaTheme="minorHAnsi" w:hAnsi="Arial" w:cs="Arial"/>
          <w:sz w:val="20"/>
        </w:rPr>
      </w:pPr>
      <w:r w:rsidRPr="00FE5DE6">
        <w:rPr>
          <w:rFonts w:ascii="Arial" w:hAnsi="Arial"/>
          <w:sz w:val="20"/>
        </w:rPr>
        <w:t>Horní 135/2, 591 01 Žďár nad Sázavou</w:t>
      </w:r>
      <w:r w:rsidRPr="00FE5DE6">
        <w:rPr>
          <w:rFonts w:ascii="Arial" w:eastAsiaTheme="minorHAnsi" w:hAnsi="Arial" w:cs="Arial"/>
          <w:sz w:val="20"/>
        </w:rPr>
        <w:t xml:space="preserve"> </w:t>
      </w:r>
      <w:r w:rsidR="004D13E0" w:rsidRPr="00FE5DE6">
        <w:rPr>
          <w:rFonts w:ascii="Arial" w:eastAsiaTheme="minorHAnsi" w:hAnsi="Arial" w:cs="Arial"/>
          <w:sz w:val="20"/>
        </w:rPr>
        <w:t>z ceny ve výši 4</w:t>
      </w:r>
      <w:r w:rsidR="00CC091E">
        <w:rPr>
          <w:rFonts w:ascii="Arial" w:eastAsiaTheme="minorHAnsi" w:hAnsi="Arial" w:cs="Arial"/>
          <w:sz w:val="20"/>
        </w:rPr>
        <w:t> </w:t>
      </w:r>
      <w:r w:rsidR="009F4FA3" w:rsidRPr="00FE5DE6">
        <w:rPr>
          <w:rFonts w:ascii="Arial" w:eastAsiaTheme="minorHAnsi" w:hAnsi="Arial" w:cs="Arial"/>
          <w:sz w:val="20"/>
        </w:rPr>
        <w:t>9</w:t>
      </w:r>
      <w:r w:rsidR="004D13E0" w:rsidRPr="00FE5DE6">
        <w:rPr>
          <w:rFonts w:ascii="Arial" w:eastAsiaTheme="minorHAnsi" w:hAnsi="Arial" w:cs="Arial"/>
          <w:sz w:val="20"/>
        </w:rPr>
        <w:t xml:space="preserve">00 Kč bez DPH na cenu ve výši </w:t>
      </w:r>
      <w:r w:rsidR="00A22A83" w:rsidRPr="00A22A83">
        <w:rPr>
          <w:rFonts w:ascii="Arial" w:eastAsiaTheme="minorHAnsi" w:hAnsi="Arial" w:cs="Arial"/>
          <w:sz w:val="20"/>
        </w:rPr>
        <w:t>5</w:t>
      </w:r>
      <w:r w:rsidR="00A22A83">
        <w:rPr>
          <w:rFonts w:ascii="Arial" w:eastAsiaTheme="minorHAnsi" w:hAnsi="Arial" w:cs="Arial"/>
          <w:sz w:val="20"/>
        </w:rPr>
        <w:t> </w:t>
      </w:r>
      <w:r w:rsidR="00A22A83" w:rsidRPr="00A22A83">
        <w:rPr>
          <w:rFonts w:ascii="Arial" w:eastAsiaTheme="minorHAnsi" w:hAnsi="Arial" w:cs="Arial"/>
          <w:sz w:val="20"/>
        </w:rPr>
        <w:t>462</w:t>
      </w:r>
      <w:r w:rsidR="00A22A83">
        <w:rPr>
          <w:rFonts w:ascii="Arial" w:eastAsiaTheme="minorHAnsi" w:hAnsi="Arial" w:cs="Arial"/>
          <w:sz w:val="20"/>
        </w:rPr>
        <w:t xml:space="preserve">,- </w:t>
      </w:r>
      <w:r w:rsidR="004D13E0" w:rsidRPr="00FE5DE6">
        <w:rPr>
          <w:rFonts w:ascii="Arial" w:eastAsiaTheme="minorHAnsi" w:hAnsi="Arial" w:cs="Arial"/>
          <w:sz w:val="20"/>
        </w:rPr>
        <w:t>Kč bez DPH.</w:t>
      </w:r>
    </w:p>
    <w:p w14:paraId="5CBE48E8" w14:textId="77777777" w:rsidR="00F2006B" w:rsidRPr="00001388" w:rsidRDefault="00F2006B" w:rsidP="001C2C3D">
      <w:pPr>
        <w:pStyle w:val="Odrazkac"/>
        <w:numPr>
          <w:ilvl w:val="0"/>
          <w:numId w:val="41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F2006B">
        <w:rPr>
          <w:rFonts w:ascii="Arial" w:eastAsiaTheme="minorHAnsi" w:hAnsi="Arial" w:cs="Arial"/>
          <w:sz w:val="20"/>
        </w:rPr>
        <w:t xml:space="preserve">Celková cena za plnění dle Smlouvy se tímto Dodatkem č. </w:t>
      </w:r>
      <w:r w:rsidR="009F4FA3">
        <w:rPr>
          <w:rFonts w:ascii="Arial" w:eastAsiaTheme="minorHAnsi" w:hAnsi="Arial" w:cs="Arial"/>
          <w:sz w:val="20"/>
        </w:rPr>
        <w:t>7</w:t>
      </w:r>
      <w:r w:rsidRPr="00F2006B">
        <w:rPr>
          <w:rFonts w:ascii="Arial" w:eastAsiaTheme="minorHAnsi" w:hAnsi="Arial" w:cs="Arial"/>
          <w:sz w:val="20"/>
        </w:rPr>
        <w:t xml:space="preserve"> navyšuje o částku </w:t>
      </w:r>
      <w:r w:rsidR="00A22A83">
        <w:rPr>
          <w:rFonts w:ascii="Arial" w:eastAsiaTheme="minorHAnsi" w:hAnsi="Arial" w:cs="Arial"/>
          <w:sz w:val="20"/>
        </w:rPr>
        <w:t>42 912,-</w:t>
      </w:r>
      <w:r w:rsidRPr="00F2006B">
        <w:rPr>
          <w:rFonts w:ascii="Arial" w:eastAsiaTheme="minorHAnsi" w:hAnsi="Arial" w:cs="Arial"/>
          <w:sz w:val="20"/>
        </w:rPr>
        <w:t xml:space="preserve"> Kč bez DPH.</w:t>
      </w:r>
    </w:p>
    <w:p w14:paraId="0AFFE286" w14:textId="77777777" w:rsidR="00C7180F" w:rsidRDefault="00F2006B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t xml:space="preserve">Tímto 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>Dodatk</w:t>
      </w:r>
      <w:r>
        <w:rPr>
          <w:rFonts w:ascii="Arial" w:eastAsiaTheme="minorHAnsi" w:hAnsi="Arial" w:cs="Arial"/>
          <w:sz w:val="20"/>
          <w:lang w:eastAsia="en-US"/>
        </w:rPr>
        <w:t>em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č. </w:t>
      </w:r>
      <w:r w:rsidR="00C7180F" w:rsidRPr="00CF072A">
        <w:rPr>
          <w:rFonts w:ascii="Arial" w:eastAsiaTheme="minorHAnsi" w:hAnsi="Arial" w:cs="Arial"/>
          <w:sz w:val="20"/>
          <w:lang w:eastAsia="en-US"/>
        </w:rPr>
        <w:t>7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je </w:t>
      </w:r>
      <w:r>
        <w:rPr>
          <w:rFonts w:ascii="Arial" w:eastAsiaTheme="minorHAnsi" w:hAnsi="Arial" w:cs="Arial"/>
          <w:sz w:val="20"/>
          <w:lang w:eastAsia="en-US"/>
        </w:rPr>
        <w:t xml:space="preserve">současně 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>aktualizov</w:t>
      </w:r>
      <w:r>
        <w:rPr>
          <w:rFonts w:ascii="Arial" w:eastAsiaTheme="minorHAnsi" w:hAnsi="Arial" w:cs="Arial"/>
          <w:sz w:val="20"/>
          <w:lang w:eastAsia="en-US"/>
        </w:rPr>
        <w:t>ána s účinností od 1. 7. 2022</w:t>
      </w:r>
      <w:r w:rsidR="002F1362" w:rsidRPr="00CF072A">
        <w:rPr>
          <w:rFonts w:ascii="Arial" w:eastAsiaTheme="minorHAnsi" w:hAnsi="Arial" w:cs="Arial"/>
          <w:sz w:val="20"/>
          <w:lang w:eastAsia="en-US"/>
        </w:rPr>
        <w:t xml:space="preserve"> Příloha č. 3 Smlouvy</w:t>
      </w:r>
      <w:r w:rsidR="0090518E" w:rsidRPr="00CF072A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F072A">
        <w:rPr>
          <w:rFonts w:ascii="Arial" w:eastAsiaTheme="minorHAnsi" w:hAnsi="Arial" w:cs="Arial"/>
          <w:sz w:val="20"/>
          <w:lang w:eastAsia="en-US"/>
        </w:rPr>
        <w:t>–</w:t>
      </w:r>
      <w:r w:rsidR="0090518E" w:rsidRPr="00CF072A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A85A9F" w:rsidRPr="00CF072A">
        <w:rPr>
          <w:rFonts w:ascii="Arial" w:eastAsiaTheme="minorHAnsi" w:hAnsi="Arial" w:cs="Arial"/>
          <w:sz w:val="20"/>
          <w:lang w:eastAsia="en-US"/>
        </w:rPr>
        <w:t xml:space="preserve">, kde 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se mění </w:t>
      </w:r>
      <w:r w:rsidR="00A85A9F" w:rsidRPr="00CF072A">
        <w:rPr>
          <w:rFonts w:ascii="Arial" w:eastAsiaTheme="minorHAnsi" w:hAnsi="Arial" w:cs="Arial"/>
          <w:sz w:val="20"/>
          <w:lang w:eastAsia="en-US"/>
        </w:rPr>
        <w:t>lokality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 uvedené v čl. II.</w:t>
      </w:r>
      <w:r w:rsidR="00A6782C">
        <w:rPr>
          <w:rFonts w:ascii="Arial" w:eastAsiaTheme="minorHAnsi" w:hAnsi="Arial" w:cs="Arial"/>
          <w:sz w:val="20"/>
          <w:lang w:eastAsia="en-US"/>
        </w:rPr>
        <w:t>,</w:t>
      </w:r>
      <w:r w:rsidR="000036C5">
        <w:rPr>
          <w:rFonts w:ascii="Arial" w:eastAsiaTheme="minorHAnsi" w:hAnsi="Arial" w:cs="Arial"/>
          <w:sz w:val="20"/>
          <w:lang w:eastAsia="en-US"/>
        </w:rPr>
        <w:t xml:space="preserve"> odst. 1. tohoto Dodatku č. 7</w:t>
      </w:r>
      <w:r w:rsidR="00001388">
        <w:rPr>
          <w:rFonts w:ascii="Arial" w:eastAsiaTheme="minorHAnsi" w:hAnsi="Arial" w:cs="Arial"/>
          <w:sz w:val="20"/>
          <w:lang w:eastAsia="en-US"/>
        </w:rPr>
        <w:t xml:space="preserve"> včetně</w:t>
      </w:r>
      <w:r w:rsidR="006201B9">
        <w:rPr>
          <w:rFonts w:ascii="Arial" w:eastAsiaTheme="minorHAnsi" w:hAnsi="Arial" w:cs="Arial"/>
          <w:sz w:val="20"/>
          <w:lang w:eastAsia="en-US"/>
        </w:rPr>
        <w:t xml:space="preserve"> 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>Měsíční</w:t>
      </w:r>
      <w:r w:rsidR="00001388">
        <w:rPr>
          <w:rFonts w:ascii="Arial" w:eastAsiaTheme="minorHAnsi" w:hAnsi="Arial" w:cs="Arial"/>
          <w:sz w:val="20"/>
          <w:lang w:eastAsia="en-US"/>
        </w:rPr>
        <w:t>ch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 xml:space="preserve"> paušální</w:t>
      </w:r>
      <w:r w:rsidR="00001388">
        <w:rPr>
          <w:rFonts w:ascii="Arial" w:eastAsiaTheme="minorHAnsi" w:hAnsi="Arial" w:cs="Arial"/>
          <w:sz w:val="20"/>
          <w:lang w:eastAsia="en-US"/>
        </w:rPr>
        <w:t>ch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 xml:space="preserve"> cen za přípojk</w:t>
      </w:r>
      <w:r w:rsidR="00001388">
        <w:rPr>
          <w:rFonts w:ascii="Arial" w:eastAsiaTheme="minorHAnsi" w:hAnsi="Arial" w:cs="Arial"/>
          <w:sz w:val="20"/>
          <w:lang w:eastAsia="en-US"/>
        </w:rPr>
        <w:t>y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 xml:space="preserve"> pro období “B“ [Kč – bez DPH]</w:t>
      </w:r>
      <w:r w:rsidRPr="00F2006B">
        <w:rPr>
          <w:rFonts w:ascii="Arial" w:eastAsiaTheme="minorHAnsi" w:hAnsi="Arial" w:cs="Arial"/>
          <w:sz w:val="20"/>
          <w:lang w:eastAsia="en-US"/>
        </w:rPr>
        <w:t xml:space="preserve"> </w:t>
      </w:r>
      <w:r w:rsidR="006201B9">
        <w:rPr>
          <w:rFonts w:ascii="Arial" w:eastAsiaTheme="minorHAnsi" w:hAnsi="Arial" w:cs="Arial"/>
          <w:sz w:val="20"/>
          <w:lang w:eastAsia="en-US"/>
        </w:rPr>
        <w:t>a Vlastní</w:t>
      </w:r>
      <w:r w:rsidR="00001388">
        <w:rPr>
          <w:rFonts w:ascii="Arial" w:eastAsiaTheme="minorHAnsi" w:hAnsi="Arial" w:cs="Arial"/>
          <w:sz w:val="20"/>
          <w:lang w:eastAsia="en-US"/>
        </w:rPr>
        <w:t>ci</w:t>
      </w:r>
      <w:r w:rsidR="006201B9">
        <w:rPr>
          <w:rFonts w:ascii="Arial" w:eastAsiaTheme="minorHAnsi" w:hAnsi="Arial" w:cs="Arial"/>
          <w:sz w:val="20"/>
          <w:lang w:eastAsia="en-US"/>
        </w:rPr>
        <w:t xml:space="preserve"> objekt</w:t>
      </w:r>
      <w:r w:rsidR="00001388">
        <w:rPr>
          <w:rFonts w:ascii="Arial" w:eastAsiaTheme="minorHAnsi" w:hAnsi="Arial" w:cs="Arial"/>
          <w:sz w:val="20"/>
          <w:lang w:eastAsia="en-US"/>
        </w:rPr>
        <w:t>ů</w:t>
      </w:r>
      <w:r w:rsidR="00877A1D" w:rsidRPr="00CF072A">
        <w:rPr>
          <w:rFonts w:ascii="Arial" w:eastAsiaTheme="minorHAnsi" w:hAnsi="Arial" w:cs="Arial"/>
          <w:sz w:val="20"/>
          <w:lang w:eastAsia="en-US"/>
        </w:rPr>
        <w:t>.</w:t>
      </w:r>
    </w:p>
    <w:p w14:paraId="15A1D3EC" w14:textId="77777777" w:rsidR="00F2006B" w:rsidRPr="00CF072A" w:rsidRDefault="00F2006B" w:rsidP="001C2C3D">
      <w:pPr>
        <w:spacing w:before="120" w:after="120" w:line="276" w:lineRule="auto"/>
        <w:ind w:left="357"/>
        <w:rPr>
          <w:rFonts w:ascii="Arial" w:eastAsiaTheme="minorHAnsi" w:hAnsi="Arial" w:cs="Arial"/>
          <w:sz w:val="20"/>
          <w:lang w:eastAsia="en-US"/>
        </w:rPr>
      </w:pPr>
    </w:p>
    <w:p w14:paraId="7C4BC2C6" w14:textId="77777777" w:rsidR="00046680" w:rsidRPr="008E6668" w:rsidRDefault="00046680" w:rsidP="001C2C3D">
      <w:pPr>
        <w:pStyle w:val="Odstavecseseznamem"/>
        <w:numPr>
          <w:ilvl w:val="0"/>
          <w:numId w:val="43"/>
        </w:numPr>
        <w:spacing w:before="120" w:after="120" w:line="276" w:lineRule="auto"/>
        <w:jc w:val="center"/>
        <w:rPr>
          <w:rFonts w:ascii="Arial" w:eastAsiaTheme="minorHAnsi" w:hAnsi="Arial" w:cs="Arial"/>
          <w:b/>
          <w:sz w:val="20"/>
          <w:lang w:eastAsia="en-US"/>
        </w:rPr>
      </w:pPr>
      <w:r w:rsidRPr="008E6668">
        <w:rPr>
          <w:rFonts w:ascii="Arial" w:eastAsiaTheme="minorHAnsi" w:hAnsi="Arial" w:cs="Arial"/>
          <w:b/>
          <w:sz w:val="20"/>
          <w:lang w:eastAsia="en-US"/>
        </w:rPr>
        <w:t>Závěrečná ujednání</w:t>
      </w:r>
    </w:p>
    <w:p w14:paraId="017C0F0F" w14:textId="77777777" w:rsidR="00046680" w:rsidRPr="0001641F" w:rsidRDefault="00046680" w:rsidP="001C2C3D">
      <w:pPr>
        <w:pStyle w:val="Odrazkac"/>
        <w:numPr>
          <w:ilvl w:val="0"/>
          <w:numId w:val="42"/>
        </w:numPr>
        <w:spacing w:before="120" w:after="120" w:line="276" w:lineRule="auto"/>
        <w:rPr>
          <w:rFonts w:ascii="Arial" w:eastAsiaTheme="minorHAnsi" w:hAnsi="Arial" w:cs="Arial"/>
          <w:sz w:val="20"/>
        </w:rPr>
      </w:pPr>
      <w:r w:rsidRPr="0001641F">
        <w:rPr>
          <w:rFonts w:ascii="Arial" w:eastAsiaTheme="minorHAnsi" w:hAnsi="Arial" w:cs="Arial"/>
          <w:sz w:val="20"/>
        </w:rPr>
        <w:t xml:space="preserve">Tento Dodatek č. </w:t>
      </w:r>
      <w:r w:rsidR="00C7180F">
        <w:rPr>
          <w:rFonts w:ascii="Arial" w:eastAsiaTheme="minorHAnsi" w:hAnsi="Arial" w:cs="Arial"/>
          <w:sz w:val="20"/>
        </w:rPr>
        <w:t>7</w:t>
      </w:r>
      <w:r w:rsidRPr="0001641F">
        <w:rPr>
          <w:rFonts w:ascii="Arial" w:eastAsiaTheme="minorHAnsi" w:hAnsi="Arial" w:cs="Arial"/>
          <w:sz w:val="20"/>
        </w:rPr>
        <w:t xml:space="preserve"> nabývá platnosti dnem podpisu poslední </w:t>
      </w:r>
      <w:r w:rsidR="00E62B71" w:rsidRPr="0001641F">
        <w:rPr>
          <w:rFonts w:ascii="Arial" w:eastAsiaTheme="minorHAnsi" w:hAnsi="Arial" w:cs="Arial"/>
          <w:sz w:val="20"/>
        </w:rPr>
        <w:t>S</w:t>
      </w:r>
      <w:r w:rsidR="007C3976" w:rsidRPr="0001641F">
        <w:rPr>
          <w:rFonts w:ascii="Arial" w:eastAsiaTheme="minorHAnsi" w:hAnsi="Arial" w:cs="Arial"/>
          <w:sz w:val="20"/>
        </w:rPr>
        <w:t>mluvní stranou</w:t>
      </w:r>
      <w:r w:rsidR="00FF0CEA" w:rsidRPr="0001641F">
        <w:rPr>
          <w:rFonts w:ascii="Arial" w:eastAsiaTheme="minorHAnsi" w:hAnsi="Arial" w:cs="Arial"/>
          <w:sz w:val="20"/>
        </w:rPr>
        <w:t xml:space="preserve"> a účinnosti</w:t>
      </w:r>
      <w:r w:rsidR="002F1362" w:rsidRPr="0001641F">
        <w:rPr>
          <w:rFonts w:ascii="Arial" w:eastAsiaTheme="minorHAnsi" w:hAnsi="Arial" w:cs="Arial"/>
          <w:sz w:val="20"/>
        </w:rPr>
        <w:t xml:space="preserve"> dnem</w:t>
      </w:r>
      <w:r w:rsidR="00FF0CEA" w:rsidRPr="0001641F">
        <w:rPr>
          <w:rFonts w:ascii="Arial" w:eastAsiaTheme="minorHAnsi" w:hAnsi="Arial" w:cs="Arial"/>
          <w:sz w:val="20"/>
        </w:rPr>
        <w:t xml:space="preserve"> uveřejnění v registru smluv</w:t>
      </w:r>
      <w:r w:rsidR="000A1793" w:rsidRPr="000A1793">
        <w:rPr>
          <w:rFonts w:ascii="Arial" w:hAnsi="Arial" w:cs="Arial"/>
          <w:sz w:val="20"/>
        </w:rPr>
        <w:t xml:space="preserve"> </w:t>
      </w:r>
      <w:r w:rsidR="000A1793">
        <w:rPr>
          <w:rFonts w:ascii="Arial" w:hAnsi="Arial" w:cs="Arial"/>
          <w:sz w:val="20"/>
        </w:rPr>
        <w:t xml:space="preserve">dle </w:t>
      </w:r>
      <w:r w:rsidR="000A1793" w:rsidRPr="001A4B90">
        <w:rPr>
          <w:rFonts w:ascii="Arial" w:hAnsi="Arial" w:cs="Arial"/>
          <w:sz w:val="20"/>
        </w:rPr>
        <w:t>zákona č. 340/2015 Sb., o zvláštních podmínkách účinnosti některých smluv, uveřejňování těchto smluv a o registru smluv (zákon o registru smluv) ve znění pozdějších předpisů</w:t>
      </w:r>
      <w:r w:rsidR="00FF0CEA" w:rsidRPr="0001641F">
        <w:rPr>
          <w:rFonts w:ascii="Arial" w:eastAsiaTheme="minorHAnsi" w:hAnsi="Arial" w:cs="Arial"/>
          <w:sz w:val="20"/>
        </w:rPr>
        <w:t>.</w:t>
      </w:r>
    </w:p>
    <w:p w14:paraId="0F5A5FEF" w14:textId="77777777" w:rsidR="00D9283F" w:rsidRPr="008E6668" w:rsidRDefault="00046680" w:rsidP="001C2C3D">
      <w:pPr>
        <w:numPr>
          <w:ilvl w:val="0"/>
          <w:numId w:val="2"/>
        </w:numPr>
        <w:spacing w:before="120" w:after="120" w:line="276" w:lineRule="auto"/>
        <w:ind w:left="357" w:hanging="357"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Tento Dodatek č. </w:t>
      </w:r>
      <w:r w:rsidR="00C7180F">
        <w:rPr>
          <w:rFonts w:ascii="Arial" w:eastAsiaTheme="minorHAnsi" w:hAnsi="Arial" w:cs="Arial"/>
          <w:sz w:val="20"/>
          <w:lang w:eastAsia="en-US"/>
        </w:rPr>
        <w:t>7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se stává nedílnou součástí Smlouvy. Veškerá ujednání Smlouvy, která nejsou výslovně změněna tímto Dodatkem č</w:t>
      </w:r>
      <w:r w:rsidR="00FB6BD3" w:rsidRPr="008E6668">
        <w:rPr>
          <w:rFonts w:ascii="Arial" w:eastAsiaTheme="minorHAnsi" w:hAnsi="Arial" w:cs="Arial"/>
          <w:sz w:val="20"/>
          <w:lang w:eastAsia="en-US"/>
        </w:rPr>
        <w:t>.</w:t>
      </w:r>
      <w:r w:rsidR="00CE153A" w:rsidRPr="008E6668">
        <w:rPr>
          <w:rFonts w:ascii="Arial" w:eastAsiaTheme="minorHAnsi" w:hAnsi="Arial" w:cs="Arial"/>
          <w:sz w:val="20"/>
          <w:lang w:eastAsia="en-US"/>
        </w:rPr>
        <w:t xml:space="preserve"> </w:t>
      </w:r>
      <w:r w:rsidR="00C7180F">
        <w:rPr>
          <w:rFonts w:ascii="Arial" w:eastAsiaTheme="minorHAnsi" w:hAnsi="Arial" w:cs="Arial"/>
          <w:sz w:val="20"/>
          <w:lang w:eastAsia="en-US"/>
        </w:rPr>
        <w:t>7</w:t>
      </w:r>
      <w:r w:rsidRPr="008E6668">
        <w:rPr>
          <w:rFonts w:ascii="Arial" w:eastAsiaTheme="minorHAnsi" w:hAnsi="Arial" w:cs="Arial"/>
          <w:sz w:val="20"/>
          <w:lang w:eastAsia="en-US"/>
        </w:rPr>
        <w:t>, zůstávají nadále platná a účinná</w:t>
      </w:r>
      <w:r w:rsidR="000E0B54" w:rsidRPr="008E6668">
        <w:rPr>
          <w:rFonts w:ascii="Arial" w:eastAsiaTheme="minorHAnsi" w:hAnsi="Arial" w:cs="Arial"/>
          <w:sz w:val="20"/>
          <w:lang w:eastAsia="en-US"/>
        </w:rPr>
        <w:t>.</w:t>
      </w:r>
    </w:p>
    <w:p w14:paraId="191F111F" w14:textId="77777777" w:rsidR="000E0B54" w:rsidRDefault="0090518E" w:rsidP="001C2C3D">
      <w:pPr>
        <w:numPr>
          <w:ilvl w:val="0"/>
          <w:numId w:val="2"/>
        </w:numPr>
        <w:spacing w:before="120" w:after="120" w:line="276" w:lineRule="auto"/>
        <w:ind w:left="357" w:hanging="357"/>
        <w:contextualSpacing/>
        <w:rPr>
          <w:rFonts w:ascii="Arial" w:eastAsiaTheme="minorHAnsi" w:hAnsi="Arial" w:cs="Arial"/>
          <w:sz w:val="20"/>
          <w:lang w:eastAsia="en-US"/>
        </w:rPr>
      </w:pPr>
      <w:r w:rsidRPr="00C7180F">
        <w:rPr>
          <w:rFonts w:ascii="Arial" w:eastAsiaTheme="minorHAnsi" w:hAnsi="Arial" w:cs="Arial"/>
          <w:sz w:val="20"/>
          <w:lang w:eastAsia="en-US"/>
        </w:rPr>
        <w:lastRenderedPageBreak/>
        <w:t xml:space="preserve">Nedílnou součástí tohoto Dodatku č. </w:t>
      </w:r>
      <w:r w:rsidR="00C7180F" w:rsidRPr="00C7180F">
        <w:rPr>
          <w:rFonts w:ascii="Arial" w:eastAsiaTheme="minorHAnsi" w:hAnsi="Arial" w:cs="Arial"/>
          <w:sz w:val="20"/>
          <w:lang w:eastAsia="en-US"/>
        </w:rPr>
        <w:t>7 je</w:t>
      </w:r>
      <w:r w:rsidR="00F2006B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7180F">
        <w:rPr>
          <w:rFonts w:ascii="Arial" w:eastAsiaTheme="minorHAnsi" w:hAnsi="Arial" w:cs="Arial"/>
          <w:sz w:val="20"/>
          <w:lang w:eastAsia="en-US"/>
        </w:rPr>
        <w:t>„</w:t>
      </w:r>
      <w:r w:rsidR="00D9283F" w:rsidRPr="00C7180F">
        <w:rPr>
          <w:rFonts w:ascii="Arial" w:eastAsiaTheme="minorHAnsi" w:hAnsi="Arial" w:cs="Arial"/>
          <w:sz w:val="20"/>
          <w:lang w:eastAsia="en-US"/>
        </w:rPr>
        <w:t>Příloha č. 3 Smlouvy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(aktualizovaná)</w:t>
      </w:r>
      <w:r w:rsidR="00D9283F" w:rsidRPr="00C7180F">
        <w:rPr>
          <w:rFonts w:ascii="Arial" w:eastAsiaTheme="minorHAnsi" w:hAnsi="Arial" w:cs="Arial"/>
          <w:sz w:val="20"/>
          <w:lang w:eastAsia="en-US"/>
        </w:rPr>
        <w:t xml:space="preserve"> </w:t>
      </w:r>
      <w:r w:rsidR="008E6668" w:rsidRPr="00C7180F">
        <w:rPr>
          <w:rFonts w:ascii="Arial" w:eastAsiaTheme="minorHAnsi" w:hAnsi="Arial" w:cs="Arial"/>
          <w:sz w:val="20"/>
          <w:lang w:eastAsia="en-US"/>
        </w:rPr>
        <w:t>–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Tabulka lokalit, technických parametrů a cen poskytovaných služeb</w:t>
      </w:r>
      <w:r w:rsidR="008E6668" w:rsidRPr="00C7180F">
        <w:rPr>
          <w:rFonts w:ascii="Arial" w:eastAsiaTheme="minorHAnsi" w:hAnsi="Arial" w:cs="Arial"/>
          <w:sz w:val="20"/>
          <w:lang w:eastAsia="en-US"/>
        </w:rPr>
        <w:t>“</w:t>
      </w:r>
      <w:r w:rsidR="00C7180F">
        <w:rPr>
          <w:rFonts w:ascii="Arial" w:eastAsiaTheme="minorHAnsi" w:hAnsi="Arial" w:cs="Arial"/>
          <w:sz w:val="20"/>
          <w:lang w:eastAsia="en-US"/>
        </w:rPr>
        <w:t>.</w:t>
      </w:r>
    </w:p>
    <w:p w14:paraId="57E08134" w14:textId="77777777" w:rsidR="00C7180F" w:rsidRPr="00C7180F" w:rsidRDefault="00C7180F" w:rsidP="001C2C3D">
      <w:pPr>
        <w:spacing w:before="120" w:after="120" w:line="276" w:lineRule="auto"/>
        <w:ind w:left="357"/>
        <w:contextualSpacing/>
        <w:rPr>
          <w:rFonts w:ascii="Arial" w:eastAsiaTheme="minorHAnsi" w:hAnsi="Arial" w:cs="Arial"/>
          <w:sz w:val="20"/>
          <w:lang w:eastAsia="en-US"/>
        </w:rPr>
      </w:pPr>
    </w:p>
    <w:p w14:paraId="5AC98D28" w14:textId="77777777" w:rsidR="00C7180F" w:rsidRDefault="00C7180F" w:rsidP="001C2C3D">
      <w:pPr>
        <w:numPr>
          <w:ilvl w:val="0"/>
          <w:numId w:val="2"/>
        </w:numPr>
        <w:spacing w:before="120" w:after="120" w:line="276" w:lineRule="auto"/>
        <w:ind w:left="357" w:hanging="357"/>
        <w:contextualSpacing/>
        <w:rPr>
          <w:rFonts w:ascii="Arial" w:eastAsiaTheme="minorHAnsi" w:hAnsi="Arial" w:cs="Arial"/>
          <w:sz w:val="20"/>
          <w:lang w:eastAsia="en-US"/>
        </w:rPr>
      </w:pPr>
      <w:r w:rsidRPr="00C7180F">
        <w:rPr>
          <w:rFonts w:ascii="Arial" w:eastAsiaTheme="minorHAnsi" w:hAnsi="Arial" w:cs="Arial"/>
          <w:sz w:val="20"/>
          <w:lang w:eastAsia="en-US"/>
        </w:rPr>
        <w:t xml:space="preserve">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>
        <w:rPr>
          <w:rFonts w:ascii="Arial" w:eastAsiaTheme="minorHAnsi" w:hAnsi="Arial" w:cs="Arial"/>
          <w:sz w:val="20"/>
          <w:lang w:eastAsia="en-US"/>
        </w:rPr>
        <w:t>7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se uzavírá písemně v elektronické podobě.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>
        <w:rPr>
          <w:rFonts w:ascii="Arial" w:eastAsiaTheme="minorHAnsi" w:hAnsi="Arial" w:cs="Arial"/>
          <w:sz w:val="20"/>
          <w:lang w:eastAsia="en-US"/>
        </w:rPr>
        <w:t>7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je podepsán elektronickým podpisem dle zákona č. 297/2016 Sb.</w:t>
      </w:r>
      <w:r w:rsidR="000A1793">
        <w:rPr>
          <w:rFonts w:ascii="Arial" w:eastAsiaTheme="minorHAnsi" w:hAnsi="Arial" w:cs="Arial"/>
          <w:sz w:val="20"/>
          <w:lang w:eastAsia="en-US"/>
        </w:rPr>
        <w:t>,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o službách vytvářejících důvěru pro elektronické transakce, ve znění pozdějších předpisů (dále jen „ZSVD“). Smluvní strany se dohodly, že Zhotovitel podepíše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>
        <w:rPr>
          <w:rFonts w:ascii="Arial" w:eastAsiaTheme="minorHAnsi" w:hAnsi="Arial" w:cs="Arial"/>
          <w:sz w:val="20"/>
          <w:lang w:eastAsia="en-US"/>
        </w:rPr>
        <w:t>7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uznávaným elektronickým podpisem ve smyslu § 6 odst. 2 ZSVD; VZP ČR tento </w:t>
      </w:r>
      <w:r>
        <w:rPr>
          <w:rFonts w:ascii="Arial" w:eastAsiaTheme="minorHAnsi" w:hAnsi="Arial" w:cs="Arial"/>
          <w:sz w:val="20"/>
          <w:lang w:eastAsia="en-US"/>
        </w:rPr>
        <w:t>D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odatek č. </w:t>
      </w:r>
      <w:r>
        <w:rPr>
          <w:rFonts w:ascii="Arial" w:eastAsiaTheme="minorHAnsi" w:hAnsi="Arial" w:cs="Arial"/>
          <w:sz w:val="20"/>
          <w:lang w:eastAsia="en-US"/>
        </w:rPr>
        <w:t>7</w:t>
      </w:r>
      <w:r w:rsidRPr="00C7180F">
        <w:rPr>
          <w:rFonts w:ascii="Arial" w:eastAsiaTheme="minorHAnsi" w:hAnsi="Arial" w:cs="Arial"/>
          <w:sz w:val="20"/>
          <w:lang w:eastAsia="en-US"/>
        </w:rPr>
        <w:t xml:space="preserve"> podepíše v souladu s § 5 ZSVD kvalifikovaným elektronickým podpisem.</w:t>
      </w:r>
    </w:p>
    <w:p w14:paraId="013910DA" w14:textId="77777777" w:rsidR="00C7180F" w:rsidRPr="00C7180F" w:rsidRDefault="00C7180F" w:rsidP="001C2C3D">
      <w:pPr>
        <w:spacing w:before="120" w:after="120" w:line="276" w:lineRule="auto"/>
        <w:ind w:left="357"/>
        <w:contextualSpacing/>
        <w:rPr>
          <w:rFonts w:ascii="Arial" w:eastAsiaTheme="minorHAnsi" w:hAnsi="Arial" w:cs="Arial"/>
          <w:sz w:val="20"/>
          <w:lang w:eastAsia="en-US"/>
        </w:rPr>
      </w:pPr>
    </w:p>
    <w:p w14:paraId="05481C18" w14:textId="77777777" w:rsidR="002F1362" w:rsidRPr="008E6668" w:rsidRDefault="002F1362" w:rsidP="001C2C3D">
      <w:pPr>
        <w:numPr>
          <w:ilvl w:val="0"/>
          <w:numId w:val="2"/>
        </w:numPr>
        <w:spacing w:before="120" w:after="120" w:line="276" w:lineRule="auto"/>
        <w:ind w:left="357" w:hanging="357"/>
        <w:contextualSpacing/>
        <w:rPr>
          <w:rFonts w:ascii="Arial" w:eastAsiaTheme="minorHAnsi" w:hAnsi="Arial" w:cs="Arial"/>
          <w:sz w:val="20"/>
          <w:lang w:eastAsia="en-US"/>
        </w:rPr>
      </w:pPr>
      <w:r w:rsidRPr="008E6668">
        <w:rPr>
          <w:rFonts w:ascii="Arial" w:eastAsiaTheme="minorHAnsi" w:hAnsi="Arial" w:cs="Arial"/>
          <w:sz w:val="20"/>
          <w:lang w:eastAsia="en-US"/>
        </w:rPr>
        <w:t xml:space="preserve">Smluvní strany prohlašují, že si tento Dodatek č. </w:t>
      </w:r>
      <w:r w:rsidR="00C7180F">
        <w:rPr>
          <w:rFonts w:ascii="Arial" w:eastAsiaTheme="minorHAnsi" w:hAnsi="Arial" w:cs="Arial"/>
          <w:sz w:val="20"/>
          <w:lang w:eastAsia="en-US"/>
        </w:rPr>
        <w:t>7</w:t>
      </w:r>
      <w:r w:rsidRPr="008E6668">
        <w:rPr>
          <w:rFonts w:ascii="Arial" w:eastAsiaTheme="minorHAnsi" w:hAnsi="Arial" w:cs="Arial"/>
          <w:sz w:val="20"/>
          <w:lang w:eastAsia="en-US"/>
        </w:rPr>
        <w:t xml:space="preserve"> řádně přečetly, s jeho zněním souhlasí a na důkaz toho připojují své podpisy.</w:t>
      </w:r>
    </w:p>
    <w:p w14:paraId="3A6A6E3B" w14:textId="77777777" w:rsidR="00C3494F" w:rsidRPr="00046680" w:rsidRDefault="00C3494F" w:rsidP="001C2C3D">
      <w:pPr>
        <w:spacing w:before="120" w:after="120" w:line="276" w:lineRule="auto"/>
        <w:jc w:val="left"/>
        <w:rPr>
          <w:rFonts w:ascii="Arial" w:eastAsiaTheme="minorHAnsi" w:hAnsi="Arial" w:cs="Arial"/>
          <w:sz w:val="20"/>
          <w:lang w:eastAsia="en-US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71"/>
        <w:gridCol w:w="2353"/>
        <w:gridCol w:w="3148"/>
      </w:tblGrid>
      <w:tr w:rsidR="00046680" w:rsidRPr="00046680" w14:paraId="3B1C1F7B" w14:textId="77777777" w:rsidTr="002F1362">
        <w:tc>
          <w:tcPr>
            <w:tcW w:w="1968" w:type="pct"/>
          </w:tcPr>
          <w:p w14:paraId="2013A489" w14:textId="77777777" w:rsidR="00046680" w:rsidRPr="00046680" w:rsidRDefault="00046680" w:rsidP="001C2C3D">
            <w:pPr>
              <w:spacing w:before="120" w:after="120" w:line="276" w:lineRule="auto"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t>Všeobecná zdravotní pojišťovna</w:t>
            </w:r>
            <w:r w:rsidRPr="00046680">
              <w:rPr>
                <w:rFonts w:ascii="Arial" w:eastAsiaTheme="minorHAnsi" w:hAnsi="Arial" w:cs="Arial"/>
                <w:b/>
                <w:sz w:val="20"/>
                <w:lang w:eastAsia="en-US"/>
              </w:rPr>
              <w:br/>
              <w:t>České republiky</w:t>
            </w:r>
          </w:p>
        </w:tc>
        <w:tc>
          <w:tcPr>
            <w:tcW w:w="1297" w:type="pct"/>
          </w:tcPr>
          <w:p w14:paraId="2C9BE0DB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730DF72A" w14:textId="77777777" w:rsidR="002F1362" w:rsidRDefault="002F1362" w:rsidP="001C2C3D">
            <w:pPr>
              <w:autoSpaceDE w:val="0"/>
              <w:autoSpaceDN w:val="0"/>
              <w:adjustRightInd w:val="0"/>
              <w:spacing w:before="120" w:after="120" w:line="276" w:lineRule="auto"/>
              <w:jc w:val="left"/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</w:pPr>
            <w:r>
              <w:rPr>
                <w:rFonts w:ascii="Helvetica-Bold" w:eastAsiaTheme="minorHAnsi" w:hAnsi="Helvetica-Bold" w:cs="Helvetica-Bold"/>
                <w:b/>
                <w:bCs/>
                <w:sz w:val="20"/>
                <w:lang w:eastAsia="en-US"/>
              </w:rPr>
              <w:t>ha-vel internet s.r.o.</w:t>
            </w:r>
          </w:p>
          <w:p w14:paraId="79CFFCA4" w14:textId="77777777" w:rsidR="00046680" w:rsidRPr="00046680" w:rsidRDefault="00046680" w:rsidP="001C2C3D">
            <w:pPr>
              <w:spacing w:before="120" w:after="120" w:line="276" w:lineRule="auto"/>
              <w:jc w:val="left"/>
              <w:rPr>
                <w:rFonts w:ascii="Arial" w:eastAsiaTheme="minorHAnsi" w:hAnsi="Arial" w:cs="Arial"/>
                <w:b/>
                <w:sz w:val="20"/>
                <w:lang w:eastAsia="en-US"/>
              </w:rPr>
            </w:pPr>
          </w:p>
        </w:tc>
      </w:tr>
      <w:tr w:rsidR="00046680" w:rsidRPr="00046680" w14:paraId="38DCABB5" w14:textId="77777777" w:rsidTr="002F1362">
        <w:tc>
          <w:tcPr>
            <w:tcW w:w="1968" w:type="pct"/>
            <w:vAlign w:val="bottom"/>
          </w:tcPr>
          <w:p w14:paraId="40F08DEC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297" w:type="pct"/>
            <w:vAlign w:val="bottom"/>
          </w:tcPr>
          <w:p w14:paraId="67816136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  <w:vAlign w:val="bottom"/>
          </w:tcPr>
          <w:p w14:paraId="697B4395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</w:tr>
      <w:tr w:rsidR="00046680" w:rsidRPr="00046680" w14:paraId="2B259452" w14:textId="77777777" w:rsidTr="002F1362">
        <w:tc>
          <w:tcPr>
            <w:tcW w:w="1968" w:type="pct"/>
          </w:tcPr>
          <w:p w14:paraId="04B40CE8" w14:textId="77777777" w:rsidR="00046680" w:rsidRPr="00046680" w:rsidRDefault="00046680" w:rsidP="001C2C3D">
            <w:pPr>
              <w:spacing w:before="120" w:after="12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Ing. Zdeněk Kabátek</w:t>
            </w:r>
          </w:p>
          <w:p w14:paraId="0A5FE512" w14:textId="77777777" w:rsidR="00046680" w:rsidRPr="00046680" w:rsidRDefault="00046680" w:rsidP="001C2C3D">
            <w:pPr>
              <w:spacing w:before="120" w:after="12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 w:rsidRPr="00046680">
              <w:rPr>
                <w:rFonts w:ascii="Arial" w:eastAsiaTheme="minorHAnsi" w:hAnsi="Arial" w:cs="Arial"/>
                <w:sz w:val="20"/>
                <w:lang w:eastAsia="en-US"/>
              </w:rPr>
              <w:t>ředitel VZP ČR</w:t>
            </w:r>
          </w:p>
        </w:tc>
        <w:tc>
          <w:tcPr>
            <w:tcW w:w="1297" w:type="pct"/>
          </w:tcPr>
          <w:p w14:paraId="1BE38D47" w14:textId="77777777" w:rsidR="00046680" w:rsidRPr="00046680" w:rsidRDefault="00046680" w:rsidP="001C2C3D">
            <w:pPr>
              <w:spacing w:before="120" w:after="120" w:line="276" w:lineRule="auto"/>
              <w:jc w:val="center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1735" w:type="pct"/>
          </w:tcPr>
          <w:p w14:paraId="03AF96F1" w14:textId="77777777" w:rsidR="002F1362" w:rsidRDefault="002F1362" w:rsidP="001C2C3D">
            <w:pPr>
              <w:spacing w:before="120" w:after="120" w:line="276" w:lineRule="auto"/>
              <w:contextualSpacing/>
              <w:jc w:val="left"/>
              <w:rPr>
                <w:rFonts w:ascii="Helvetica" w:eastAsiaTheme="minorHAnsi" w:hAnsi="Helvetica" w:cs="Helvetica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 xml:space="preserve">Ing. Pavel Halfar </w:t>
            </w:r>
          </w:p>
          <w:p w14:paraId="023E4D3B" w14:textId="77777777" w:rsidR="00046680" w:rsidRPr="00046680" w:rsidRDefault="002F1362" w:rsidP="001C2C3D">
            <w:pPr>
              <w:spacing w:before="120" w:after="120" w:line="276" w:lineRule="auto"/>
              <w:contextualSpacing/>
              <w:jc w:val="left"/>
              <w:rPr>
                <w:rFonts w:ascii="Arial" w:eastAsiaTheme="minorHAnsi" w:hAnsi="Arial" w:cs="Arial"/>
                <w:sz w:val="20"/>
                <w:lang w:eastAsia="en-US"/>
              </w:rPr>
            </w:pPr>
            <w:r>
              <w:rPr>
                <w:rFonts w:ascii="Helvetica" w:eastAsiaTheme="minorHAnsi" w:hAnsi="Helvetica" w:cs="Helvetica"/>
                <w:sz w:val="20"/>
                <w:lang w:eastAsia="en-US"/>
              </w:rPr>
              <w:t>jednatel</w:t>
            </w:r>
          </w:p>
        </w:tc>
      </w:tr>
    </w:tbl>
    <w:p w14:paraId="5BB7D6FF" w14:textId="77777777" w:rsidR="006C518D" w:rsidRDefault="006C518D" w:rsidP="001C2C3D">
      <w:pPr>
        <w:spacing w:before="120" w:after="120" w:line="276" w:lineRule="auto"/>
        <w:jc w:val="left"/>
        <w:rPr>
          <w:rFonts w:ascii="Calibri" w:hAnsi="Calibri"/>
        </w:rPr>
      </w:pPr>
    </w:p>
    <w:p w14:paraId="36BFD0E0" w14:textId="69340527" w:rsidR="006C518D" w:rsidRDefault="006C518D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BB68974" w14:textId="74C3EA46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AFF760B" w14:textId="55604C27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6A564AEF" w14:textId="0B8599B4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F6650EE" w14:textId="333B7954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BAA4E35" w14:textId="1F86EDB2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659801C" w14:textId="02947FBA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5F4B5F9" w14:textId="67F5DC29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5E0C0568" w14:textId="0E3851EF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21ABE790" w14:textId="5ADF3975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40AC158C" w14:textId="24C35FBF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63CEB97" w14:textId="1A26EB75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622394AF" w14:textId="0A0BEBB9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065ECC23" w14:textId="7DCA0977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285152EF" w14:textId="77777777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  <w:sectPr w:rsidR="004A514B" w:rsidSect="0058580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DA279F" w14:textId="772EF2ED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4A514B">
        <w:rPr>
          <w:rFonts w:eastAsiaTheme="minorHAnsi"/>
          <w:noProof/>
        </w:rPr>
        <w:lastRenderedPageBreak/>
        <w:drawing>
          <wp:inline distT="0" distB="0" distL="0" distR="0" wp14:anchorId="1749223F" wp14:editId="37F1708C">
            <wp:extent cx="8892540" cy="4255681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5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3EDA7" w14:textId="61510558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C46ED76" w14:textId="44776C0C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>
        <w:rPr>
          <w:rFonts w:ascii="Arial" w:eastAsiaTheme="minorHAnsi" w:hAnsi="Arial" w:cs="Arial"/>
          <w:sz w:val="20"/>
          <w:lang w:eastAsia="en-US"/>
        </w:rPr>
        <w:br w:type="page"/>
      </w:r>
    </w:p>
    <w:p w14:paraId="3478E340" w14:textId="6E09CFE6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4A514B">
        <w:rPr>
          <w:rFonts w:eastAsiaTheme="minorHAnsi"/>
          <w:noProof/>
        </w:rPr>
        <w:lastRenderedPageBreak/>
        <w:drawing>
          <wp:inline distT="0" distB="0" distL="0" distR="0" wp14:anchorId="52746B05" wp14:editId="0E21024C">
            <wp:extent cx="8896350" cy="40644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530" cy="4067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7625" w14:textId="2240E6BB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2EE055CC" w14:textId="391FCFA8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46E4124" w14:textId="64C5C523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228BF5C" w14:textId="4041F8A0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3DEBE18D" w14:textId="0A46E78E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4A514B">
        <w:rPr>
          <w:rFonts w:eastAsiaTheme="minorHAnsi"/>
          <w:noProof/>
        </w:rPr>
        <w:lastRenderedPageBreak/>
        <w:drawing>
          <wp:inline distT="0" distB="0" distL="0" distR="0" wp14:anchorId="4ACE07EC" wp14:editId="3E178FC6">
            <wp:extent cx="8892540" cy="5042162"/>
            <wp:effectExtent l="0" t="0" r="3810" b="635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4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2B40" w14:textId="2361C686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7909BCE5" w14:textId="75793CA1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4717D4B7" w14:textId="39048A95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4A514B">
        <w:rPr>
          <w:rFonts w:eastAsiaTheme="minorHAnsi"/>
          <w:noProof/>
        </w:rPr>
        <w:lastRenderedPageBreak/>
        <w:drawing>
          <wp:inline distT="0" distB="0" distL="0" distR="0" wp14:anchorId="36590CD3" wp14:editId="0F55A4D0">
            <wp:extent cx="8892540" cy="909298"/>
            <wp:effectExtent l="0" t="0" r="0" b="571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09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E1F77" w14:textId="63A06819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</w:p>
    <w:p w14:paraId="1BC66B30" w14:textId="090B0FBA" w:rsidR="004A514B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4A514B">
        <w:rPr>
          <w:rFonts w:eastAsiaTheme="minorHAnsi"/>
          <w:noProof/>
        </w:rPr>
        <w:drawing>
          <wp:inline distT="0" distB="0" distL="0" distR="0" wp14:anchorId="23DEE3BA" wp14:editId="3164F4AB">
            <wp:extent cx="8892540" cy="982628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98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109D" w14:textId="0558F321" w:rsidR="004A514B" w:rsidRPr="00BD4513" w:rsidRDefault="004A514B" w:rsidP="00BD4513">
      <w:pPr>
        <w:spacing w:after="200" w:line="276" w:lineRule="auto"/>
        <w:ind w:right="-284"/>
        <w:jc w:val="left"/>
        <w:rPr>
          <w:rFonts w:ascii="Arial" w:eastAsiaTheme="minorHAnsi" w:hAnsi="Arial" w:cs="Arial"/>
          <w:sz w:val="20"/>
          <w:lang w:eastAsia="en-US"/>
        </w:rPr>
      </w:pPr>
      <w:r w:rsidRPr="004A514B">
        <w:rPr>
          <w:rFonts w:eastAsiaTheme="minorHAnsi"/>
          <w:noProof/>
        </w:rPr>
        <w:drawing>
          <wp:inline distT="0" distB="0" distL="0" distR="0" wp14:anchorId="1A58EFD7" wp14:editId="60917A5D">
            <wp:extent cx="3987800" cy="149091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57" cy="1499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514B" w:rsidRPr="00BD4513" w:rsidSect="004A51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F8B97" w14:textId="77777777" w:rsidR="00E97847" w:rsidRDefault="00E97847" w:rsidP="00EA57EC">
      <w:r>
        <w:separator/>
      </w:r>
    </w:p>
  </w:endnote>
  <w:endnote w:type="continuationSeparator" w:id="0">
    <w:p w14:paraId="623795FE" w14:textId="77777777" w:rsidR="00E97847" w:rsidRDefault="00E97847" w:rsidP="00EA57EC">
      <w:r>
        <w:continuationSeparator/>
      </w:r>
    </w:p>
  </w:endnote>
  <w:endnote w:type="continuationNotice" w:id="1">
    <w:p w14:paraId="616935BC" w14:textId="77777777" w:rsidR="00E97847" w:rsidRDefault="00E97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2471494"/>
      <w:docPartObj>
        <w:docPartGallery w:val="Page Numbers (Bottom of Page)"/>
        <w:docPartUnique/>
      </w:docPartObj>
    </w:sdtPr>
    <w:sdtEndPr/>
    <w:sdtContent>
      <w:p w14:paraId="43F1CBDE" w14:textId="77777777" w:rsidR="000578E3" w:rsidRDefault="000578E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C37">
          <w:rPr>
            <w:noProof/>
          </w:rPr>
          <w:t>1</w:t>
        </w:r>
        <w:r>
          <w:fldChar w:fldCharType="end"/>
        </w:r>
      </w:p>
    </w:sdtContent>
  </w:sdt>
  <w:p w14:paraId="2E26E13C" w14:textId="77777777" w:rsidR="000578E3" w:rsidRDefault="000578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0F92B" w14:textId="77777777" w:rsidR="00E97847" w:rsidRDefault="00E97847" w:rsidP="00EA57EC">
      <w:r>
        <w:separator/>
      </w:r>
    </w:p>
  </w:footnote>
  <w:footnote w:type="continuationSeparator" w:id="0">
    <w:p w14:paraId="4F5CC1FA" w14:textId="77777777" w:rsidR="00E97847" w:rsidRDefault="00E97847" w:rsidP="00EA57EC">
      <w:r>
        <w:continuationSeparator/>
      </w:r>
    </w:p>
  </w:footnote>
  <w:footnote w:type="continuationNotice" w:id="1">
    <w:p w14:paraId="3F97A74E" w14:textId="77777777" w:rsidR="00E97847" w:rsidRDefault="00E978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1390"/>
    <w:multiLevelType w:val="hybridMultilevel"/>
    <w:tmpl w:val="1F6E09B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6718"/>
    <w:multiLevelType w:val="hybridMultilevel"/>
    <w:tmpl w:val="25DE0D0E"/>
    <w:lvl w:ilvl="0" w:tplc="29DA0E38">
      <w:start w:val="1"/>
      <w:numFmt w:val="upperRoman"/>
      <w:lvlText w:val="%1."/>
      <w:lvlJc w:val="right"/>
      <w:pPr>
        <w:ind w:left="108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45D1F"/>
    <w:multiLevelType w:val="hybridMultilevel"/>
    <w:tmpl w:val="6EC4F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5519D"/>
    <w:multiLevelType w:val="hybridMultilevel"/>
    <w:tmpl w:val="C9E26D04"/>
    <w:lvl w:ilvl="0" w:tplc="4B94F9AC">
      <w:start w:val="1"/>
      <w:numFmt w:val="lowerLetter"/>
      <w:lvlText w:val="%1)"/>
      <w:lvlJc w:val="left"/>
      <w:pPr>
        <w:ind w:left="720" w:hanging="360"/>
      </w:pPr>
      <w:rPr>
        <w:rFonts w:eastAsia="Courier New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3121F"/>
    <w:multiLevelType w:val="hybridMultilevel"/>
    <w:tmpl w:val="E962D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4191"/>
    <w:multiLevelType w:val="hybridMultilevel"/>
    <w:tmpl w:val="BF1C0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F6F51"/>
    <w:multiLevelType w:val="hybridMultilevel"/>
    <w:tmpl w:val="9D22A5A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86CE8"/>
    <w:multiLevelType w:val="hybridMultilevel"/>
    <w:tmpl w:val="E6FE3C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73491"/>
    <w:multiLevelType w:val="hybridMultilevel"/>
    <w:tmpl w:val="DDA804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6E0B58"/>
    <w:multiLevelType w:val="hybridMultilevel"/>
    <w:tmpl w:val="DDBE5428"/>
    <w:lvl w:ilvl="0" w:tplc="F64E9138">
      <w:start w:val="1"/>
      <w:numFmt w:val="upperRoman"/>
      <w:pStyle w:val="Nadpis11"/>
      <w:lvlText w:val="%1."/>
      <w:lvlJc w:val="right"/>
      <w:pPr>
        <w:ind w:left="720" w:hanging="360"/>
      </w:pPr>
      <w:rPr>
        <w:b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6016E"/>
    <w:multiLevelType w:val="hybridMultilevel"/>
    <w:tmpl w:val="BF48AAF6"/>
    <w:lvl w:ilvl="0" w:tplc="7F94C622">
      <w:start w:val="1"/>
      <w:numFmt w:val="decimal"/>
      <w:pStyle w:val="Odrazkac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8759BD"/>
    <w:multiLevelType w:val="hybridMultilevel"/>
    <w:tmpl w:val="336052B8"/>
    <w:lvl w:ilvl="0" w:tplc="507E720C">
      <w:start w:val="3"/>
      <w:numFmt w:val="upperRoman"/>
      <w:lvlText w:val="%1."/>
      <w:lvlJc w:val="left"/>
      <w:pPr>
        <w:ind w:left="4968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5B7C7710"/>
    <w:multiLevelType w:val="hybridMultilevel"/>
    <w:tmpl w:val="368AC100"/>
    <w:lvl w:ilvl="0" w:tplc="125213A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C7A077C"/>
    <w:multiLevelType w:val="multilevel"/>
    <w:tmpl w:val="486E347E"/>
    <w:lvl w:ilvl="0">
      <w:start w:val="1"/>
      <w:numFmt w:val="decimal"/>
      <w:pStyle w:val="Nadpis2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1078"/>
        </w:tabs>
        <w:ind w:left="1078" w:hanging="936"/>
      </w:pPr>
    </w:lvl>
    <w:lvl w:ilvl="3">
      <w:start w:val="1"/>
      <w:numFmt w:val="decimal"/>
      <w:lvlText w:val="%1.%2.%3.%4"/>
      <w:lvlJc w:val="left"/>
      <w:pPr>
        <w:tabs>
          <w:tab w:val="num" w:pos="1152"/>
        </w:tabs>
        <w:ind w:left="1152" w:hanging="1152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656" w:hanging="1656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1872" w:hanging="1872"/>
      </w:p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088" w:hanging="2088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304" w:hanging="2304"/>
      </w:pPr>
    </w:lvl>
  </w:abstractNum>
  <w:abstractNum w:abstractNumId="14" w15:restartNumberingAfterBreak="0">
    <w:nsid w:val="5D2D4B25"/>
    <w:multiLevelType w:val="hybridMultilevel"/>
    <w:tmpl w:val="404AA49E"/>
    <w:lvl w:ilvl="0" w:tplc="BF6E9A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D245B"/>
    <w:multiLevelType w:val="hybridMultilevel"/>
    <w:tmpl w:val="CE4E2518"/>
    <w:lvl w:ilvl="0" w:tplc="8A567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B31E9"/>
    <w:multiLevelType w:val="hybridMultilevel"/>
    <w:tmpl w:val="CBD8C3EE"/>
    <w:lvl w:ilvl="0" w:tplc="B63235A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C066A"/>
    <w:multiLevelType w:val="hybridMultilevel"/>
    <w:tmpl w:val="7F903A06"/>
    <w:lvl w:ilvl="0" w:tplc="2444A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725860"/>
    <w:multiLevelType w:val="hybridMultilevel"/>
    <w:tmpl w:val="69FEBF40"/>
    <w:lvl w:ilvl="0" w:tplc="9B2EB0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E96D0A"/>
    <w:multiLevelType w:val="hybridMultilevel"/>
    <w:tmpl w:val="F2704FA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273D09"/>
    <w:multiLevelType w:val="hybridMultilevel"/>
    <w:tmpl w:val="37B6C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A6120"/>
    <w:multiLevelType w:val="hybridMultilevel"/>
    <w:tmpl w:val="A32A1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373E3"/>
    <w:multiLevelType w:val="hybridMultilevel"/>
    <w:tmpl w:val="EDB62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15"/>
  </w:num>
  <w:num w:numId="10">
    <w:abstractNumId w:val="17"/>
  </w:num>
  <w:num w:numId="11">
    <w:abstractNumId w:val="9"/>
  </w:num>
  <w:num w:numId="12">
    <w:abstractNumId w:val="12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1"/>
  </w:num>
  <w:num w:numId="18">
    <w:abstractNumId w:val="5"/>
  </w:num>
  <w:num w:numId="19">
    <w:abstractNumId w:val="2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</w:num>
  <w:num w:numId="23">
    <w:abstractNumId w:val="10"/>
  </w:num>
  <w:num w:numId="24">
    <w:abstractNumId w:val="7"/>
  </w:num>
  <w:num w:numId="25">
    <w:abstractNumId w:val="10"/>
  </w:num>
  <w:num w:numId="26">
    <w:abstractNumId w:val="18"/>
  </w:num>
  <w:num w:numId="27">
    <w:abstractNumId w:val="10"/>
  </w:num>
  <w:num w:numId="28">
    <w:abstractNumId w:val="10"/>
  </w:num>
  <w:num w:numId="29">
    <w:abstractNumId w:val="9"/>
  </w:num>
  <w:num w:numId="30">
    <w:abstractNumId w:val="9"/>
  </w:num>
  <w:num w:numId="31">
    <w:abstractNumId w:val="10"/>
  </w:num>
  <w:num w:numId="32">
    <w:abstractNumId w:val="20"/>
  </w:num>
  <w:num w:numId="33">
    <w:abstractNumId w:val="0"/>
  </w:num>
  <w:num w:numId="34">
    <w:abstractNumId w:val="4"/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0"/>
    <w:lvlOverride w:ilvl="0">
      <w:startOverride w:val="1"/>
    </w:lvlOverride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  <w:num w:numId="43">
    <w:abstractNumId w:val="6"/>
  </w:num>
  <w:num w:numId="44">
    <w:abstractNumId w:val="19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AA"/>
    <w:rsid w:val="00000FAA"/>
    <w:rsid w:val="00001388"/>
    <w:rsid w:val="0000227E"/>
    <w:rsid w:val="000036C5"/>
    <w:rsid w:val="000057ED"/>
    <w:rsid w:val="00015C2A"/>
    <w:rsid w:val="0001641F"/>
    <w:rsid w:val="00016CEE"/>
    <w:rsid w:val="00016EE1"/>
    <w:rsid w:val="00023FFA"/>
    <w:rsid w:val="0002566D"/>
    <w:rsid w:val="000403BA"/>
    <w:rsid w:val="0004228B"/>
    <w:rsid w:val="00046680"/>
    <w:rsid w:val="000578E3"/>
    <w:rsid w:val="000759E3"/>
    <w:rsid w:val="0007773F"/>
    <w:rsid w:val="00080825"/>
    <w:rsid w:val="00086F33"/>
    <w:rsid w:val="000973BF"/>
    <w:rsid w:val="000A0300"/>
    <w:rsid w:val="000A03EA"/>
    <w:rsid w:val="000A1793"/>
    <w:rsid w:val="000B1069"/>
    <w:rsid w:val="000B2DFC"/>
    <w:rsid w:val="000C1A05"/>
    <w:rsid w:val="000C461A"/>
    <w:rsid w:val="000C5502"/>
    <w:rsid w:val="000E0B54"/>
    <w:rsid w:val="000E3E6B"/>
    <w:rsid w:val="00103764"/>
    <w:rsid w:val="001071EB"/>
    <w:rsid w:val="001174E5"/>
    <w:rsid w:val="00121445"/>
    <w:rsid w:val="0012246C"/>
    <w:rsid w:val="0012715F"/>
    <w:rsid w:val="00154228"/>
    <w:rsid w:val="0015602B"/>
    <w:rsid w:val="00161B42"/>
    <w:rsid w:val="001649E8"/>
    <w:rsid w:val="00167989"/>
    <w:rsid w:val="00175B09"/>
    <w:rsid w:val="00184C35"/>
    <w:rsid w:val="00184D29"/>
    <w:rsid w:val="00190847"/>
    <w:rsid w:val="00197BD0"/>
    <w:rsid w:val="001A1ABC"/>
    <w:rsid w:val="001B09FA"/>
    <w:rsid w:val="001C2C3D"/>
    <w:rsid w:val="001C426D"/>
    <w:rsid w:val="001D1476"/>
    <w:rsid w:val="001E00E3"/>
    <w:rsid w:val="001E0E35"/>
    <w:rsid w:val="001E1A4D"/>
    <w:rsid w:val="001E5F3C"/>
    <w:rsid w:val="001F1155"/>
    <w:rsid w:val="00202B7E"/>
    <w:rsid w:val="00203717"/>
    <w:rsid w:val="002103DF"/>
    <w:rsid w:val="00214743"/>
    <w:rsid w:val="00220B75"/>
    <w:rsid w:val="00224FC4"/>
    <w:rsid w:val="00234697"/>
    <w:rsid w:val="00236283"/>
    <w:rsid w:val="00250248"/>
    <w:rsid w:val="00252893"/>
    <w:rsid w:val="00266996"/>
    <w:rsid w:val="00267500"/>
    <w:rsid w:val="00285F9D"/>
    <w:rsid w:val="00287B5F"/>
    <w:rsid w:val="0029047B"/>
    <w:rsid w:val="00292810"/>
    <w:rsid w:val="002A0DCE"/>
    <w:rsid w:val="002A42FB"/>
    <w:rsid w:val="002A4DA4"/>
    <w:rsid w:val="002A6464"/>
    <w:rsid w:val="002B76D0"/>
    <w:rsid w:val="002C6507"/>
    <w:rsid w:val="002D0356"/>
    <w:rsid w:val="002D0B74"/>
    <w:rsid w:val="002D175F"/>
    <w:rsid w:val="002D3024"/>
    <w:rsid w:val="002E0FF5"/>
    <w:rsid w:val="002E2EC3"/>
    <w:rsid w:val="002F038C"/>
    <w:rsid w:val="002F1362"/>
    <w:rsid w:val="002F24A7"/>
    <w:rsid w:val="002F50D0"/>
    <w:rsid w:val="002F568B"/>
    <w:rsid w:val="002F7975"/>
    <w:rsid w:val="002F7FD7"/>
    <w:rsid w:val="00304F9F"/>
    <w:rsid w:val="00305A63"/>
    <w:rsid w:val="00310FBB"/>
    <w:rsid w:val="00315C1D"/>
    <w:rsid w:val="00316133"/>
    <w:rsid w:val="00316875"/>
    <w:rsid w:val="003169F8"/>
    <w:rsid w:val="003229E6"/>
    <w:rsid w:val="003257DF"/>
    <w:rsid w:val="00330B8E"/>
    <w:rsid w:val="00330E97"/>
    <w:rsid w:val="00332000"/>
    <w:rsid w:val="003353A1"/>
    <w:rsid w:val="003419E9"/>
    <w:rsid w:val="00357396"/>
    <w:rsid w:val="003579E0"/>
    <w:rsid w:val="0036705F"/>
    <w:rsid w:val="00367416"/>
    <w:rsid w:val="00375B63"/>
    <w:rsid w:val="00375C7A"/>
    <w:rsid w:val="0039207C"/>
    <w:rsid w:val="003975CB"/>
    <w:rsid w:val="003A154E"/>
    <w:rsid w:val="003A1F50"/>
    <w:rsid w:val="003A506B"/>
    <w:rsid w:val="003B15E7"/>
    <w:rsid w:val="003B5A90"/>
    <w:rsid w:val="003B7C66"/>
    <w:rsid w:val="003C47CD"/>
    <w:rsid w:val="003D0474"/>
    <w:rsid w:val="003D1744"/>
    <w:rsid w:val="003D1798"/>
    <w:rsid w:val="003D2E14"/>
    <w:rsid w:val="003D4516"/>
    <w:rsid w:val="003D5C0C"/>
    <w:rsid w:val="003E3B31"/>
    <w:rsid w:val="003F30DF"/>
    <w:rsid w:val="00402FE0"/>
    <w:rsid w:val="004045B6"/>
    <w:rsid w:val="00440539"/>
    <w:rsid w:val="00461407"/>
    <w:rsid w:val="00465D67"/>
    <w:rsid w:val="0046691B"/>
    <w:rsid w:val="00467C43"/>
    <w:rsid w:val="00476FFA"/>
    <w:rsid w:val="004820A4"/>
    <w:rsid w:val="00485187"/>
    <w:rsid w:val="00485DC1"/>
    <w:rsid w:val="0049324F"/>
    <w:rsid w:val="004A056D"/>
    <w:rsid w:val="004A1463"/>
    <w:rsid w:val="004A23E2"/>
    <w:rsid w:val="004A27EA"/>
    <w:rsid w:val="004A514B"/>
    <w:rsid w:val="004B03B5"/>
    <w:rsid w:val="004B7721"/>
    <w:rsid w:val="004D13E0"/>
    <w:rsid w:val="004D2CD4"/>
    <w:rsid w:val="004D57DD"/>
    <w:rsid w:val="005004C1"/>
    <w:rsid w:val="0050102A"/>
    <w:rsid w:val="0050344F"/>
    <w:rsid w:val="0050792B"/>
    <w:rsid w:val="00514AD0"/>
    <w:rsid w:val="005154FB"/>
    <w:rsid w:val="00515E57"/>
    <w:rsid w:val="0054225F"/>
    <w:rsid w:val="00554F36"/>
    <w:rsid w:val="005776E8"/>
    <w:rsid w:val="005845DD"/>
    <w:rsid w:val="00585801"/>
    <w:rsid w:val="00592902"/>
    <w:rsid w:val="005A25B2"/>
    <w:rsid w:val="005A52CF"/>
    <w:rsid w:val="005A7712"/>
    <w:rsid w:val="005B2080"/>
    <w:rsid w:val="005B3671"/>
    <w:rsid w:val="005B5C57"/>
    <w:rsid w:val="005C0E5B"/>
    <w:rsid w:val="005D0F4F"/>
    <w:rsid w:val="005D7551"/>
    <w:rsid w:val="005E0454"/>
    <w:rsid w:val="005E74CE"/>
    <w:rsid w:val="005F31FF"/>
    <w:rsid w:val="00600758"/>
    <w:rsid w:val="00607A3E"/>
    <w:rsid w:val="00612C1E"/>
    <w:rsid w:val="0061795B"/>
    <w:rsid w:val="006201B9"/>
    <w:rsid w:val="00623698"/>
    <w:rsid w:val="00625EB9"/>
    <w:rsid w:val="00631602"/>
    <w:rsid w:val="0063530F"/>
    <w:rsid w:val="00646CA6"/>
    <w:rsid w:val="006470CD"/>
    <w:rsid w:val="00652049"/>
    <w:rsid w:val="00655176"/>
    <w:rsid w:val="006601A4"/>
    <w:rsid w:val="00661B9A"/>
    <w:rsid w:val="0066362E"/>
    <w:rsid w:val="00665F76"/>
    <w:rsid w:val="006667B2"/>
    <w:rsid w:val="00686C84"/>
    <w:rsid w:val="00687B08"/>
    <w:rsid w:val="00693234"/>
    <w:rsid w:val="006A5A87"/>
    <w:rsid w:val="006B30C4"/>
    <w:rsid w:val="006B7436"/>
    <w:rsid w:val="006C518D"/>
    <w:rsid w:val="006D07F4"/>
    <w:rsid w:val="006E034E"/>
    <w:rsid w:val="006E4200"/>
    <w:rsid w:val="006F0692"/>
    <w:rsid w:val="00711EDE"/>
    <w:rsid w:val="00715985"/>
    <w:rsid w:val="007170DF"/>
    <w:rsid w:val="0073385C"/>
    <w:rsid w:val="00743242"/>
    <w:rsid w:val="00747D88"/>
    <w:rsid w:val="00750139"/>
    <w:rsid w:val="0075261E"/>
    <w:rsid w:val="00756C93"/>
    <w:rsid w:val="00762D62"/>
    <w:rsid w:val="007633F8"/>
    <w:rsid w:val="00770505"/>
    <w:rsid w:val="0077339B"/>
    <w:rsid w:val="00776D66"/>
    <w:rsid w:val="00781E00"/>
    <w:rsid w:val="00785615"/>
    <w:rsid w:val="00795B80"/>
    <w:rsid w:val="007A3491"/>
    <w:rsid w:val="007B4C6C"/>
    <w:rsid w:val="007C2E41"/>
    <w:rsid w:val="007C3976"/>
    <w:rsid w:val="007D085A"/>
    <w:rsid w:val="007D2ED0"/>
    <w:rsid w:val="007F1FE6"/>
    <w:rsid w:val="007F3408"/>
    <w:rsid w:val="00804BAC"/>
    <w:rsid w:val="008050E9"/>
    <w:rsid w:val="008178DB"/>
    <w:rsid w:val="00824976"/>
    <w:rsid w:val="00840E6A"/>
    <w:rsid w:val="00846E0E"/>
    <w:rsid w:val="00847F72"/>
    <w:rsid w:val="00853792"/>
    <w:rsid w:val="0085580B"/>
    <w:rsid w:val="00856950"/>
    <w:rsid w:val="00856BC7"/>
    <w:rsid w:val="0086084A"/>
    <w:rsid w:val="00862B3E"/>
    <w:rsid w:val="00867116"/>
    <w:rsid w:val="00872B4B"/>
    <w:rsid w:val="00877A1D"/>
    <w:rsid w:val="00880B00"/>
    <w:rsid w:val="00883654"/>
    <w:rsid w:val="008B0C34"/>
    <w:rsid w:val="008B23B1"/>
    <w:rsid w:val="008C352F"/>
    <w:rsid w:val="008C6CD1"/>
    <w:rsid w:val="008D2D45"/>
    <w:rsid w:val="008D6C9E"/>
    <w:rsid w:val="008E6668"/>
    <w:rsid w:val="008F25AF"/>
    <w:rsid w:val="008F394A"/>
    <w:rsid w:val="00903254"/>
    <w:rsid w:val="00903EC5"/>
    <w:rsid w:val="0090518E"/>
    <w:rsid w:val="00911598"/>
    <w:rsid w:val="00911F03"/>
    <w:rsid w:val="009120A4"/>
    <w:rsid w:val="00912B92"/>
    <w:rsid w:val="00917EB5"/>
    <w:rsid w:val="00921964"/>
    <w:rsid w:val="00922718"/>
    <w:rsid w:val="00937AE9"/>
    <w:rsid w:val="0094041F"/>
    <w:rsid w:val="00944AAF"/>
    <w:rsid w:val="009451D2"/>
    <w:rsid w:val="00953B31"/>
    <w:rsid w:val="009616AE"/>
    <w:rsid w:val="00961FC0"/>
    <w:rsid w:val="009769CB"/>
    <w:rsid w:val="00981DF4"/>
    <w:rsid w:val="009931A2"/>
    <w:rsid w:val="009A37EC"/>
    <w:rsid w:val="009A57CB"/>
    <w:rsid w:val="009B2C37"/>
    <w:rsid w:val="009B360A"/>
    <w:rsid w:val="009B5BD7"/>
    <w:rsid w:val="009C2F24"/>
    <w:rsid w:val="009C5234"/>
    <w:rsid w:val="009C7718"/>
    <w:rsid w:val="009D000F"/>
    <w:rsid w:val="009D0BBB"/>
    <w:rsid w:val="009E455C"/>
    <w:rsid w:val="009E53D1"/>
    <w:rsid w:val="009E734C"/>
    <w:rsid w:val="009F33B7"/>
    <w:rsid w:val="009F4FA3"/>
    <w:rsid w:val="00A11D6A"/>
    <w:rsid w:val="00A22A83"/>
    <w:rsid w:val="00A5085E"/>
    <w:rsid w:val="00A55DF0"/>
    <w:rsid w:val="00A608B6"/>
    <w:rsid w:val="00A622D5"/>
    <w:rsid w:val="00A6782C"/>
    <w:rsid w:val="00A70CCC"/>
    <w:rsid w:val="00A73F23"/>
    <w:rsid w:val="00A757E1"/>
    <w:rsid w:val="00A76602"/>
    <w:rsid w:val="00A81828"/>
    <w:rsid w:val="00A84A10"/>
    <w:rsid w:val="00A85A9F"/>
    <w:rsid w:val="00A93B5A"/>
    <w:rsid w:val="00A94DC8"/>
    <w:rsid w:val="00A95F9E"/>
    <w:rsid w:val="00AC73C8"/>
    <w:rsid w:val="00AD4F28"/>
    <w:rsid w:val="00AD5785"/>
    <w:rsid w:val="00AD652E"/>
    <w:rsid w:val="00AE0579"/>
    <w:rsid w:val="00AE19C7"/>
    <w:rsid w:val="00AE2FAB"/>
    <w:rsid w:val="00AE6098"/>
    <w:rsid w:val="00B11451"/>
    <w:rsid w:val="00B1203C"/>
    <w:rsid w:val="00B25C3A"/>
    <w:rsid w:val="00B50C92"/>
    <w:rsid w:val="00B51BA5"/>
    <w:rsid w:val="00B52E4D"/>
    <w:rsid w:val="00B556B2"/>
    <w:rsid w:val="00B61ED5"/>
    <w:rsid w:val="00B86795"/>
    <w:rsid w:val="00B86FF8"/>
    <w:rsid w:val="00B96BCF"/>
    <w:rsid w:val="00BA0092"/>
    <w:rsid w:val="00BB0EEE"/>
    <w:rsid w:val="00BB509F"/>
    <w:rsid w:val="00BC2C08"/>
    <w:rsid w:val="00BC4238"/>
    <w:rsid w:val="00BC795D"/>
    <w:rsid w:val="00BD4513"/>
    <w:rsid w:val="00BD5A5D"/>
    <w:rsid w:val="00BF2EE3"/>
    <w:rsid w:val="00C02527"/>
    <w:rsid w:val="00C026B0"/>
    <w:rsid w:val="00C06AE4"/>
    <w:rsid w:val="00C07D2A"/>
    <w:rsid w:val="00C176F8"/>
    <w:rsid w:val="00C206BD"/>
    <w:rsid w:val="00C213DD"/>
    <w:rsid w:val="00C33C7B"/>
    <w:rsid w:val="00C3405C"/>
    <w:rsid w:val="00C3494F"/>
    <w:rsid w:val="00C3556C"/>
    <w:rsid w:val="00C66692"/>
    <w:rsid w:val="00C7180F"/>
    <w:rsid w:val="00C7358E"/>
    <w:rsid w:val="00C829C4"/>
    <w:rsid w:val="00C861C1"/>
    <w:rsid w:val="00C91550"/>
    <w:rsid w:val="00C97FA5"/>
    <w:rsid w:val="00CA00DB"/>
    <w:rsid w:val="00CA24D8"/>
    <w:rsid w:val="00CA649C"/>
    <w:rsid w:val="00CB05D1"/>
    <w:rsid w:val="00CC091E"/>
    <w:rsid w:val="00CD1793"/>
    <w:rsid w:val="00CD3B3A"/>
    <w:rsid w:val="00CD4F60"/>
    <w:rsid w:val="00CD7E06"/>
    <w:rsid w:val="00CE153A"/>
    <w:rsid w:val="00CF072A"/>
    <w:rsid w:val="00CF204E"/>
    <w:rsid w:val="00CF2F21"/>
    <w:rsid w:val="00CF4C97"/>
    <w:rsid w:val="00D045BC"/>
    <w:rsid w:val="00D074FE"/>
    <w:rsid w:val="00D10643"/>
    <w:rsid w:val="00D15EE0"/>
    <w:rsid w:val="00D16252"/>
    <w:rsid w:val="00D1692C"/>
    <w:rsid w:val="00D22F89"/>
    <w:rsid w:val="00D33F1D"/>
    <w:rsid w:val="00D376E8"/>
    <w:rsid w:val="00D45B20"/>
    <w:rsid w:val="00D51952"/>
    <w:rsid w:val="00D62797"/>
    <w:rsid w:val="00D65B8E"/>
    <w:rsid w:val="00D7252B"/>
    <w:rsid w:val="00D74449"/>
    <w:rsid w:val="00D804D4"/>
    <w:rsid w:val="00D84F6A"/>
    <w:rsid w:val="00D9283F"/>
    <w:rsid w:val="00D97548"/>
    <w:rsid w:val="00D97C24"/>
    <w:rsid w:val="00DB0B60"/>
    <w:rsid w:val="00DB10C7"/>
    <w:rsid w:val="00DC4B46"/>
    <w:rsid w:val="00DD1EB5"/>
    <w:rsid w:val="00DF5A0B"/>
    <w:rsid w:val="00E001D2"/>
    <w:rsid w:val="00E023EB"/>
    <w:rsid w:val="00E12AC1"/>
    <w:rsid w:val="00E152A3"/>
    <w:rsid w:val="00E1615E"/>
    <w:rsid w:val="00E326B1"/>
    <w:rsid w:val="00E35724"/>
    <w:rsid w:val="00E37346"/>
    <w:rsid w:val="00E375A3"/>
    <w:rsid w:val="00E40010"/>
    <w:rsid w:val="00E40617"/>
    <w:rsid w:val="00E442BA"/>
    <w:rsid w:val="00E4445C"/>
    <w:rsid w:val="00E44DE7"/>
    <w:rsid w:val="00E4757F"/>
    <w:rsid w:val="00E51AEC"/>
    <w:rsid w:val="00E56757"/>
    <w:rsid w:val="00E602EE"/>
    <w:rsid w:val="00E62B71"/>
    <w:rsid w:val="00E704EA"/>
    <w:rsid w:val="00E71306"/>
    <w:rsid w:val="00E732C7"/>
    <w:rsid w:val="00E742ED"/>
    <w:rsid w:val="00E7453C"/>
    <w:rsid w:val="00E74D70"/>
    <w:rsid w:val="00E85768"/>
    <w:rsid w:val="00E97847"/>
    <w:rsid w:val="00EA57EC"/>
    <w:rsid w:val="00EA7D78"/>
    <w:rsid w:val="00EC4597"/>
    <w:rsid w:val="00EC46AF"/>
    <w:rsid w:val="00ED2C31"/>
    <w:rsid w:val="00EE48D3"/>
    <w:rsid w:val="00EF37A9"/>
    <w:rsid w:val="00F02075"/>
    <w:rsid w:val="00F058D9"/>
    <w:rsid w:val="00F0702D"/>
    <w:rsid w:val="00F07519"/>
    <w:rsid w:val="00F077F8"/>
    <w:rsid w:val="00F13A27"/>
    <w:rsid w:val="00F14FC6"/>
    <w:rsid w:val="00F2006B"/>
    <w:rsid w:val="00F219D3"/>
    <w:rsid w:val="00F2521D"/>
    <w:rsid w:val="00F3636C"/>
    <w:rsid w:val="00F370C8"/>
    <w:rsid w:val="00F40E60"/>
    <w:rsid w:val="00F433EF"/>
    <w:rsid w:val="00F52672"/>
    <w:rsid w:val="00F5447D"/>
    <w:rsid w:val="00F54551"/>
    <w:rsid w:val="00F561C1"/>
    <w:rsid w:val="00F57EE4"/>
    <w:rsid w:val="00F61E4B"/>
    <w:rsid w:val="00F765C2"/>
    <w:rsid w:val="00F7701A"/>
    <w:rsid w:val="00F81937"/>
    <w:rsid w:val="00F919E8"/>
    <w:rsid w:val="00FB6BD3"/>
    <w:rsid w:val="00FD78D4"/>
    <w:rsid w:val="00FE274C"/>
    <w:rsid w:val="00FE5289"/>
    <w:rsid w:val="00FE5DE6"/>
    <w:rsid w:val="00FF0CEA"/>
    <w:rsid w:val="00FF1808"/>
    <w:rsid w:val="00FF1F43"/>
    <w:rsid w:val="00FF4D72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B67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00F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00F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667B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00FAA"/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styleId="Rejstk1">
    <w:name w:val="index 1"/>
    <w:basedOn w:val="Normln"/>
    <w:next w:val="Normln"/>
    <w:rsid w:val="00000FAA"/>
    <w:pPr>
      <w:keepLines/>
      <w:ind w:right="-1"/>
    </w:pPr>
    <w:rPr>
      <w:lang w:val="en-GB" w:eastAsia="en-US"/>
    </w:rPr>
  </w:style>
  <w:style w:type="paragraph" w:styleId="Zkladntext3">
    <w:name w:val="Body Text 3"/>
    <w:basedOn w:val="Normln"/>
    <w:link w:val="Zkladntext3Char"/>
    <w:rsid w:val="00000FAA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FA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adpis11">
    <w:name w:val="Nadpis 11"/>
    <w:basedOn w:val="Normln"/>
    <w:qFormat/>
    <w:rsid w:val="00000FAA"/>
    <w:pPr>
      <w:keepNext/>
      <w:keepLines/>
      <w:widowControl w:val="0"/>
      <w:numPr>
        <w:numId w:val="3"/>
      </w:numPr>
      <w:tabs>
        <w:tab w:val="left" w:pos="0"/>
      </w:tabs>
      <w:spacing w:before="360" w:after="120"/>
      <w:jc w:val="center"/>
    </w:pPr>
    <w:rPr>
      <w:sz w:val="36"/>
      <w:szCs w:val="36"/>
      <w:lang w:eastAsia="en-US"/>
    </w:rPr>
  </w:style>
  <w:style w:type="paragraph" w:customStyle="1" w:styleId="Nadpis21">
    <w:name w:val="Nadpis 21"/>
    <w:basedOn w:val="Normln"/>
    <w:qFormat/>
    <w:rsid w:val="00000FAA"/>
    <w:pPr>
      <w:keepNext/>
      <w:widowControl w:val="0"/>
      <w:numPr>
        <w:numId w:val="1"/>
      </w:numPr>
      <w:spacing w:before="240"/>
      <w:jc w:val="left"/>
    </w:pPr>
    <w:rPr>
      <w:b/>
      <w:iCs/>
      <w:szCs w:val="24"/>
    </w:rPr>
  </w:style>
  <w:style w:type="paragraph" w:customStyle="1" w:styleId="Odrazkac">
    <w:name w:val="Odrazka c"/>
    <w:basedOn w:val="Normln"/>
    <w:qFormat/>
    <w:rsid w:val="00000FAA"/>
    <w:pPr>
      <w:keepLines/>
      <w:numPr>
        <w:numId w:val="2"/>
      </w:numPr>
      <w:spacing w:before="360"/>
    </w:pPr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1A1A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1AB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1AB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1A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1A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1A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AB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Odstdop">
    <w:name w:val="Odst. č.dop."/>
    <w:rsid w:val="008D6C9E"/>
    <w:pPr>
      <w:spacing w:before="120" w:after="0" w:line="240" w:lineRule="auto"/>
      <w:ind w:firstLine="709"/>
      <w:jc w:val="both"/>
    </w:pPr>
    <w:rPr>
      <w:rFonts w:ascii="Arial" w:eastAsia="Times New Roman" w:hAnsi="Arial" w:cs="Times New Roman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6667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Revize">
    <w:name w:val="Revision"/>
    <w:hidden/>
    <w:uiPriority w:val="99"/>
    <w:semiHidden/>
    <w:rsid w:val="006667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A57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57E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aliases w:val="Odrazky,Bullet List,lp1,Puce,Use Case List Paragraph,Heading2,Bullet for no #'s,Body Bullet,List bullet,List Paragraph 1,Ref,List Bullet1,Figure_name,Aufzählungszeichen1,Table Txt,ZOZNAM,Bullet Number,Odstavec se seznamem a odrážkou"/>
    <w:basedOn w:val="Normln"/>
    <w:link w:val="OdstavecseseznamemChar"/>
    <w:uiPriority w:val="34"/>
    <w:qFormat/>
    <w:rsid w:val="00C176F8"/>
    <w:pPr>
      <w:ind w:left="720"/>
      <w:contextualSpacing/>
    </w:pPr>
  </w:style>
  <w:style w:type="character" w:customStyle="1" w:styleId="OdstavecseseznamemChar">
    <w:name w:val="Odstavec se seznamem Char"/>
    <w:aliases w:val="Odrazky Char,Bullet List Char,lp1 Char,Puce Char,Use Case List Paragraph Char,Heading2 Char,Bullet for no #'s Char,Body Bullet Char,List bullet Char,List Paragraph 1 Char,Ref Char,List Bullet1 Char,Figure_name Char,ZOZNAM Char"/>
    <w:link w:val="Odstavecseseznamem"/>
    <w:uiPriority w:val="34"/>
    <w:locked/>
    <w:rsid w:val="007733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30E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30E9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ld">
    <w:name w:val="bold"/>
    <w:basedOn w:val="Standardnpsmoodstavce"/>
    <w:rsid w:val="003D0474"/>
  </w:style>
  <w:style w:type="paragraph" w:customStyle="1" w:styleId="Barevnseznamzvraznn11">
    <w:name w:val="Barevný seznam – zvýraznění 11"/>
    <w:basedOn w:val="Normln"/>
    <w:uiPriority w:val="34"/>
    <w:qFormat/>
    <w:rsid w:val="00E326B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F6187-795B-4368-81AA-3156EAB11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334DBD-EDCA-488A-A86E-CDCD715E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884</Words>
  <Characters>5221</Characters>
  <Application>Microsoft Office Word</Application>
  <DocSecurity>4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2022-07-01T09:54:00Z</dcterms:created>
  <dcterms:modified xsi:type="dcterms:W3CDTF">2022-07-01T09:54:00Z</dcterms:modified>
</cp:coreProperties>
</file>