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4B4BF5">
        <w:t xml:space="preserve"> (dále jen „Zákon“)</w:t>
      </w:r>
    </w:p>
    <w:p w:rsidR="00E11479" w:rsidRDefault="00E11479" w:rsidP="00FE6B6D">
      <w:pPr>
        <w:pStyle w:val="HLAVICKA"/>
        <w:tabs>
          <w:tab w:val="clear" w:pos="1134"/>
          <w:tab w:val="left" w:pos="993"/>
        </w:tabs>
        <w:spacing w:after="0" w:line="240" w:lineRule="atLeast"/>
        <w:rPr>
          <w:b/>
          <w:sz w:val="24"/>
          <w:szCs w:val="24"/>
        </w:rPr>
      </w:pPr>
    </w:p>
    <w:p w:rsidR="00FE6B6D" w:rsidRPr="00E47ACD" w:rsidRDefault="00FE6B6D" w:rsidP="00FE6B6D">
      <w:pPr>
        <w:pStyle w:val="HLAVICKA"/>
        <w:tabs>
          <w:tab w:val="clear" w:pos="1134"/>
          <w:tab w:val="left" w:pos="993"/>
        </w:tabs>
        <w:spacing w:after="0" w:line="240" w:lineRule="atLeast"/>
        <w:rPr>
          <w:sz w:val="24"/>
          <w:szCs w:val="24"/>
        </w:rPr>
      </w:pPr>
      <w:r w:rsidRPr="00E47ACD">
        <w:rPr>
          <w:b/>
          <w:sz w:val="24"/>
          <w:szCs w:val="24"/>
        </w:rPr>
        <w:t>Národní památkový ústav</w:t>
      </w:r>
      <w:r w:rsidRPr="00E47ACD">
        <w:rPr>
          <w:sz w:val="24"/>
          <w:szCs w:val="24"/>
        </w:rPr>
        <w:t>, státní příspěvková organizace</w:t>
      </w:r>
    </w:p>
    <w:p w:rsidR="00E47ACD" w:rsidRPr="00E47ACD" w:rsidRDefault="00E47ACD" w:rsidP="00E47ACD">
      <w:pPr>
        <w:pStyle w:val="HLAVICKA"/>
        <w:tabs>
          <w:tab w:val="clear" w:pos="1134"/>
          <w:tab w:val="left" w:pos="993"/>
        </w:tabs>
        <w:spacing w:after="0" w:line="240" w:lineRule="atLeast"/>
        <w:rPr>
          <w:sz w:val="24"/>
          <w:szCs w:val="24"/>
        </w:rPr>
      </w:pPr>
      <w:r w:rsidRPr="00E47ACD">
        <w:rPr>
          <w:sz w:val="24"/>
          <w:szCs w:val="24"/>
        </w:rPr>
        <w:t>se sídlem: Valdštejnské náměstí 162/3, Praha 1, PSČ 118 01</w:t>
      </w:r>
    </w:p>
    <w:p w:rsidR="00ED33DA" w:rsidRPr="00E47ACD" w:rsidRDefault="00ED33DA" w:rsidP="00ED33DA">
      <w:pPr>
        <w:pStyle w:val="Styl3-Smluvnstranytun"/>
        <w:rPr>
          <w:b w:val="0"/>
          <w:highlight w:val="yellow"/>
        </w:rPr>
      </w:pPr>
      <w:r w:rsidRPr="00E47ACD">
        <w:rPr>
          <w:b w:val="0"/>
        </w:rPr>
        <w:t xml:space="preserve">IČO: </w:t>
      </w:r>
      <w:r w:rsidR="00FE6B6D" w:rsidRPr="00E47ACD">
        <w:rPr>
          <w:b w:val="0"/>
        </w:rPr>
        <w:t>75032333</w:t>
      </w:r>
    </w:p>
    <w:p w:rsidR="00ED33DA" w:rsidRPr="00E47ACD" w:rsidRDefault="00ED33DA" w:rsidP="00ED33DA">
      <w:pPr>
        <w:pStyle w:val="Styl3-Smluvnstranytun"/>
        <w:rPr>
          <w:b w:val="0"/>
          <w:highlight w:val="yellow"/>
        </w:rPr>
      </w:pPr>
      <w:r w:rsidRPr="00E47ACD">
        <w:rPr>
          <w:b w:val="0"/>
        </w:rPr>
        <w:t xml:space="preserve">DIČ: </w:t>
      </w:r>
      <w:r w:rsidR="00FE6B6D" w:rsidRPr="00E47ACD">
        <w:rPr>
          <w:b w:val="0"/>
        </w:rPr>
        <w:t>CZ75032333</w:t>
      </w:r>
    </w:p>
    <w:p w:rsidR="00E85DFB" w:rsidRPr="00E47ACD" w:rsidRDefault="00E85DFB" w:rsidP="00E85DFB">
      <w:pPr>
        <w:pStyle w:val="Styl3-Smluvnstrany"/>
      </w:pPr>
      <w:r w:rsidRPr="00E47ACD">
        <w:t>zastoupený:</w:t>
      </w:r>
      <w:r w:rsidR="00FE6B6D" w:rsidRPr="00E47ACD">
        <w:t xml:space="preserve"> Ing. arch. Naděždou Goryczkovou, generální ředitelkou</w:t>
      </w:r>
    </w:p>
    <w:p w:rsidR="00E85DFB" w:rsidRPr="00E47ACD" w:rsidRDefault="00ED33DA" w:rsidP="00E85DFB">
      <w:pPr>
        <w:pStyle w:val="Styl3-Smluvnstrany"/>
      </w:pPr>
      <w:r w:rsidRPr="00E47ACD">
        <w:t xml:space="preserve">bankovní spojení: </w:t>
      </w:r>
      <w:r w:rsidR="00FE6B6D" w:rsidRPr="00E47ACD">
        <w:t>60039011/0710</w:t>
      </w:r>
    </w:p>
    <w:p w:rsidR="00ED33DA" w:rsidRPr="00E47ACD" w:rsidRDefault="00ED33DA" w:rsidP="00E85DFB">
      <w:pPr>
        <w:pStyle w:val="Styl3-Smluvnstrany"/>
      </w:pPr>
      <w:r w:rsidRPr="00E47ACD">
        <w:t xml:space="preserve">ID datové schránky: </w:t>
      </w:r>
      <w:r w:rsidR="00FE6B6D" w:rsidRPr="00E47ACD">
        <w:t>2cy8h6t</w:t>
      </w:r>
    </w:p>
    <w:p w:rsidR="00ED33DA" w:rsidRPr="00E47ACD" w:rsidRDefault="00ED33DA" w:rsidP="00ED33DA">
      <w:pPr>
        <w:pStyle w:val="Styl3-Smluvnstrany"/>
      </w:pPr>
      <w:r w:rsidRPr="00E47ACD">
        <w:t>(dále jen „Kupující“)</w:t>
      </w:r>
    </w:p>
    <w:p w:rsidR="00ED33DA" w:rsidRDefault="00ED33DA" w:rsidP="00ED33DA">
      <w:pPr>
        <w:pStyle w:val="Styl3-Smluvnstrany"/>
      </w:pPr>
    </w:p>
    <w:p w:rsidR="00ED33DA" w:rsidRDefault="00ED33DA" w:rsidP="00ED33DA">
      <w:r>
        <w:t>a</w:t>
      </w:r>
    </w:p>
    <w:p w:rsidR="006135FA" w:rsidRDefault="006135FA" w:rsidP="00B332F0"/>
    <w:p w:rsidR="006135FA" w:rsidRPr="00165924" w:rsidRDefault="006A0DA4" w:rsidP="00B332F0">
      <w:pPr>
        <w:pStyle w:val="Styl3-Smluvnstranytun"/>
      </w:pPr>
      <w:r w:rsidRPr="00165924">
        <w:t>OCC s.r.o.</w:t>
      </w:r>
    </w:p>
    <w:p w:rsidR="006135FA" w:rsidRPr="00165924" w:rsidRDefault="006135FA" w:rsidP="00F8331E">
      <w:pPr>
        <w:pStyle w:val="Styl3-Smluvnstrany"/>
      </w:pPr>
      <w:r w:rsidRPr="00165924">
        <w:t>Sídlo:</w:t>
      </w:r>
      <w:r w:rsidR="006A0DA4" w:rsidRPr="00165924">
        <w:t xml:space="preserve"> Lidická 198/68, Bolevec, 323 00 Plzeň</w:t>
      </w:r>
    </w:p>
    <w:p w:rsidR="006135FA" w:rsidRPr="00165924" w:rsidRDefault="006135FA" w:rsidP="00F8331E">
      <w:pPr>
        <w:pStyle w:val="Styl3-Smluvnstrany"/>
      </w:pPr>
      <w:r w:rsidRPr="00165924">
        <w:t xml:space="preserve">zapsaný/á v obchodním rejstříku pod spisovou značkou </w:t>
      </w:r>
      <w:r w:rsidR="00787434" w:rsidRPr="00165924">
        <w:t xml:space="preserve">C 19349 </w:t>
      </w:r>
      <w:r w:rsidRPr="00165924">
        <w:t xml:space="preserve">vedenou u </w:t>
      </w:r>
      <w:r w:rsidR="00787434" w:rsidRPr="00165924">
        <w:t>Krajského soudu v Plzni</w:t>
      </w:r>
      <w:r w:rsidRPr="00165924">
        <w:t xml:space="preserve"> </w:t>
      </w:r>
    </w:p>
    <w:p w:rsidR="006135FA" w:rsidRPr="00165924" w:rsidRDefault="006135FA" w:rsidP="00F8331E">
      <w:pPr>
        <w:pStyle w:val="Styl3-Smluvnstrany"/>
      </w:pPr>
      <w:r w:rsidRPr="00165924">
        <w:t>zastoupená:</w:t>
      </w:r>
      <w:r w:rsidR="00787434" w:rsidRPr="00165924">
        <w:t xml:space="preserve"> Pavlem Krausem, jednatelem společnosti</w:t>
      </w:r>
      <w:r w:rsidRPr="00165924">
        <w:t>]</w:t>
      </w:r>
    </w:p>
    <w:p w:rsidR="006135FA" w:rsidRPr="00165924" w:rsidRDefault="006135FA" w:rsidP="00F8331E">
      <w:pPr>
        <w:pStyle w:val="Styl3-Smluvnstrany"/>
      </w:pPr>
      <w:r w:rsidRPr="00165924">
        <w:t>IČO:</w:t>
      </w:r>
      <w:r w:rsidR="00787434" w:rsidRPr="00165924">
        <w:t xml:space="preserve"> 27970922</w:t>
      </w:r>
    </w:p>
    <w:p w:rsidR="006135FA" w:rsidRPr="00165924" w:rsidRDefault="006135FA" w:rsidP="00F8331E">
      <w:pPr>
        <w:pStyle w:val="Styl3-Smluvnstrany"/>
      </w:pPr>
      <w:r w:rsidRPr="00165924">
        <w:t>DIČ:</w:t>
      </w:r>
      <w:r w:rsidR="00787434" w:rsidRPr="00165924">
        <w:t xml:space="preserve"> CZ27970922</w:t>
      </w:r>
    </w:p>
    <w:p w:rsidR="006135FA" w:rsidRPr="00165924" w:rsidRDefault="006135FA" w:rsidP="00F8331E">
      <w:pPr>
        <w:pStyle w:val="Styl3-Smluvnstrany"/>
      </w:pPr>
      <w:r w:rsidRPr="00165924">
        <w:t xml:space="preserve">bankovní spojení: </w:t>
      </w:r>
      <w:proofErr w:type="spellStart"/>
      <w:r w:rsidR="00055BC6" w:rsidRPr="00165924">
        <w:t>Raiffeisenbank</w:t>
      </w:r>
      <w:proofErr w:type="spellEnd"/>
      <w:r w:rsidR="00055BC6" w:rsidRPr="00165924">
        <w:t xml:space="preserve"> a.s., 2583258001/5500</w:t>
      </w:r>
    </w:p>
    <w:p w:rsidR="006135FA" w:rsidRDefault="006135FA" w:rsidP="00F8331E">
      <w:pPr>
        <w:pStyle w:val="Styl3-Smluvnstrany"/>
      </w:pPr>
      <w:r w:rsidRPr="00165924">
        <w:t xml:space="preserve">ID datové schránky: </w:t>
      </w:r>
      <w:r w:rsidR="00055BC6" w:rsidRPr="00165924">
        <w:t>vpdrhy8</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055BC6">
      <w:pPr>
        <w:pStyle w:val="Nadpis3"/>
        <w:rPr>
          <w:lang w:eastAsia="en-US"/>
        </w:rPr>
      </w:pPr>
      <w:r>
        <w:rPr>
          <w:b/>
          <w:lang w:eastAsia="en-US"/>
        </w:rPr>
        <w:lastRenderedPageBreak/>
        <w:t>notebook</w:t>
      </w:r>
      <w:r w:rsidR="00BC05B8">
        <w:rPr>
          <w:b/>
          <w:lang w:eastAsia="en-US"/>
        </w:rPr>
        <w:t>y</w:t>
      </w:r>
      <w:r>
        <w:rPr>
          <w:b/>
          <w:lang w:eastAsia="en-US"/>
        </w:rPr>
        <w:t xml:space="preserve"> </w:t>
      </w:r>
      <w:r w:rsidRPr="003D7298">
        <w:rPr>
          <w:b/>
          <w:lang w:eastAsia="en-US"/>
        </w:rPr>
        <w:t>II</w:t>
      </w:r>
      <w:r>
        <w:rPr>
          <w:b/>
          <w:lang w:eastAsia="en-US"/>
        </w:rPr>
        <w:t xml:space="preserve"> </w:t>
      </w:r>
      <w:proofErr w:type="spellStart"/>
      <w:r w:rsidR="00055BC6" w:rsidRPr="00165924">
        <w:rPr>
          <w:i/>
          <w:lang w:eastAsia="en-US"/>
        </w:rPr>
        <w:t>Lenovo</w:t>
      </w:r>
      <w:proofErr w:type="spellEnd"/>
      <w:r w:rsidR="00055BC6" w:rsidRPr="00165924">
        <w:rPr>
          <w:i/>
          <w:lang w:eastAsia="en-US"/>
        </w:rPr>
        <w:t xml:space="preserve"> L14 AMD Gen3</w:t>
      </w:r>
      <w:r w:rsidR="007C5ED4" w:rsidRPr="00165924">
        <w:rPr>
          <w:i/>
          <w:lang w:eastAsia="en-US"/>
        </w:rPr>
        <w:t xml:space="preserve"> </w:t>
      </w:r>
      <w:r w:rsidR="007C5ED4">
        <w:rPr>
          <w:lang w:eastAsia="en-US"/>
        </w:rPr>
        <w:t xml:space="preserve">v množství </w:t>
      </w:r>
      <w:r w:rsidR="00E9580F">
        <w:rPr>
          <w:lang w:eastAsia="en-US"/>
        </w:rPr>
        <w:t>34</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C93AF3" w:rsidRDefault="007C5ED4" w:rsidP="00055BC6">
      <w:pPr>
        <w:pStyle w:val="Nadpis3"/>
        <w:rPr>
          <w:lang w:eastAsia="en-US"/>
        </w:rPr>
      </w:pPr>
      <w:r w:rsidRPr="007C5ED4">
        <w:rPr>
          <w:b/>
          <w:lang w:eastAsia="en-US"/>
        </w:rPr>
        <w:t xml:space="preserve">monitory </w:t>
      </w:r>
      <w:r w:rsidR="00C93AF3" w:rsidRPr="003D7298">
        <w:rPr>
          <w:b/>
          <w:lang w:eastAsia="en-US"/>
        </w:rPr>
        <w:t>I</w:t>
      </w:r>
      <w:r w:rsidRPr="00C93AF3">
        <w:rPr>
          <w:lang w:eastAsia="en-US"/>
        </w:rPr>
        <w:t xml:space="preserve"> </w:t>
      </w:r>
      <w:r w:rsidR="00055BC6" w:rsidRPr="00165924">
        <w:rPr>
          <w:i/>
          <w:lang w:eastAsia="en-US"/>
        </w:rPr>
        <w:t>PHILIPS - 243S7EHMB/00</w:t>
      </w:r>
      <w:r w:rsidRPr="007C5ED4">
        <w:rPr>
          <w:lang w:eastAsia="en-US"/>
        </w:rPr>
        <w:t xml:space="preserve"> v množství </w:t>
      </w:r>
      <w:r w:rsidR="00E9580F">
        <w:rPr>
          <w:lang w:eastAsia="en-US"/>
        </w:rPr>
        <w:t>7</w:t>
      </w:r>
      <w:r w:rsidRPr="007C5ED4">
        <w:rPr>
          <w:lang w:eastAsia="en-US"/>
        </w:rPr>
        <w:t xml:space="preserve"> ks podle technické specifikace uvedené v Příloze č. 1 této Smlouvy</w:t>
      </w:r>
      <w:r w:rsidR="00C93AF3">
        <w:rPr>
          <w:lang w:eastAsia="en-US"/>
        </w:rPr>
        <w:t>,</w:t>
      </w:r>
    </w:p>
    <w:p w:rsidR="00C93AF3" w:rsidRDefault="00C93AF3" w:rsidP="00055BC6">
      <w:pPr>
        <w:pStyle w:val="Nadpis3"/>
        <w:rPr>
          <w:lang w:eastAsia="en-US"/>
        </w:rPr>
      </w:pPr>
      <w:r w:rsidRPr="00C93AF3">
        <w:rPr>
          <w:b/>
          <w:lang w:eastAsia="en-US"/>
        </w:rPr>
        <w:t>dok.</w:t>
      </w:r>
      <w:r w:rsidR="00BC011A">
        <w:rPr>
          <w:b/>
          <w:lang w:eastAsia="en-US"/>
        </w:rPr>
        <w:t xml:space="preserve"> </w:t>
      </w:r>
      <w:proofErr w:type="gramStart"/>
      <w:r w:rsidRPr="00C93AF3">
        <w:rPr>
          <w:b/>
          <w:lang w:eastAsia="en-US"/>
        </w:rPr>
        <w:t>stanice</w:t>
      </w:r>
      <w:proofErr w:type="gramEnd"/>
      <w:r w:rsidRPr="00C93AF3">
        <w:rPr>
          <w:b/>
          <w:lang w:eastAsia="en-US"/>
        </w:rPr>
        <w:t xml:space="preserve"> </w:t>
      </w:r>
      <w:r w:rsidRPr="003D7298">
        <w:rPr>
          <w:b/>
          <w:lang w:eastAsia="en-US"/>
        </w:rPr>
        <w:t>I</w:t>
      </w:r>
      <w:r w:rsidR="009B7B3A" w:rsidRPr="003D7298">
        <w:rPr>
          <w:b/>
          <w:lang w:eastAsia="en-US"/>
        </w:rPr>
        <w:t>I</w:t>
      </w:r>
      <w:r w:rsidRPr="00C93AF3">
        <w:rPr>
          <w:lang w:eastAsia="en-US"/>
        </w:rPr>
        <w:t xml:space="preserve"> </w:t>
      </w:r>
      <w:proofErr w:type="spellStart"/>
      <w:r w:rsidR="00055BC6" w:rsidRPr="00165924">
        <w:rPr>
          <w:i/>
          <w:lang w:eastAsia="en-US"/>
        </w:rPr>
        <w:t>Lenovo</w:t>
      </w:r>
      <w:proofErr w:type="spellEnd"/>
      <w:r w:rsidR="00055BC6" w:rsidRPr="00165924">
        <w:rPr>
          <w:i/>
          <w:lang w:eastAsia="en-US"/>
        </w:rPr>
        <w:t xml:space="preserve"> - USB C universal </w:t>
      </w:r>
      <w:proofErr w:type="spellStart"/>
      <w:r w:rsidR="00055BC6" w:rsidRPr="00165924">
        <w:rPr>
          <w:i/>
          <w:lang w:eastAsia="en-US"/>
        </w:rPr>
        <w:t>dock</w:t>
      </w:r>
      <w:proofErr w:type="spellEnd"/>
      <w:r w:rsidR="00055BC6" w:rsidRPr="00055BC6">
        <w:rPr>
          <w:lang w:eastAsia="en-US"/>
        </w:rPr>
        <w:t xml:space="preserve"> </w:t>
      </w:r>
      <w:r w:rsidRPr="007C5ED4">
        <w:rPr>
          <w:lang w:eastAsia="en-US"/>
        </w:rPr>
        <w:t xml:space="preserve">v množství </w:t>
      </w:r>
      <w:r w:rsidR="00E9580F">
        <w:rPr>
          <w:lang w:eastAsia="en-US"/>
        </w:rPr>
        <w:t>29</w:t>
      </w:r>
      <w:r w:rsidRPr="007C5ED4">
        <w:rPr>
          <w:lang w:eastAsia="en-US"/>
        </w:rPr>
        <w:t xml:space="preserve"> ks podle technické specifikace uvedené v Příloze č. 1 této Smlouvy</w:t>
      </w:r>
      <w:r w:rsidR="00CF7A34">
        <w:rPr>
          <w:b/>
          <w:lang w:eastAsia="en-US"/>
        </w:rPr>
        <w:t>,</w:t>
      </w:r>
    </w:p>
    <w:p w:rsidR="004478C8" w:rsidRDefault="005D0E98" w:rsidP="00C402DF">
      <w:pPr>
        <w:pStyle w:val="Nadpis3"/>
        <w:rPr>
          <w:lang w:eastAsia="en-US"/>
        </w:rPr>
      </w:pPr>
      <w:r>
        <w:rPr>
          <w:b/>
          <w:lang w:eastAsia="en-US"/>
        </w:rPr>
        <w:t xml:space="preserve">příslušenství II </w:t>
      </w:r>
      <w:r w:rsidRPr="005D0E98">
        <w:rPr>
          <w:lang w:eastAsia="en-US"/>
        </w:rPr>
        <w:t xml:space="preserve">v množství </w:t>
      </w:r>
      <w:r w:rsidR="00E9580F">
        <w:rPr>
          <w:lang w:eastAsia="en-US"/>
        </w:rPr>
        <w:t>27</w:t>
      </w:r>
      <w:r w:rsidRPr="005D0E98">
        <w:rPr>
          <w:lang w:eastAsia="en-US"/>
        </w:rPr>
        <w:t xml:space="preserve"> ks podle technické specifikace uvedené v Příloze č. 1 této Smlouvy</w:t>
      </w:r>
      <w:r>
        <w:rPr>
          <w:b/>
          <w:lang w:eastAsia="en-US"/>
        </w:rPr>
        <w:t xml:space="preserve"> </w:t>
      </w:r>
      <w:r w:rsidR="004478C8" w:rsidRPr="00C402DF">
        <w:rPr>
          <w:b/>
          <w:lang w:eastAsia="en-US"/>
        </w:rPr>
        <w:t>a</w:t>
      </w:r>
    </w:p>
    <w:p w:rsidR="00C93AF3" w:rsidRPr="00C93AF3" w:rsidRDefault="00001A99" w:rsidP="00BD475F">
      <w:pPr>
        <w:pStyle w:val="Nadpis3"/>
        <w:rPr>
          <w:lang w:eastAsia="en-US"/>
        </w:rPr>
      </w:pPr>
      <w:r>
        <w:rPr>
          <w:b/>
          <w:lang w:eastAsia="en-US"/>
        </w:rPr>
        <w:t xml:space="preserve">brašny </w:t>
      </w:r>
      <w:r w:rsidR="009B7B3A" w:rsidRPr="00165924">
        <w:rPr>
          <w:b/>
          <w:lang w:eastAsia="en-US"/>
        </w:rPr>
        <w:t>I</w:t>
      </w:r>
      <w:r w:rsidR="004478C8" w:rsidRPr="00165924">
        <w:rPr>
          <w:b/>
          <w:lang w:eastAsia="en-US"/>
        </w:rPr>
        <w:t>I</w:t>
      </w:r>
      <w:r w:rsidR="004478C8" w:rsidRPr="00165924">
        <w:rPr>
          <w:lang w:eastAsia="en-US"/>
        </w:rPr>
        <w:t xml:space="preserve"> </w:t>
      </w:r>
      <w:proofErr w:type="spellStart"/>
      <w:r w:rsidR="00BD475F" w:rsidRPr="00165924">
        <w:rPr>
          <w:i/>
          <w:lang w:eastAsia="en-US"/>
        </w:rPr>
        <w:t>Natec</w:t>
      </w:r>
      <w:proofErr w:type="spellEnd"/>
      <w:r w:rsidR="00BD475F" w:rsidRPr="00165924">
        <w:rPr>
          <w:i/>
          <w:lang w:eastAsia="en-US"/>
        </w:rPr>
        <w:t xml:space="preserve"> impala 14´´</w:t>
      </w:r>
      <w:r w:rsidR="004478C8" w:rsidRPr="00165924">
        <w:rPr>
          <w:i/>
          <w:lang w:eastAsia="en-US"/>
        </w:rPr>
        <w:t xml:space="preserve"> </w:t>
      </w:r>
      <w:r w:rsidR="004478C8" w:rsidRPr="004478C8">
        <w:rPr>
          <w:lang w:eastAsia="en-US"/>
        </w:rPr>
        <w:t xml:space="preserve">v množství </w:t>
      </w:r>
      <w:r w:rsidR="00E9580F">
        <w:rPr>
          <w:lang w:eastAsia="en-US"/>
        </w:rPr>
        <w:t>32</w:t>
      </w:r>
      <w:r w:rsidR="004478C8" w:rsidRPr="004478C8">
        <w:rPr>
          <w:lang w:eastAsia="en-US"/>
        </w:rPr>
        <w:t xml:space="preserve"> ks dle technické specifikace uved</w:t>
      </w:r>
      <w:r w:rsidR="004478C8">
        <w:rPr>
          <w:lang w:eastAsia="en-US"/>
        </w:rPr>
        <w:t>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95002">
        <w:rPr>
          <w:lang w:eastAsia="en-US"/>
        </w:rPr>
        <w:t>5</w:t>
      </w:r>
      <w:r w:rsidR="00C402C9" w:rsidRPr="00C402C9">
        <w:rPr>
          <w:lang w:eastAsia="en-US"/>
        </w:rPr>
        <w:t>-</w:t>
      </w:r>
      <w:r w:rsidR="001737DD" w:rsidRPr="00E00F4B">
        <w:rPr>
          <w:lang w:eastAsia="en-US"/>
        </w:rPr>
        <w:t>20</w:t>
      </w:r>
      <w:r w:rsidR="004126B6" w:rsidRPr="00E00F4B">
        <w:rPr>
          <w:lang w:eastAsia="en-US"/>
        </w:rPr>
        <w:t>22</w:t>
      </w:r>
      <w:r w:rsidR="00BB1B99" w:rsidRPr="00E00F4B">
        <w:rPr>
          <w:lang w:eastAsia="en-US"/>
        </w:rPr>
        <w:t>“ a že veškeré součásti Předmětu koupě specifikované v Příloze č. 1 této Smlouvy budou nové a nepoužité.</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2D70DA">
        <w:t>20</w:t>
      </w:r>
      <w:r w:rsidRPr="00A36D2F">
        <w:t xml:space="preserve"> týdnů</w:t>
      </w:r>
      <w:r w:rsidRPr="00CC5B1E">
        <w:t xml:space="preserve">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F85595">
        <w:t xml:space="preserve"> </w:t>
      </w:r>
      <w:r>
        <w:t>d)</w:t>
      </w:r>
      <w:r w:rsidR="008C3C00">
        <w:t xml:space="preserve"> </w:t>
      </w:r>
      <w:r w:rsidR="005D0E98">
        <w:t xml:space="preserve">nebo e) </w:t>
      </w:r>
      <w:r w:rsidR="008C3C00">
        <w:t>a</w:t>
      </w:r>
      <w:r w:rsidR="005D0E98">
        <w:t xml:space="preserve"> f</w:t>
      </w:r>
      <w:r w:rsidR="00DE70D3">
        <w:t>)</w:t>
      </w:r>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AE786C">
        <w:t>622 147,49</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3"/>
        <w:gridCol w:w="1686"/>
        <w:gridCol w:w="1218"/>
        <w:gridCol w:w="1401"/>
      </w:tblGrid>
      <w:tr w:rsidR="006135FA" w:rsidRPr="007D4A7D" w:rsidTr="00AE786C">
        <w:trPr>
          <w:trHeight w:val="614"/>
          <w:jc w:val="center"/>
        </w:trPr>
        <w:tc>
          <w:tcPr>
            <w:tcW w:w="1933" w:type="pct"/>
            <w:shd w:val="clear" w:color="auto" w:fill="D9D9D9" w:themeFill="background1" w:themeFillShade="D9"/>
            <w:vAlign w:val="center"/>
          </w:tcPr>
          <w:p w:rsidR="006135FA" w:rsidRPr="00040CA1" w:rsidRDefault="00410571">
            <w:pPr>
              <w:jc w:val="center"/>
              <w:rPr>
                <w:b/>
                <w:bCs/>
              </w:rPr>
            </w:pPr>
            <w:r>
              <w:rPr>
                <w:b/>
                <w:bCs/>
              </w:rPr>
              <w:t>Předmět koupě</w:t>
            </w:r>
          </w:p>
        </w:tc>
        <w:tc>
          <w:tcPr>
            <w:tcW w:w="1201"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68"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999"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AE786C">
        <w:trPr>
          <w:trHeight w:val="511"/>
          <w:jc w:val="center"/>
        </w:trPr>
        <w:tc>
          <w:tcPr>
            <w:tcW w:w="1933" w:type="pct"/>
            <w:vAlign w:val="center"/>
          </w:tcPr>
          <w:p w:rsidR="00F53E64" w:rsidRPr="00040CA1" w:rsidRDefault="00C93AF3" w:rsidP="00A51692">
            <w:pPr>
              <w:jc w:val="center"/>
              <w:rPr>
                <w:bCs/>
              </w:rPr>
            </w:pPr>
            <w:r>
              <w:rPr>
                <w:b/>
                <w:bCs/>
              </w:rPr>
              <w:t>Notebook</w:t>
            </w:r>
            <w:r w:rsidR="00A51692">
              <w:rPr>
                <w:b/>
                <w:bCs/>
              </w:rPr>
              <w:t xml:space="preserve"> II</w:t>
            </w:r>
          </w:p>
        </w:tc>
        <w:tc>
          <w:tcPr>
            <w:tcW w:w="1201" w:type="pct"/>
            <w:vAlign w:val="center"/>
          </w:tcPr>
          <w:p w:rsidR="00F53E64" w:rsidRPr="00165924" w:rsidRDefault="00BD475F" w:rsidP="00980EE9">
            <w:pPr>
              <w:jc w:val="center"/>
            </w:pPr>
            <w:r w:rsidRPr="00165924">
              <w:rPr>
                <w:i/>
                <w:lang w:eastAsia="en-US"/>
              </w:rPr>
              <w:t>14427,04 Kč</w:t>
            </w:r>
          </w:p>
        </w:tc>
        <w:tc>
          <w:tcPr>
            <w:tcW w:w="868" w:type="pct"/>
            <w:vAlign w:val="center"/>
          </w:tcPr>
          <w:p w:rsidR="00F53E64" w:rsidRPr="00040CA1" w:rsidRDefault="008B1643" w:rsidP="00980EE9">
            <w:pPr>
              <w:jc w:val="center"/>
            </w:pPr>
            <w:r>
              <w:t>34</w:t>
            </w:r>
            <w:r w:rsidR="00410571">
              <w:t xml:space="preserve"> </w:t>
            </w:r>
            <w:r w:rsidR="00A20738">
              <w:t>ks</w:t>
            </w:r>
          </w:p>
        </w:tc>
        <w:tc>
          <w:tcPr>
            <w:tcW w:w="999" w:type="pct"/>
            <w:vAlign w:val="center"/>
          </w:tcPr>
          <w:p w:rsidR="00F53E64" w:rsidRPr="008C6B1C" w:rsidRDefault="00AE786C" w:rsidP="0062299B">
            <w:pPr>
              <w:jc w:val="center"/>
            </w:pPr>
            <w:r w:rsidRPr="008C6B1C">
              <w:rPr>
                <w:i/>
                <w:lang w:eastAsia="en-US"/>
              </w:rPr>
              <w:t>490519,36</w:t>
            </w:r>
          </w:p>
        </w:tc>
      </w:tr>
      <w:tr w:rsidR="00BD475F" w:rsidRPr="007D4A7D" w:rsidTr="00AE786C">
        <w:trPr>
          <w:trHeight w:val="511"/>
          <w:jc w:val="center"/>
        </w:trPr>
        <w:tc>
          <w:tcPr>
            <w:tcW w:w="1933" w:type="pct"/>
            <w:vAlign w:val="center"/>
          </w:tcPr>
          <w:p w:rsidR="00BD475F" w:rsidRDefault="00BD475F" w:rsidP="00BD475F">
            <w:pPr>
              <w:jc w:val="center"/>
              <w:rPr>
                <w:b/>
                <w:bCs/>
              </w:rPr>
            </w:pPr>
            <w:r>
              <w:rPr>
                <w:b/>
                <w:bCs/>
              </w:rPr>
              <w:t>Monitor I</w:t>
            </w:r>
          </w:p>
        </w:tc>
        <w:tc>
          <w:tcPr>
            <w:tcW w:w="1201" w:type="pct"/>
            <w:vAlign w:val="center"/>
          </w:tcPr>
          <w:p w:rsidR="00BD475F" w:rsidRPr="00165924" w:rsidRDefault="00BD475F" w:rsidP="00BD475F">
            <w:pPr>
              <w:jc w:val="center"/>
              <w:rPr>
                <w:i/>
                <w:lang w:eastAsia="en-US"/>
              </w:rPr>
            </w:pPr>
            <w:r w:rsidRPr="00165924">
              <w:rPr>
                <w:i/>
                <w:lang w:eastAsia="en-US"/>
              </w:rPr>
              <w:t>3204,14 Kč</w:t>
            </w:r>
          </w:p>
        </w:tc>
        <w:tc>
          <w:tcPr>
            <w:tcW w:w="868" w:type="pct"/>
            <w:vAlign w:val="center"/>
          </w:tcPr>
          <w:p w:rsidR="00BD475F" w:rsidRDefault="008B1643" w:rsidP="00BD475F">
            <w:pPr>
              <w:jc w:val="center"/>
            </w:pPr>
            <w:r>
              <w:t>7</w:t>
            </w:r>
            <w:r w:rsidR="00BD475F">
              <w:t xml:space="preserve"> ks</w:t>
            </w:r>
          </w:p>
        </w:tc>
        <w:tc>
          <w:tcPr>
            <w:tcW w:w="999" w:type="pct"/>
            <w:vAlign w:val="center"/>
          </w:tcPr>
          <w:p w:rsidR="00BD475F" w:rsidRPr="008C6B1C" w:rsidRDefault="00AE786C" w:rsidP="00BD475F">
            <w:pPr>
              <w:jc w:val="center"/>
              <w:rPr>
                <w:i/>
                <w:highlight w:val="yellow"/>
                <w:lang w:eastAsia="en-US"/>
              </w:rPr>
            </w:pPr>
            <w:r w:rsidRPr="008C6B1C">
              <w:rPr>
                <w:i/>
                <w:lang w:eastAsia="en-US"/>
              </w:rPr>
              <w:t>22428,98</w:t>
            </w:r>
          </w:p>
        </w:tc>
      </w:tr>
      <w:tr w:rsidR="00BD475F" w:rsidRPr="007D4A7D" w:rsidTr="00AE786C">
        <w:trPr>
          <w:trHeight w:val="511"/>
          <w:jc w:val="center"/>
        </w:trPr>
        <w:tc>
          <w:tcPr>
            <w:tcW w:w="1933" w:type="pct"/>
            <w:vAlign w:val="center"/>
          </w:tcPr>
          <w:p w:rsidR="00BD475F" w:rsidRDefault="00BD475F" w:rsidP="00BD475F">
            <w:pPr>
              <w:jc w:val="center"/>
              <w:rPr>
                <w:b/>
                <w:bCs/>
              </w:rPr>
            </w:pPr>
            <w:r w:rsidRPr="00C93AF3">
              <w:rPr>
                <w:b/>
                <w:bCs/>
              </w:rPr>
              <w:t>Dok.</w:t>
            </w:r>
            <w:r>
              <w:rPr>
                <w:b/>
                <w:bCs/>
              </w:rPr>
              <w:t xml:space="preserve"> </w:t>
            </w:r>
            <w:r w:rsidRPr="00C93AF3">
              <w:rPr>
                <w:b/>
                <w:bCs/>
              </w:rPr>
              <w:t>stanice II</w:t>
            </w:r>
          </w:p>
        </w:tc>
        <w:tc>
          <w:tcPr>
            <w:tcW w:w="1201" w:type="pct"/>
            <w:vAlign w:val="center"/>
          </w:tcPr>
          <w:p w:rsidR="00BD475F" w:rsidRPr="00165924" w:rsidRDefault="00BD475F" w:rsidP="00BD475F">
            <w:pPr>
              <w:jc w:val="center"/>
              <w:rPr>
                <w:i/>
                <w:lang w:eastAsia="en-US"/>
              </w:rPr>
            </w:pPr>
            <w:r w:rsidRPr="00165924">
              <w:rPr>
                <w:i/>
                <w:lang w:eastAsia="en-US"/>
              </w:rPr>
              <w:t>3403,77 Kč</w:t>
            </w:r>
          </w:p>
        </w:tc>
        <w:tc>
          <w:tcPr>
            <w:tcW w:w="868" w:type="pct"/>
            <w:vAlign w:val="center"/>
          </w:tcPr>
          <w:p w:rsidR="00BD475F" w:rsidRDefault="008B1643" w:rsidP="00BD475F">
            <w:pPr>
              <w:jc w:val="center"/>
            </w:pPr>
            <w:r>
              <w:t>29</w:t>
            </w:r>
            <w:r w:rsidR="00BD475F">
              <w:t xml:space="preserve"> ks</w:t>
            </w:r>
          </w:p>
        </w:tc>
        <w:tc>
          <w:tcPr>
            <w:tcW w:w="999" w:type="pct"/>
            <w:vAlign w:val="center"/>
          </w:tcPr>
          <w:p w:rsidR="00BD475F" w:rsidRPr="008C6B1C" w:rsidRDefault="00AE786C" w:rsidP="00BD475F">
            <w:pPr>
              <w:jc w:val="center"/>
              <w:rPr>
                <w:i/>
                <w:highlight w:val="yellow"/>
                <w:lang w:eastAsia="en-US"/>
              </w:rPr>
            </w:pPr>
            <w:r w:rsidRPr="008C6B1C">
              <w:rPr>
                <w:i/>
                <w:lang w:eastAsia="en-US"/>
              </w:rPr>
              <w:t>98709,33</w:t>
            </w:r>
          </w:p>
        </w:tc>
      </w:tr>
      <w:tr w:rsidR="00BD475F" w:rsidRPr="007D4A7D" w:rsidTr="00AE786C">
        <w:trPr>
          <w:trHeight w:val="511"/>
          <w:jc w:val="center"/>
        </w:trPr>
        <w:tc>
          <w:tcPr>
            <w:tcW w:w="1933" w:type="pct"/>
            <w:vAlign w:val="center"/>
          </w:tcPr>
          <w:p w:rsidR="00BD475F" w:rsidRDefault="00BD475F" w:rsidP="00BD475F">
            <w:pPr>
              <w:jc w:val="center"/>
              <w:rPr>
                <w:b/>
                <w:bCs/>
              </w:rPr>
            </w:pPr>
            <w:r>
              <w:rPr>
                <w:b/>
                <w:bCs/>
              </w:rPr>
              <w:t>Příslušenství II</w:t>
            </w:r>
          </w:p>
        </w:tc>
        <w:tc>
          <w:tcPr>
            <w:tcW w:w="1201" w:type="pct"/>
            <w:vAlign w:val="center"/>
          </w:tcPr>
          <w:p w:rsidR="00BD475F" w:rsidRPr="00165924" w:rsidRDefault="00BD475F" w:rsidP="00BD475F">
            <w:pPr>
              <w:jc w:val="center"/>
              <w:rPr>
                <w:i/>
                <w:sz w:val="16"/>
                <w:szCs w:val="16"/>
                <w:lang w:eastAsia="en-US"/>
              </w:rPr>
            </w:pPr>
            <w:r w:rsidRPr="00165924">
              <w:rPr>
                <w:i/>
                <w:lang w:eastAsia="en-US"/>
              </w:rPr>
              <w:t>166,16 Kč</w:t>
            </w:r>
          </w:p>
        </w:tc>
        <w:tc>
          <w:tcPr>
            <w:tcW w:w="868" w:type="pct"/>
            <w:vAlign w:val="center"/>
          </w:tcPr>
          <w:p w:rsidR="00BD475F" w:rsidRDefault="008B1643" w:rsidP="00BD475F">
            <w:pPr>
              <w:jc w:val="center"/>
            </w:pPr>
            <w:r>
              <w:t>27</w:t>
            </w:r>
            <w:r w:rsidR="00BD475F">
              <w:t xml:space="preserve"> ks</w:t>
            </w:r>
          </w:p>
        </w:tc>
        <w:tc>
          <w:tcPr>
            <w:tcW w:w="999" w:type="pct"/>
            <w:vAlign w:val="center"/>
          </w:tcPr>
          <w:p w:rsidR="00BD475F" w:rsidRPr="008C6B1C" w:rsidRDefault="00AE786C" w:rsidP="00BD475F">
            <w:pPr>
              <w:jc w:val="center"/>
              <w:rPr>
                <w:i/>
                <w:highlight w:val="yellow"/>
                <w:lang w:eastAsia="en-US"/>
              </w:rPr>
            </w:pPr>
            <w:r w:rsidRPr="008C6B1C">
              <w:rPr>
                <w:i/>
                <w:lang w:eastAsia="en-US"/>
              </w:rPr>
              <w:t>4486,32</w:t>
            </w:r>
          </w:p>
        </w:tc>
      </w:tr>
      <w:tr w:rsidR="00BD475F" w:rsidRPr="007D4A7D" w:rsidTr="00AE786C">
        <w:trPr>
          <w:trHeight w:val="511"/>
          <w:jc w:val="center"/>
        </w:trPr>
        <w:tc>
          <w:tcPr>
            <w:tcW w:w="1933" w:type="pct"/>
            <w:vAlign w:val="center"/>
          </w:tcPr>
          <w:p w:rsidR="00BD475F" w:rsidRDefault="00BD475F" w:rsidP="00BD475F">
            <w:pPr>
              <w:jc w:val="center"/>
              <w:rPr>
                <w:b/>
                <w:bCs/>
              </w:rPr>
            </w:pPr>
            <w:r>
              <w:rPr>
                <w:b/>
                <w:bCs/>
              </w:rPr>
              <w:lastRenderedPageBreak/>
              <w:t>Brašna II</w:t>
            </w:r>
          </w:p>
        </w:tc>
        <w:tc>
          <w:tcPr>
            <w:tcW w:w="1201" w:type="pct"/>
            <w:vAlign w:val="center"/>
          </w:tcPr>
          <w:p w:rsidR="00BD475F" w:rsidRPr="00165924" w:rsidRDefault="008C6B1C" w:rsidP="008C6B1C">
            <w:pPr>
              <w:jc w:val="center"/>
              <w:rPr>
                <w:i/>
                <w:lang w:eastAsia="en-US"/>
              </w:rPr>
            </w:pPr>
            <w:r w:rsidRPr="008C6B1C">
              <w:rPr>
                <w:i/>
                <w:lang w:eastAsia="en-US"/>
              </w:rPr>
              <w:t>187,6095</w:t>
            </w:r>
            <w:r w:rsidR="00BD475F" w:rsidRPr="00165924">
              <w:rPr>
                <w:i/>
                <w:lang w:eastAsia="en-US"/>
              </w:rPr>
              <w:t xml:space="preserve"> Kč</w:t>
            </w:r>
          </w:p>
        </w:tc>
        <w:tc>
          <w:tcPr>
            <w:tcW w:w="868" w:type="pct"/>
            <w:vAlign w:val="center"/>
          </w:tcPr>
          <w:p w:rsidR="00BD475F" w:rsidRDefault="008B1643" w:rsidP="00BD475F">
            <w:pPr>
              <w:jc w:val="center"/>
            </w:pPr>
            <w:r>
              <w:t>32</w:t>
            </w:r>
            <w:r w:rsidR="00BD475F">
              <w:t xml:space="preserve"> ks</w:t>
            </w:r>
          </w:p>
        </w:tc>
        <w:tc>
          <w:tcPr>
            <w:tcW w:w="999" w:type="pct"/>
            <w:vAlign w:val="center"/>
          </w:tcPr>
          <w:p w:rsidR="00BD475F" w:rsidRPr="008C6B1C" w:rsidRDefault="00AE786C" w:rsidP="008C6B1C">
            <w:pPr>
              <w:jc w:val="center"/>
              <w:rPr>
                <w:i/>
                <w:highlight w:val="yellow"/>
                <w:lang w:eastAsia="en-US"/>
              </w:rPr>
            </w:pPr>
            <w:r w:rsidRPr="008C6B1C">
              <w:rPr>
                <w:i/>
                <w:lang w:eastAsia="en-US"/>
              </w:rPr>
              <w:t>6003,5</w:t>
            </w:r>
            <w:r w:rsidR="008C6B1C" w:rsidRPr="008C6B1C">
              <w:rPr>
                <w:i/>
                <w:lang w:eastAsia="en-US"/>
              </w:rPr>
              <w:t>05</w:t>
            </w:r>
          </w:p>
        </w:tc>
      </w:tr>
      <w:tr w:rsidR="009B67FC" w:rsidRPr="007D4A7D" w:rsidTr="00AE786C">
        <w:trPr>
          <w:trHeight w:val="652"/>
          <w:jc w:val="center"/>
        </w:trPr>
        <w:tc>
          <w:tcPr>
            <w:tcW w:w="1933" w:type="pct"/>
            <w:vAlign w:val="center"/>
          </w:tcPr>
          <w:p w:rsidR="009B67FC" w:rsidRDefault="009B67FC" w:rsidP="009B67FC">
            <w:pPr>
              <w:jc w:val="center"/>
              <w:rPr>
                <w:b/>
                <w:bCs/>
              </w:rPr>
            </w:pPr>
            <w:r>
              <w:rPr>
                <w:b/>
                <w:bCs/>
              </w:rPr>
              <w:t>Kupní cena</w:t>
            </w:r>
          </w:p>
        </w:tc>
        <w:tc>
          <w:tcPr>
            <w:tcW w:w="3067" w:type="pct"/>
            <w:gridSpan w:val="3"/>
            <w:vAlign w:val="center"/>
          </w:tcPr>
          <w:p w:rsidR="009B67FC" w:rsidRPr="008C6B1C" w:rsidRDefault="008C6B1C" w:rsidP="009B67FC">
            <w:pPr>
              <w:jc w:val="center"/>
              <w:rPr>
                <w:i/>
                <w:highlight w:val="yellow"/>
                <w:lang w:eastAsia="en-US"/>
              </w:rPr>
            </w:pPr>
            <w:r w:rsidRPr="008C6B1C">
              <w:rPr>
                <w:i/>
                <w:lang w:eastAsia="en-US"/>
              </w:rPr>
              <w:t>622147,49</w:t>
            </w:r>
          </w:p>
        </w:tc>
      </w:tr>
    </w:tbl>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w:t>
      </w:r>
      <w:r w:rsidR="00F465B6">
        <w:rPr>
          <w:color w:val="000000" w:themeColor="text1"/>
        </w:rPr>
        <w:t>dle </w:t>
      </w:r>
      <w:r w:rsidRPr="00F465B6">
        <w:rPr>
          <w:color w:val="000000" w:themeColor="text1"/>
        </w:rPr>
        <w:t>kódu celního s</w:t>
      </w:r>
      <w:r w:rsidR="00363485">
        <w:rPr>
          <w:color w:val="000000" w:themeColor="text1"/>
        </w:rPr>
        <w:t>azebníku 8471 30 00 (notebooky), proto se při splnění následujících podmínek uplatní režim přenesené daňové povinnosti.</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rsidR="00854AB8" w:rsidRPr="00AB6A2C" w:rsidRDefault="00854AB8" w:rsidP="00854AB8">
      <w:pPr>
        <w:pStyle w:val="Nadpis3"/>
      </w:pPr>
      <w:r w:rsidRPr="00854AB8">
        <w:rPr>
          <w:color w:val="000000" w:themeColor="text1"/>
        </w:rPr>
        <w:t>ke dni uskutečnění zdanitelného plnění Kupující jedná jako osoba povinná k dani</w:t>
      </w:r>
    </w:p>
    <w:p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A05B91" w:rsidRDefault="006135FA" w:rsidP="00C80BC0">
      <w:pPr>
        <w:pStyle w:val="Nadpis3"/>
      </w:pPr>
      <w:r>
        <w:t>úplné</w:t>
      </w:r>
      <w:r w:rsidR="00A05B91">
        <w:t xml:space="preserve"> bankovní spojení Prodávajícího</w:t>
      </w:r>
      <w:r w:rsidR="00320B6F">
        <w:t>.</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 xml:space="preserve">Kupující má právo fakturu Prodávajícímu před uplynutím lhůty splatnosti vrátit, aniž by </w:t>
      </w:r>
      <w:r>
        <w:lastRenderedPageBreak/>
        <w:t>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4B4BF5" w:rsidRDefault="004B4BF5" w:rsidP="004B4BF5">
      <w:pPr>
        <w:pStyle w:val="Nadpis2"/>
        <w:tabs>
          <w:tab w:val="num" w:pos="576"/>
        </w:tabs>
        <w:ind w:left="786"/>
      </w:pPr>
      <w:r>
        <w:t>Povinnosti Prodávajícího</w:t>
      </w:r>
    </w:p>
    <w:p w:rsidR="004B4BF5" w:rsidRDefault="004B4BF5" w:rsidP="004B4BF5">
      <w:pPr>
        <w:pStyle w:val="Nadpis3"/>
      </w:pPr>
      <w:r>
        <w:t>Prodávající se zavazuje včas předat Kupujícímu Předmět koupě a převést k Předmětu koupě vlastnické právo na Kupujícího.</w:t>
      </w:r>
    </w:p>
    <w:p w:rsidR="004B4BF5" w:rsidRDefault="004B4BF5" w:rsidP="004B4BF5">
      <w:pPr>
        <w:pStyle w:val="Nadpis3"/>
      </w:pPr>
      <w:r>
        <w:lastRenderedPageBreak/>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4B4BF5" w:rsidRDefault="004B4BF5" w:rsidP="004B4BF5">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rsidR="004B4BF5" w:rsidRDefault="004B4BF5" w:rsidP="004B4BF5">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1113A">
        <w:t>příslušnému ř</w:t>
      </w:r>
      <w:r>
        <w:t>ídicímu orgánu</w:t>
      </w:r>
      <w:r w:rsidR="0001113A">
        <w:t xml:space="preserve"> operačního programu</w:t>
      </w:r>
      <w:r>
        <w:t>,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4B4BF5" w:rsidRPr="00C9669A" w:rsidRDefault="004B4BF5" w:rsidP="004B4BF5">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4126B6">
        <w:t>, zároveň minimálně do roku 2032</w:t>
      </w:r>
      <w:r>
        <w:t>. Po tuto dobu je Prodávající povinen umožnit osobám oprávněným k výkonu kontroly projektů provést kontrolu dokladů souvisejících s realizací veřejné zakázky.</w:t>
      </w:r>
    </w:p>
    <w:p w:rsidR="004B4BF5" w:rsidRDefault="004B4BF5" w:rsidP="004B4BF5">
      <w:pPr>
        <w:pStyle w:val="Nadpis2"/>
        <w:tabs>
          <w:tab w:val="num" w:pos="576"/>
        </w:tabs>
        <w:ind w:left="786"/>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lastRenderedPageBreak/>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proofErr w:type="spellStart"/>
      <w:r w:rsidR="00014661">
        <w:t>xxx</w:t>
      </w:r>
      <w:proofErr w:type="spellEnd"/>
      <w:r w:rsidRPr="00165924">
        <w:t xml:space="preserve"> a nejpozději bezprostředně poté i písemně prostřednictvím e</w:t>
      </w:r>
      <w:r w:rsidR="00722FF2" w:rsidRPr="00165924">
        <w:noBreakHyphen/>
      </w:r>
      <w:r w:rsidRPr="00165924">
        <w:t xml:space="preserve">mailové zprávy zaslané na adresu </w:t>
      </w:r>
      <w:proofErr w:type="spellStart"/>
      <w:r w:rsidR="00014661">
        <w:rPr>
          <w:i/>
        </w:rPr>
        <w:t>xxx</w:t>
      </w:r>
      <w:proofErr w:type="spellEnd"/>
      <w:r w:rsidRPr="00165924">
        <w:t>. Vadu lze nahlásit prostřednictvím Kontaktní osoby i po pracovní době Kupujícího</w:t>
      </w:r>
      <w:r w:rsidR="00462076" w:rsidRPr="00165924">
        <w:t>,</w:t>
      </w:r>
      <w:r w:rsidRPr="00165924">
        <w:t xml:space="preserve"> a to pouze písemně prostřednictvím e-mailové zprávy zaslané na adresu </w:t>
      </w:r>
      <w:proofErr w:type="spellStart"/>
      <w:r w:rsidR="00014661">
        <w:rPr>
          <w:i/>
        </w:rPr>
        <w:t>xxx</w:t>
      </w:r>
      <w:proofErr w:type="spellEnd"/>
      <w:r w:rsidRPr="00165924">
        <w:t>. Pro vadu nahlášenou po pracovní době je rozhodným časem prokazujícím nahlášení vady považován čas v 8,00 hod.</w:t>
      </w:r>
      <w:r w:rsidRPr="00D91CA3">
        <w:t xml:space="preserve">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lastRenderedPageBreak/>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w:t>
      </w:r>
      <w:r w:rsidRPr="00894F6E">
        <w:lastRenderedPageBreak/>
        <w:t xml:space="preserve">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lastRenderedPageBreak/>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r w:rsidR="00E47ACD" w:rsidRPr="00E47ACD">
        <w:t>Národní památkový ústav, státní příspěvková organizace</w:t>
      </w:r>
    </w:p>
    <w:p w:rsidR="006135FA" w:rsidRPr="00215A80" w:rsidRDefault="006135FA" w:rsidP="005C0F87">
      <w:pPr>
        <w:pStyle w:val="Nadpis2bezslovn"/>
        <w:ind w:left="1080"/>
        <w:rPr>
          <w:highlight w:val="magenta"/>
        </w:rPr>
      </w:pPr>
      <w:r w:rsidRPr="00BE7107">
        <w:t xml:space="preserve">Jméno: </w:t>
      </w:r>
      <w:proofErr w:type="spellStart"/>
      <w:r w:rsidR="00014661">
        <w:t>xxx</w:t>
      </w:r>
      <w:proofErr w:type="spellEnd"/>
    </w:p>
    <w:p w:rsidR="006135FA" w:rsidRPr="00BE7107" w:rsidRDefault="006135FA" w:rsidP="005C0F87">
      <w:pPr>
        <w:pStyle w:val="Nadpis2bezslovn"/>
        <w:ind w:left="1080"/>
      </w:pPr>
      <w:r w:rsidRPr="00BE7107">
        <w:t xml:space="preserve">Adresa: </w:t>
      </w:r>
      <w:r w:rsidR="00E47ACD" w:rsidRPr="00E47ACD">
        <w:rPr>
          <w:szCs w:val="24"/>
        </w:rPr>
        <w:t>Valdštejnské náměstí 162/3, Praha 1, PSČ 118 01</w:t>
      </w:r>
    </w:p>
    <w:p w:rsidR="006135FA" w:rsidRPr="00BE7107" w:rsidRDefault="006135FA" w:rsidP="005C0F87">
      <w:pPr>
        <w:pStyle w:val="Nadpis2bezslovn"/>
        <w:ind w:left="1080"/>
      </w:pPr>
      <w:r w:rsidRPr="00BE7107">
        <w:t xml:space="preserve">E-mail: </w:t>
      </w:r>
      <w:proofErr w:type="spellStart"/>
      <w:r w:rsidR="00014661">
        <w:t>xxx</w:t>
      </w:r>
      <w:proofErr w:type="spellEnd"/>
    </w:p>
    <w:p w:rsidR="006135FA" w:rsidRPr="005C0F87" w:rsidRDefault="006135FA" w:rsidP="005C0F87">
      <w:pPr>
        <w:pStyle w:val="Nadpis2bezslovn"/>
        <w:ind w:left="1080"/>
      </w:pPr>
      <w:r w:rsidRPr="00BE7107">
        <w:t xml:space="preserve">Datová schránka: </w:t>
      </w:r>
      <w:r w:rsidR="00E47ACD" w:rsidRPr="00E47ACD">
        <w:t>2cy8h6t</w:t>
      </w:r>
    </w:p>
    <w:p w:rsidR="006135FA" w:rsidRPr="00165924" w:rsidRDefault="006135FA" w:rsidP="00147915">
      <w:pPr>
        <w:pStyle w:val="Nadpis3"/>
      </w:pPr>
      <w:r w:rsidRPr="00165924">
        <w:t>Prodávající</w:t>
      </w:r>
      <w:r w:rsidR="00FE352C" w:rsidRPr="00165924">
        <w:t xml:space="preserve"> OCC s.r.o.</w:t>
      </w:r>
    </w:p>
    <w:p w:rsidR="00FE352C" w:rsidRPr="00165924" w:rsidRDefault="00FE352C" w:rsidP="00FE352C">
      <w:pPr>
        <w:pStyle w:val="Nadpis2bezslovn"/>
        <w:ind w:left="1080"/>
        <w:rPr>
          <w:i/>
        </w:rPr>
      </w:pPr>
      <w:r w:rsidRPr="00165924">
        <w:t xml:space="preserve">Jméno: </w:t>
      </w:r>
      <w:proofErr w:type="spellStart"/>
      <w:r w:rsidR="00014661">
        <w:t>xxx</w:t>
      </w:r>
      <w:proofErr w:type="spellEnd"/>
    </w:p>
    <w:p w:rsidR="00FE352C" w:rsidRPr="00165924" w:rsidRDefault="00FE352C" w:rsidP="00FE352C">
      <w:pPr>
        <w:pStyle w:val="Nadpis2bezslovn"/>
        <w:ind w:left="1080"/>
      </w:pPr>
      <w:r w:rsidRPr="00165924">
        <w:t xml:space="preserve">Adresa: OCC s.r.o., středisko </w:t>
      </w:r>
      <w:proofErr w:type="spellStart"/>
      <w:r w:rsidRPr="00165924">
        <w:t>Lenovo</w:t>
      </w:r>
      <w:proofErr w:type="spellEnd"/>
      <w:r w:rsidRPr="00165924">
        <w:t xml:space="preserve"> </w:t>
      </w:r>
      <w:proofErr w:type="spellStart"/>
      <w:r w:rsidRPr="00165924">
        <w:t>Services</w:t>
      </w:r>
      <w:proofErr w:type="spellEnd"/>
      <w:r w:rsidRPr="00165924">
        <w:t xml:space="preserve">, </w:t>
      </w:r>
      <w:proofErr w:type="spellStart"/>
      <w:proofErr w:type="gramStart"/>
      <w:r w:rsidRPr="00165924">
        <w:t>Classic</w:t>
      </w:r>
      <w:proofErr w:type="spellEnd"/>
      <w:r w:rsidRPr="00165924">
        <w:t xml:space="preserve"> 7 –budova</w:t>
      </w:r>
      <w:proofErr w:type="gramEnd"/>
      <w:r w:rsidRPr="00165924">
        <w:t xml:space="preserve"> L, Jankovcova 1603/47a, 170 00 Praha 7</w:t>
      </w:r>
    </w:p>
    <w:p w:rsidR="00FE352C" w:rsidRPr="00165924" w:rsidRDefault="00FE352C" w:rsidP="00FE352C">
      <w:pPr>
        <w:pStyle w:val="Nadpis2bezslovn"/>
        <w:ind w:left="1080"/>
      </w:pPr>
      <w:r w:rsidRPr="00165924">
        <w:t xml:space="preserve">E-mail: </w:t>
      </w:r>
      <w:proofErr w:type="spellStart"/>
      <w:r w:rsidR="00014661">
        <w:t>xxx</w:t>
      </w:r>
      <w:proofErr w:type="spellEnd"/>
    </w:p>
    <w:p w:rsidR="006135FA" w:rsidRPr="005C0F87" w:rsidRDefault="00FE352C" w:rsidP="00FE352C">
      <w:pPr>
        <w:pStyle w:val="Nadpis2bezslovn"/>
        <w:ind w:left="1080"/>
      </w:pPr>
      <w:r w:rsidRPr="00165924">
        <w:t>Datová schránka: vpdrhy8</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 xml:space="preserve">Kontaktní osobou Kupujícího je </w:t>
      </w:r>
      <w:proofErr w:type="spellStart"/>
      <w:r w:rsidR="00014661">
        <w:rPr>
          <w:i/>
        </w:rPr>
        <w:t>xxx</w:t>
      </w:r>
      <w:proofErr w:type="spellEnd"/>
      <w:r w:rsidR="00684ACB">
        <w:rPr>
          <w:i/>
        </w:rPr>
        <w:t>,</w:t>
      </w:r>
      <w:r w:rsidRPr="005C0F87">
        <w:t xml:space="preserve"> e-mail</w:t>
      </w:r>
      <w:r>
        <w:t xml:space="preserve"> </w:t>
      </w:r>
      <w:proofErr w:type="spellStart"/>
      <w:r w:rsidR="00014661">
        <w:t>xxx</w:t>
      </w:r>
      <w:proofErr w:type="spellEnd"/>
      <w:r w:rsidR="005B39FD">
        <w:fldChar w:fldCharType="begin"/>
      </w:r>
      <w:r w:rsidR="005B39FD">
        <w:instrText xml:space="preserve"> HYPERLINK "mailto:becvar.lad</w:instrText>
      </w:r>
      <w:r w:rsidR="005B39FD">
        <w:instrText xml:space="preserve">islav@npu.cz" </w:instrText>
      </w:r>
      <w:r w:rsidR="005B39FD">
        <w:fldChar w:fldCharType="separate"/>
      </w:r>
      <w:r w:rsidR="005B39FD">
        <w:rPr>
          <w:rStyle w:val="Hypertextovodkaz"/>
          <w:color w:val="auto"/>
          <w:u w:val="none"/>
        </w:rPr>
        <w:fldChar w:fldCharType="end"/>
      </w:r>
      <w:r w:rsidR="00684ACB">
        <w:rPr>
          <w:i/>
        </w:rPr>
        <w:t xml:space="preserve">, </w:t>
      </w:r>
      <w:r w:rsidR="00684ACB" w:rsidRPr="00684ACB">
        <w:t xml:space="preserve">tel. </w:t>
      </w:r>
      <w:proofErr w:type="spellStart"/>
      <w:r w:rsidR="00014661">
        <w:t>xxx</w:t>
      </w:r>
      <w:proofErr w:type="spellEnd"/>
      <w:r w:rsidRPr="005C0F87">
        <w:t xml:space="preserve"> a další zaměstnanci Kupujícího jím písemně pověření. </w:t>
      </w:r>
    </w:p>
    <w:p w:rsidR="006135FA" w:rsidRPr="005C0F87" w:rsidRDefault="006135FA" w:rsidP="008535B1">
      <w:pPr>
        <w:pStyle w:val="Nadpis3"/>
        <w:keepNext/>
        <w:keepLines/>
      </w:pPr>
      <w:r w:rsidRPr="00165924">
        <w:t xml:space="preserve">Kontaktní osobou Prodávajícího je: </w:t>
      </w:r>
      <w:bookmarkStart w:id="2" w:name="_Hlk50464294"/>
      <w:proofErr w:type="spellStart"/>
      <w:r w:rsidR="00014661">
        <w:rPr>
          <w:i/>
        </w:rPr>
        <w:t>xxx</w:t>
      </w:r>
      <w:proofErr w:type="spellEnd"/>
      <w:r w:rsidR="00FE352C" w:rsidRPr="00165924">
        <w:rPr>
          <w:i/>
        </w:rPr>
        <w:t>, zplnomocněný</w:t>
      </w:r>
      <w:r w:rsidR="00FE352C" w:rsidRPr="00165924">
        <w:t xml:space="preserve"> zástupce jednatele</w:t>
      </w:r>
      <w:bookmarkEnd w:id="2"/>
      <w:r w:rsidR="00FE352C" w:rsidRPr="00165924">
        <w:t xml:space="preserve">, </w:t>
      </w:r>
      <w:proofErr w:type="spellStart"/>
      <w:r w:rsidR="00014661">
        <w:t>xxx</w:t>
      </w:r>
      <w:proofErr w:type="spellEnd"/>
      <w:r w:rsidR="00FE352C" w:rsidRPr="00165924">
        <w:t xml:space="preserve">, </w:t>
      </w:r>
      <w:proofErr w:type="spellStart"/>
      <w:r w:rsidR="00014661">
        <w:t>xxx</w:t>
      </w:r>
      <w:proofErr w:type="spellEnd"/>
      <w:r w:rsidRPr="00165924">
        <w:t>,</w:t>
      </w:r>
      <w:r w:rsidRPr="005C0F87">
        <w:t xml:space="preserve"> a další zaměstnanci či jiné osoby jím písemně pověření. </w:t>
      </w:r>
    </w:p>
    <w:p w:rsidR="006135FA" w:rsidRPr="00E9580F" w:rsidRDefault="006135FA" w:rsidP="0056725D">
      <w:pPr>
        <w:pStyle w:val="Nadpis2"/>
        <w:tabs>
          <w:tab w:val="num" w:pos="576"/>
        </w:tabs>
        <w:ind w:left="786"/>
        <w:rPr>
          <w:szCs w:val="24"/>
        </w:rPr>
      </w:pPr>
      <w:r w:rsidRPr="00E9580F">
        <w:rPr>
          <w:szCs w:val="24"/>
        </w:rPr>
        <w:t>Ke změně Smlouvy, zrušení Smlouvy, nebo změně bankovních údajů je za Kupujícího oprávněn</w:t>
      </w:r>
      <w:r w:rsidR="00E47ACD" w:rsidRPr="00E9580F">
        <w:rPr>
          <w:szCs w:val="24"/>
        </w:rPr>
        <w:t>a</w:t>
      </w:r>
      <w:r w:rsidRPr="00E9580F">
        <w:rPr>
          <w:szCs w:val="24"/>
        </w:rPr>
        <w:t xml:space="preserve"> </w:t>
      </w:r>
      <w:r w:rsidR="00E47ACD" w:rsidRPr="00E9580F">
        <w:rPr>
          <w:szCs w:val="24"/>
        </w:rPr>
        <w:t>Ing. arch. Naděždou Goryczková, generální ředitelka</w:t>
      </w:r>
      <w:r w:rsidR="00623DBD" w:rsidRPr="00E9580F">
        <w:rPr>
          <w:i/>
          <w:szCs w:val="24"/>
        </w:rPr>
        <w:t xml:space="preserve"> </w:t>
      </w:r>
      <w:r w:rsidR="00623DBD" w:rsidRPr="00E9580F">
        <w:rPr>
          <w:szCs w:val="24"/>
        </w:rPr>
        <w:t xml:space="preserve">a </w:t>
      </w:r>
      <w:r w:rsidR="00E47ACD" w:rsidRPr="00E9580F">
        <w:rPr>
          <w:szCs w:val="24"/>
        </w:rPr>
        <w:t>dal</w:t>
      </w:r>
      <w:r w:rsidR="00E9580F" w:rsidRPr="00E9580F">
        <w:rPr>
          <w:szCs w:val="24"/>
        </w:rPr>
        <w:t>ší zaměstnanci či jiné osoby jí</w:t>
      </w:r>
      <w:r w:rsidR="00E47ACD" w:rsidRPr="00E9580F">
        <w:rPr>
          <w:szCs w:val="24"/>
        </w:rPr>
        <w:t xml:space="preserve"> písemně pověření</w:t>
      </w:r>
      <w:r w:rsidRPr="00E9580F">
        <w:rPr>
          <w:szCs w:val="24"/>
        </w:rPr>
        <w:t>. Ke změně Smlouvy nebo ukončení Smlouvy je oprávněn za Prodávajícího sám Prodávající (pokud je fyzickou osobou – podnikatelem) nebo statutární orgán Prodávajícího, a to dle způsobu jednání uvedené</w:t>
      </w:r>
      <w:r w:rsidR="002D2975" w:rsidRPr="00E9580F">
        <w:rPr>
          <w:szCs w:val="24"/>
        </w:rPr>
        <w:t>ho</w:t>
      </w:r>
      <w:r w:rsidRPr="00E9580F">
        <w:rPr>
          <w:szCs w:val="24"/>
        </w:rPr>
        <w:t xml:space="preserve"> v obchodním rejstříku (dále jen „Odpovědné osoby pro věci smluvní“). Odpovědné osoby pro věci smluvní mají současně všechna oprávnění Kontaktních osob.</w:t>
      </w:r>
    </w:p>
    <w:p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w:t>
      </w:r>
      <w:r w:rsidRPr="00455DB4">
        <w:lastRenderedPageBreak/>
        <w:t xml:space="preserve">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E9580F" w:rsidRDefault="00E9580F" w:rsidP="0056725D">
      <w:pPr>
        <w:pStyle w:val="Nadpis2"/>
        <w:tabs>
          <w:tab w:val="num" w:pos="576"/>
        </w:tabs>
        <w:ind w:left="786"/>
        <w:rPr>
          <w:szCs w:val="24"/>
        </w:rPr>
      </w:pPr>
      <w:r w:rsidRPr="00E9580F">
        <w:rPr>
          <w:szCs w:val="24"/>
        </w:rPr>
        <w:t>Tato Smlouva se uzavírá elektronickou formou s elektronickými podpisy smluvních stran</w:t>
      </w:r>
      <w:r w:rsidR="00722531" w:rsidRPr="00E9580F">
        <w:rPr>
          <w:szCs w:val="24"/>
        </w:rPr>
        <w:t xml:space="preserve">  </w:t>
      </w:r>
    </w:p>
    <w:p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r w:rsidR="00646220" w:rsidRPr="00646220">
        <w:t xml:space="preserve"> </w:t>
      </w:r>
      <w:r w:rsidR="00646220">
        <w:t>a objemy plnění na odběrná místa</w:t>
      </w:r>
    </w:p>
    <w:p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rsidR="00684ACB" w:rsidRPr="00684ACB" w:rsidRDefault="00684ACB" w:rsidP="00684ACB"/>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t>V Praze dne ______</w:t>
            </w:r>
            <w:r w:rsidR="00E9580F">
              <w:softHyphen/>
            </w:r>
            <w:r w:rsidR="00E9580F">
              <w:softHyphen/>
            </w:r>
          </w:p>
        </w:tc>
        <w:tc>
          <w:tcPr>
            <w:tcW w:w="4606" w:type="dxa"/>
          </w:tcPr>
          <w:p w:rsidR="006135FA" w:rsidRPr="005C0F87" w:rsidRDefault="006135FA" w:rsidP="0086374F">
            <w:pPr>
              <w:jc w:val="center"/>
            </w:pPr>
            <w:r w:rsidRPr="005C0F87">
              <w:t>V ______________ dne _____</w:t>
            </w:r>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E05187" w:rsidRDefault="006135FA" w:rsidP="0086374F">
            <w:pPr>
              <w:jc w:val="center"/>
            </w:pPr>
            <w:r w:rsidRPr="00E05187">
              <w:t>Kupující</w:t>
            </w:r>
          </w:p>
          <w:p w:rsidR="006135FA" w:rsidRPr="00E9580F" w:rsidRDefault="00E9580F" w:rsidP="00E9580F">
            <w:pPr>
              <w:jc w:val="center"/>
            </w:pPr>
            <w:r w:rsidRPr="00E9580F">
              <w:rPr>
                <w:spacing w:val="12"/>
              </w:rPr>
              <w:t>Ing. arch. Naděžda Goryczková</w:t>
            </w:r>
          </w:p>
        </w:tc>
        <w:tc>
          <w:tcPr>
            <w:tcW w:w="4606" w:type="dxa"/>
          </w:tcPr>
          <w:p w:rsidR="006135FA" w:rsidRDefault="006135FA" w:rsidP="00741722">
            <w:pPr>
              <w:jc w:val="center"/>
            </w:pPr>
            <w:r w:rsidRPr="005C0F87">
              <w:t>Prodávající</w:t>
            </w:r>
          </w:p>
          <w:p w:rsidR="00741722" w:rsidRPr="00C15D8A" w:rsidRDefault="00901961" w:rsidP="00741722">
            <w:pPr>
              <w:jc w:val="center"/>
            </w:pPr>
            <w:r>
              <w:t xml:space="preserve">Pavel Kraus – jednatel společnosti OCC </w:t>
            </w:r>
            <w:proofErr w:type="spellStart"/>
            <w:r>
              <w:t>s.r.o</w:t>
            </w:r>
            <w:proofErr w:type="spellEnd"/>
          </w:p>
        </w:tc>
      </w:tr>
    </w:tbl>
    <w:p w:rsidR="006135FA" w:rsidRDefault="00E9580F" w:rsidP="008A5116">
      <w:pPr>
        <w:rPr>
          <w:spacing w:val="12"/>
        </w:rPr>
      </w:pPr>
      <w:r>
        <w:rPr>
          <w:rFonts w:ascii="Calibri" w:hAnsi="Calibri" w:cs="Calibri"/>
          <w:spacing w:val="12"/>
          <w:sz w:val="22"/>
          <w:szCs w:val="22"/>
        </w:rPr>
        <w:t xml:space="preserve">                 </w:t>
      </w:r>
      <w:r w:rsidRPr="00E9580F">
        <w:rPr>
          <w:spacing w:val="12"/>
        </w:rPr>
        <w:t>generální ředitelka NPÚ</w:t>
      </w:r>
    </w:p>
    <w:p w:rsidR="00A879BA" w:rsidRDefault="00A879BA" w:rsidP="008A5116">
      <w:pPr>
        <w:rPr>
          <w:spacing w:val="12"/>
        </w:rPr>
      </w:pPr>
    </w:p>
    <w:p w:rsidR="00A879BA" w:rsidRDefault="00A879BA" w:rsidP="008A5116">
      <w:pPr>
        <w:rPr>
          <w:spacing w:val="12"/>
        </w:rPr>
      </w:pPr>
    </w:p>
    <w:p w:rsidR="00A879BA" w:rsidRDefault="00A879BA" w:rsidP="008A5116">
      <w:pPr>
        <w:rPr>
          <w:spacing w:val="12"/>
        </w:rPr>
      </w:pPr>
    </w:p>
    <w:p w:rsidR="00A879BA" w:rsidRDefault="00A879BA" w:rsidP="008A5116">
      <w:pPr>
        <w:rPr>
          <w:spacing w:val="12"/>
        </w:rPr>
      </w:pPr>
    </w:p>
    <w:p w:rsidR="00A879BA" w:rsidRDefault="00A879BA" w:rsidP="008A5116">
      <w:pPr>
        <w:rPr>
          <w:spacing w:val="12"/>
        </w:rPr>
      </w:pPr>
    </w:p>
    <w:p w:rsidR="00A879BA" w:rsidRDefault="00A879BA" w:rsidP="00916216">
      <w:r w:rsidRPr="00900D84">
        <w:lastRenderedPageBreak/>
        <w:t>Příloha č. 1:  Technická specifikace</w:t>
      </w:r>
    </w:p>
    <w:p w:rsidR="00A879BA" w:rsidRDefault="00A879BA" w:rsidP="008A5116">
      <w:pPr>
        <w:rPr>
          <w:b/>
        </w:rPr>
      </w:pPr>
    </w:p>
    <w:tbl>
      <w:tblPr>
        <w:tblW w:w="10081" w:type="dxa"/>
        <w:tblInd w:w="55" w:type="dxa"/>
        <w:tblCellMar>
          <w:left w:w="70" w:type="dxa"/>
          <w:right w:w="70" w:type="dxa"/>
        </w:tblCellMar>
        <w:tblLook w:val="04A0" w:firstRow="1" w:lastRow="0" w:firstColumn="1" w:lastColumn="0" w:noHBand="0" w:noVBand="1"/>
      </w:tblPr>
      <w:tblGrid>
        <w:gridCol w:w="1980"/>
        <w:gridCol w:w="2491"/>
        <w:gridCol w:w="1647"/>
        <w:gridCol w:w="3963"/>
      </w:tblGrid>
      <w:tr w:rsidR="00A879BA" w:rsidRPr="00A879BA" w:rsidTr="00A879BA">
        <w:trPr>
          <w:trHeight w:val="420"/>
        </w:trPr>
        <w:tc>
          <w:tcPr>
            <w:tcW w:w="10081" w:type="dxa"/>
            <w:gridSpan w:val="4"/>
            <w:tcBorders>
              <w:top w:val="nil"/>
              <w:left w:val="nil"/>
              <w:bottom w:val="nil"/>
              <w:right w:val="nil"/>
            </w:tcBorders>
            <w:shd w:val="clear" w:color="auto" w:fill="auto"/>
            <w:noWrap/>
            <w:hideMark/>
          </w:tcPr>
          <w:p w:rsidR="00A879BA" w:rsidRPr="00A879BA" w:rsidRDefault="00A879BA" w:rsidP="00A879BA">
            <w:pPr>
              <w:jc w:val="center"/>
              <w:rPr>
                <w:rFonts w:ascii="Calibri" w:hAnsi="Calibri"/>
                <w:sz w:val="32"/>
                <w:szCs w:val="32"/>
              </w:rPr>
            </w:pPr>
            <w:bookmarkStart w:id="3" w:name="RANGE!A1:D101"/>
            <w:r w:rsidRPr="00A879BA">
              <w:rPr>
                <w:rFonts w:ascii="Calibri" w:hAnsi="Calibri"/>
                <w:sz w:val="32"/>
                <w:szCs w:val="32"/>
              </w:rPr>
              <w:t>Technická specifikace poptávaného plnění - Notebook 14 palců</w:t>
            </w:r>
            <w:bookmarkEnd w:id="3"/>
          </w:p>
        </w:tc>
      </w:tr>
      <w:tr w:rsidR="00A879BA" w:rsidRPr="00A879BA" w:rsidTr="00A879BA">
        <w:trPr>
          <w:trHeight w:val="315"/>
        </w:trPr>
        <w:tc>
          <w:tcPr>
            <w:tcW w:w="1980" w:type="dxa"/>
            <w:tcBorders>
              <w:top w:val="nil"/>
              <w:left w:val="nil"/>
              <w:bottom w:val="nil"/>
              <w:right w:val="nil"/>
            </w:tcBorders>
            <w:shd w:val="clear" w:color="auto" w:fill="auto"/>
            <w:noWrap/>
            <w:hideMark/>
          </w:tcPr>
          <w:p w:rsidR="00A879BA" w:rsidRPr="00A879BA" w:rsidRDefault="00A879BA" w:rsidP="00A879BA">
            <w:pPr>
              <w:rPr>
                <w:rFonts w:ascii="Calibri" w:hAnsi="Calibri"/>
                <w:b/>
                <w:bCs/>
              </w:rPr>
            </w:pPr>
          </w:p>
        </w:tc>
        <w:tc>
          <w:tcPr>
            <w:tcW w:w="2491" w:type="dxa"/>
            <w:tcBorders>
              <w:top w:val="nil"/>
              <w:left w:val="nil"/>
              <w:bottom w:val="nil"/>
              <w:right w:val="nil"/>
            </w:tcBorders>
            <w:shd w:val="clear" w:color="auto" w:fill="auto"/>
            <w:noWrap/>
            <w:hideMark/>
          </w:tcPr>
          <w:p w:rsidR="00A879BA" w:rsidRPr="00A879BA" w:rsidRDefault="00A879BA" w:rsidP="00A879BA">
            <w:pPr>
              <w:rPr>
                <w:rFonts w:ascii="Calibri" w:hAnsi="Calibri"/>
                <w:b/>
                <w:bCs/>
              </w:rPr>
            </w:pPr>
          </w:p>
        </w:tc>
        <w:tc>
          <w:tcPr>
            <w:tcW w:w="1647" w:type="dxa"/>
            <w:tcBorders>
              <w:top w:val="nil"/>
              <w:left w:val="nil"/>
              <w:bottom w:val="nil"/>
              <w:right w:val="nil"/>
            </w:tcBorders>
            <w:shd w:val="clear" w:color="auto" w:fill="auto"/>
            <w:noWrap/>
            <w:hideMark/>
          </w:tcPr>
          <w:p w:rsidR="00A879BA" w:rsidRPr="00A879BA" w:rsidRDefault="00A879BA" w:rsidP="00A879BA">
            <w:pPr>
              <w:rPr>
                <w:rFonts w:ascii="Calibri" w:hAnsi="Calibri"/>
                <w:b/>
                <w:bCs/>
              </w:rPr>
            </w:pPr>
          </w:p>
        </w:tc>
        <w:tc>
          <w:tcPr>
            <w:tcW w:w="3963" w:type="dxa"/>
            <w:tcBorders>
              <w:top w:val="nil"/>
              <w:left w:val="nil"/>
              <w:bottom w:val="nil"/>
              <w:right w:val="nil"/>
            </w:tcBorders>
            <w:shd w:val="clear" w:color="auto" w:fill="auto"/>
            <w:noWrap/>
            <w:hideMark/>
          </w:tcPr>
          <w:p w:rsidR="00A879BA" w:rsidRPr="00A879BA" w:rsidRDefault="00A879BA" w:rsidP="00A879BA">
            <w:pPr>
              <w:rPr>
                <w:rFonts w:ascii="Calibri" w:hAnsi="Calibri"/>
                <w:b/>
                <w:bCs/>
              </w:rPr>
            </w:pPr>
          </w:p>
        </w:tc>
      </w:tr>
      <w:tr w:rsidR="00A879BA" w:rsidRPr="00A879BA" w:rsidTr="00A879BA">
        <w:trPr>
          <w:trHeight w:val="300"/>
        </w:trPr>
        <w:tc>
          <w:tcPr>
            <w:tcW w:w="4471" w:type="dxa"/>
            <w:gridSpan w:val="2"/>
            <w:tcBorders>
              <w:top w:val="single" w:sz="8" w:space="0" w:color="auto"/>
              <w:left w:val="single" w:sz="8" w:space="0" w:color="auto"/>
              <w:bottom w:val="single" w:sz="4" w:space="0" w:color="auto"/>
              <w:right w:val="single" w:sz="4" w:space="0" w:color="auto"/>
            </w:tcBorders>
            <w:shd w:val="clear" w:color="auto" w:fill="auto"/>
            <w:noWrap/>
            <w:hideMark/>
          </w:tcPr>
          <w:p w:rsidR="00A879BA" w:rsidRPr="00A879BA" w:rsidRDefault="00A879BA" w:rsidP="00A879BA">
            <w:pPr>
              <w:jc w:val="center"/>
              <w:rPr>
                <w:rFonts w:ascii="Calibri" w:hAnsi="Calibri"/>
                <w:sz w:val="18"/>
                <w:szCs w:val="18"/>
              </w:rPr>
            </w:pPr>
            <w:r w:rsidRPr="00A879BA">
              <w:rPr>
                <w:rFonts w:ascii="Calibri" w:hAnsi="Calibri"/>
                <w:sz w:val="18"/>
                <w:szCs w:val="18"/>
              </w:rPr>
              <w:t>Požadavky kupujícího</w:t>
            </w:r>
          </w:p>
        </w:tc>
        <w:tc>
          <w:tcPr>
            <w:tcW w:w="561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879BA" w:rsidRPr="00A879BA" w:rsidRDefault="00A879BA" w:rsidP="00A879BA">
            <w:pPr>
              <w:jc w:val="center"/>
              <w:rPr>
                <w:rFonts w:ascii="Calibri" w:hAnsi="Calibri"/>
                <w:sz w:val="18"/>
                <w:szCs w:val="18"/>
              </w:rPr>
            </w:pPr>
            <w:r w:rsidRPr="00A879BA">
              <w:rPr>
                <w:rFonts w:ascii="Calibri" w:hAnsi="Calibri"/>
                <w:sz w:val="18"/>
                <w:szCs w:val="18"/>
              </w:rPr>
              <w:t>Nabídka prodávajícího</w:t>
            </w:r>
          </w:p>
        </w:tc>
      </w:tr>
      <w:tr w:rsidR="00A879BA" w:rsidRPr="00A879BA" w:rsidTr="00A879BA">
        <w:trPr>
          <w:trHeight w:val="885"/>
        </w:trPr>
        <w:tc>
          <w:tcPr>
            <w:tcW w:w="4471"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Notebook II</w:t>
            </w:r>
          </w:p>
        </w:tc>
        <w:tc>
          <w:tcPr>
            <w:tcW w:w="561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rsidR="00A879BA" w:rsidRPr="00A879BA" w:rsidRDefault="00A879BA" w:rsidP="00A879BA">
            <w:pPr>
              <w:jc w:val="center"/>
              <w:rPr>
                <w:rFonts w:ascii="Calibri" w:hAnsi="Calibri"/>
                <w:b/>
                <w:bCs/>
                <w:sz w:val="18"/>
                <w:szCs w:val="18"/>
              </w:rPr>
            </w:pPr>
            <w:proofErr w:type="spellStart"/>
            <w:r w:rsidRPr="00A879BA">
              <w:rPr>
                <w:rFonts w:ascii="Calibri" w:hAnsi="Calibri"/>
                <w:b/>
                <w:bCs/>
                <w:sz w:val="18"/>
                <w:szCs w:val="18"/>
              </w:rPr>
              <w:t>Lenovo</w:t>
            </w:r>
            <w:proofErr w:type="spellEnd"/>
            <w:r w:rsidRPr="00A879BA">
              <w:rPr>
                <w:rFonts w:ascii="Calibri" w:hAnsi="Calibri"/>
                <w:b/>
                <w:bCs/>
                <w:sz w:val="18"/>
                <w:szCs w:val="18"/>
              </w:rPr>
              <w:t xml:space="preserve"> L14 AMD Gen3</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nil"/>
              <w:bottom w:val="single" w:sz="4" w:space="0" w:color="auto"/>
              <w:right w:val="nil"/>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nil"/>
              <w:bottom w:val="single" w:sz="4" w:space="0" w:color="auto"/>
              <w:right w:val="single" w:sz="8"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12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Konstrukční provedení: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Šasi zpevněné konstrukce (kov, skelná </w:t>
            </w:r>
            <w:proofErr w:type="gramStart"/>
            <w:r w:rsidRPr="00A879BA">
              <w:rPr>
                <w:rFonts w:ascii="Calibri" w:hAnsi="Calibri"/>
                <w:sz w:val="18"/>
                <w:szCs w:val="18"/>
              </w:rPr>
              <w:t>vlákna,karbon</w:t>
            </w:r>
            <w:proofErr w:type="gramEnd"/>
            <w:r w:rsidRPr="00A879BA">
              <w:rPr>
                <w:rFonts w:ascii="Calibri" w:hAnsi="Calibri"/>
                <w:sz w:val="18"/>
                <w:szCs w:val="18"/>
              </w:rPr>
              <w:t>) s odolnými panty - použití materiálu ABS je možné pouze v kombinaci s kovem, skelnými vlány či karbonem, nikoliv samostatně.</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Barva:</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Černá, šedá, stříbrná nebo podobné tmavé zabarvení</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černá</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Váha s baterií:</w:t>
            </w:r>
            <w:r w:rsidRPr="00A879BA">
              <w:rPr>
                <w:rFonts w:ascii="Calibri" w:hAnsi="Calibri"/>
                <w:sz w:val="18"/>
                <w:szCs w:val="18"/>
              </w:rPr>
              <w:br/>
              <w:t>(ve verzi 8 GB RAM)</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Max. 1,50 kg</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1.44kg</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Procesor:</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1x, min. hodnota dle </w:t>
            </w:r>
            <w:proofErr w:type="spellStart"/>
            <w:r w:rsidRPr="00A879BA">
              <w:rPr>
                <w:rFonts w:ascii="Calibri" w:hAnsi="Calibri"/>
                <w:sz w:val="18"/>
                <w:szCs w:val="18"/>
              </w:rPr>
              <w:t>PassMark</w:t>
            </w:r>
            <w:proofErr w:type="spellEnd"/>
            <w:r w:rsidRPr="00A879BA">
              <w:rPr>
                <w:rFonts w:ascii="Calibri" w:hAnsi="Calibri"/>
                <w:sz w:val="18"/>
                <w:szCs w:val="18"/>
              </w:rPr>
              <w:t xml:space="preserve"> - 9000 bodů, skóre dle verze 10 </w:t>
            </w:r>
            <w:proofErr w:type="spellStart"/>
            <w:r w:rsidRPr="00A879BA">
              <w:rPr>
                <w:rFonts w:ascii="Calibri" w:hAnsi="Calibri"/>
                <w:sz w:val="18"/>
                <w:szCs w:val="18"/>
              </w:rPr>
              <w:t>PassMark</w:t>
            </w:r>
            <w:proofErr w:type="spellEnd"/>
            <w:r w:rsidRPr="00A879BA">
              <w:rPr>
                <w:rFonts w:ascii="Calibri" w:hAnsi="Calibri"/>
                <w:sz w:val="18"/>
                <w:szCs w:val="18"/>
              </w:rPr>
              <w:t xml:space="preserve"> CPU Mark (dle Přílohy č. 5 Výzvy)</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AMD Ryzen 3 PRO 5475U, 12,266</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Operační paměť:</w:t>
            </w:r>
          </w:p>
        </w:tc>
        <w:tc>
          <w:tcPr>
            <w:tcW w:w="2491" w:type="dxa"/>
            <w:tcBorders>
              <w:top w:val="nil"/>
              <w:left w:val="nil"/>
              <w:bottom w:val="single" w:sz="4" w:space="0" w:color="auto"/>
              <w:right w:val="nil"/>
            </w:tcBorders>
            <w:shd w:val="clear" w:color="000000" w:fill="FFFFFF"/>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8 GB DDR4 2400 MHz osazeno jedním modulem</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8GB DDR4-3200MHz </w:t>
            </w:r>
            <w:proofErr w:type="spellStart"/>
            <w:r w:rsidRPr="00A879BA">
              <w:rPr>
                <w:rFonts w:ascii="Calibri" w:hAnsi="Calibri"/>
                <w:sz w:val="18"/>
                <w:szCs w:val="18"/>
              </w:rPr>
              <w:t>SoDIMM</w:t>
            </w:r>
            <w:proofErr w:type="spellEnd"/>
            <w:r w:rsidRPr="00A879BA">
              <w:rPr>
                <w:rFonts w:ascii="Calibri" w:hAnsi="Calibri"/>
                <w:sz w:val="18"/>
                <w:szCs w:val="18"/>
              </w:rPr>
              <w:t xml:space="preserve">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Možnost rozšířit alespoň na 16 GB RAM</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Pevný disk:</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SSD, min. 500 GB NVME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512 GB SSD </w:t>
            </w:r>
            <w:proofErr w:type="gramStart"/>
            <w:r w:rsidRPr="00A879BA">
              <w:rPr>
                <w:rFonts w:ascii="Calibri" w:hAnsi="Calibri"/>
                <w:sz w:val="18"/>
                <w:szCs w:val="18"/>
              </w:rPr>
              <w:t>M.2 2242</w:t>
            </w:r>
            <w:proofErr w:type="gramEnd"/>
            <w:r w:rsidRPr="00A879BA">
              <w:rPr>
                <w:rFonts w:ascii="Calibri" w:hAnsi="Calibri"/>
                <w:sz w:val="18"/>
                <w:szCs w:val="18"/>
              </w:rPr>
              <w:t xml:space="preserve"> </w:t>
            </w:r>
            <w:proofErr w:type="spellStart"/>
            <w:r w:rsidRPr="00A879BA">
              <w:rPr>
                <w:rFonts w:ascii="Calibri" w:hAnsi="Calibri"/>
                <w:sz w:val="18"/>
                <w:szCs w:val="18"/>
              </w:rPr>
              <w:t>PCIe</w:t>
            </w:r>
            <w:proofErr w:type="spellEnd"/>
            <w:r w:rsidRPr="00A879BA">
              <w:rPr>
                <w:rFonts w:ascii="Calibri" w:hAnsi="Calibri"/>
                <w:sz w:val="18"/>
                <w:szCs w:val="18"/>
              </w:rPr>
              <w:t xml:space="preserve"> Gen4 TLC Opal</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Rychlost čtení / zápis min. 500 MB/s</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Display:</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Úhlopříčka v rozmezí 14,0“ - 15,0“, nativní rozlišení min. 1920x1080</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14" FHD (1920 x 1080), IPS, Anti-</w:t>
            </w:r>
            <w:proofErr w:type="spellStart"/>
            <w:r w:rsidRPr="00A879BA">
              <w:rPr>
                <w:rFonts w:ascii="Calibri" w:hAnsi="Calibri"/>
                <w:sz w:val="18"/>
                <w:szCs w:val="18"/>
              </w:rPr>
              <w:t>Glare</w:t>
            </w:r>
            <w:proofErr w:type="spellEnd"/>
            <w:r w:rsidRPr="00A879BA">
              <w:rPr>
                <w:rFonts w:ascii="Calibri" w:hAnsi="Calibri"/>
                <w:sz w:val="18"/>
                <w:szCs w:val="18"/>
              </w:rPr>
              <w:t xml:space="preserve">,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LED podsvícení, antireflexní,  matný</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Grafická karta:</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Integrovaná, podporující </w:t>
            </w:r>
            <w:proofErr w:type="spellStart"/>
            <w:r w:rsidRPr="00A879BA">
              <w:rPr>
                <w:rFonts w:ascii="Calibri" w:hAnsi="Calibri"/>
                <w:sz w:val="18"/>
                <w:szCs w:val="18"/>
              </w:rPr>
              <w:t>vícemonitorové</w:t>
            </w:r>
            <w:proofErr w:type="spellEnd"/>
            <w:r w:rsidRPr="00A879BA">
              <w:rPr>
                <w:rFonts w:ascii="Calibri" w:hAnsi="Calibri"/>
                <w:sz w:val="18"/>
                <w:szCs w:val="18"/>
              </w:rPr>
              <w:t xml:space="preserve"> zobrazení, podpora min. 4K@60Hz</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Zvuková karta</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proofErr w:type="gramStart"/>
            <w:r w:rsidRPr="00A879BA">
              <w:rPr>
                <w:rFonts w:ascii="Calibri" w:hAnsi="Calibri"/>
                <w:sz w:val="18"/>
                <w:szCs w:val="18"/>
              </w:rPr>
              <w:t>Integrovaná , integrovaný</w:t>
            </w:r>
            <w:proofErr w:type="gramEnd"/>
            <w:r w:rsidRPr="00A879BA">
              <w:rPr>
                <w:rFonts w:ascii="Calibri" w:hAnsi="Calibri"/>
                <w:sz w:val="18"/>
                <w:szCs w:val="18"/>
              </w:rPr>
              <w:t xml:space="preserve"> mikrofon a integrované reproduktory</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Typ a počet rozhraní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3x USB konektory (z toho min. 1x USB min. 3.0 konektor stále napájený a min. 1x USB-C)</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4x USB – 2x 3.2 G1, USB-C 3.2 G1 a USB-C 3.2 G2</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1x digitální konektor HDMI, podpora min. 4K@60Hz</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digitální konektor HDMI, 4K@60Hz</w:t>
            </w:r>
          </w:p>
        </w:tc>
      </w:tr>
      <w:tr w:rsidR="00A879BA" w:rsidRPr="00A879BA" w:rsidTr="00A879BA">
        <w:trPr>
          <w:trHeight w:val="24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10/100/1000 Mbps, podpora WOL, min. 1x RJ 45 - lze řešit jiným portem (nepočítá se do splnění minimálního počtu u jiných požadavků). V případě řešení jiným portem je požadována podpora PXE včetně předání MAC adresy notebooku (MAC </w:t>
            </w:r>
            <w:proofErr w:type="spellStart"/>
            <w:r w:rsidRPr="00A879BA">
              <w:rPr>
                <w:rFonts w:ascii="Calibri" w:hAnsi="Calibri"/>
                <w:sz w:val="18"/>
                <w:szCs w:val="18"/>
              </w:rPr>
              <w:t>Address</w:t>
            </w:r>
            <w:proofErr w:type="spellEnd"/>
            <w:r w:rsidRPr="00A879BA">
              <w:rPr>
                <w:rFonts w:ascii="Calibri" w:hAnsi="Calibri"/>
                <w:sz w:val="18"/>
                <w:szCs w:val="18"/>
              </w:rPr>
              <w:t xml:space="preserve"> </w:t>
            </w:r>
            <w:proofErr w:type="spellStart"/>
            <w:r w:rsidRPr="00A879BA">
              <w:rPr>
                <w:rFonts w:ascii="Calibri" w:hAnsi="Calibri"/>
                <w:sz w:val="18"/>
                <w:szCs w:val="18"/>
              </w:rPr>
              <w:t>Pass-Through</w:t>
            </w:r>
            <w:proofErr w:type="spellEnd"/>
            <w:r w:rsidRPr="00A879BA">
              <w:rPr>
                <w:rFonts w:ascii="Calibri" w:hAnsi="Calibri"/>
                <w:sz w:val="18"/>
                <w:szCs w:val="18"/>
              </w:rPr>
              <w:t xml:space="preserve"> / Host </w:t>
            </w:r>
            <w:proofErr w:type="spellStart"/>
            <w:r w:rsidRPr="00A879BA">
              <w:rPr>
                <w:rFonts w:ascii="Calibri" w:hAnsi="Calibri"/>
                <w:sz w:val="18"/>
                <w:szCs w:val="18"/>
              </w:rPr>
              <w:t>Based</w:t>
            </w:r>
            <w:proofErr w:type="spellEnd"/>
            <w:r w:rsidRPr="00A879BA">
              <w:rPr>
                <w:rFonts w:ascii="Calibri" w:hAnsi="Calibri"/>
                <w:sz w:val="18"/>
                <w:szCs w:val="18"/>
              </w:rPr>
              <w:t xml:space="preserve"> Mac </w:t>
            </w:r>
            <w:proofErr w:type="spellStart"/>
            <w:r w:rsidRPr="00A879BA">
              <w:rPr>
                <w:rFonts w:ascii="Calibri" w:hAnsi="Calibri"/>
                <w:sz w:val="18"/>
                <w:szCs w:val="18"/>
              </w:rPr>
              <w:t>Address</w:t>
            </w:r>
            <w:proofErr w:type="spellEnd"/>
            <w:r w:rsidRPr="00A879BA">
              <w:rPr>
                <w:rFonts w:ascii="Calibri" w:hAnsi="Calibri"/>
                <w:sz w:val="18"/>
                <w:szCs w:val="18"/>
              </w:rPr>
              <w:t xml:space="preserve">) pro </w:t>
            </w:r>
            <w:proofErr w:type="spellStart"/>
            <w:r w:rsidRPr="00A879BA">
              <w:rPr>
                <w:rFonts w:ascii="Calibri" w:hAnsi="Calibri"/>
                <w:sz w:val="18"/>
                <w:szCs w:val="18"/>
              </w:rPr>
              <w:t>jednoznacnou</w:t>
            </w:r>
            <w:proofErr w:type="spellEnd"/>
            <w:r w:rsidRPr="00A879BA">
              <w:rPr>
                <w:rFonts w:ascii="Calibri" w:hAnsi="Calibri"/>
                <w:sz w:val="18"/>
                <w:szCs w:val="18"/>
              </w:rPr>
              <w:t xml:space="preserve"> identifikaci notebooku v prostředí hromadné </w:t>
            </w:r>
            <w:proofErr w:type="gramStart"/>
            <w:r w:rsidRPr="00A879BA">
              <w:rPr>
                <w:rFonts w:ascii="Calibri" w:hAnsi="Calibri"/>
                <w:sz w:val="18"/>
                <w:szCs w:val="18"/>
              </w:rPr>
              <w:lastRenderedPageBreak/>
              <w:t>správy.Totéž</w:t>
            </w:r>
            <w:proofErr w:type="gramEnd"/>
            <w:r w:rsidRPr="00A879BA">
              <w:rPr>
                <w:rFonts w:ascii="Calibri" w:hAnsi="Calibri"/>
                <w:sz w:val="18"/>
                <w:szCs w:val="18"/>
              </w:rPr>
              <w:t xml:space="preserve"> je požadováno v případě připojení prostřednictvím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lastRenderedPageBreak/>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10/100/1000 Mbps, podpora WOL,  1x RJ 45.</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lastRenderedPageBreak/>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1x </w:t>
            </w:r>
            <w:proofErr w:type="spellStart"/>
            <w:r w:rsidRPr="00A879BA">
              <w:rPr>
                <w:rFonts w:ascii="Calibri" w:hAnsi="Calibri"/>
                <w:sz w:val="18"/>
                <w:szCs w:val="18"/>
              </w:rPr>
              <w:t>Bluetooth</w:t>
            </w:r>
            <w:proofErr w:type="spellEnd"/>
            <w:r w:rsidRPr="00A879BA">
              <w:rPr>
                <w:rFonts w:ascii="Calibri" w:hAnsi="Calibri"/>
                <w:sz w:val="18"/>
                <w:szCs w:val="18"/>
              </w:rPr>
              <w:t xml:space="preserve"> min. 5.0 LE, interní</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Wi-Fi 802.11 a/b/g/n/</w:t>
            </w:r>
            <w:proofErr w:type="spellStart"/>
            <w:r w:rsidRPr="00A879BA">
              <w:rPr>
                <w:rFonts w:ascii="Calibri" w:hAnsi="Calibri"/>
                <w:sz w:val="18"/>
                <w:szCs w:val="18"/>
              </w:rPr>
              <w:t>ac</w:t>
            </w:r>
            <w:proofErr w:type="spellEnd"/>
            <w:r w:rsidRPr="00A879BA">
              <w:rPr>
                <w:rFonts w:ascii="Calibri" w:hAnsi="Calibri"/>
                <w:sz w:val="18"/>
                <w:szCs w:val="18"/>
              </w:rPr>
              <w:t>/</w:t>
            </w:r>
            <w:proofErr w:type="spellStart"/>
            <w:r w:rsidRPr="00A879BA">
              <w:rPr>
                <w:rFonts w:ascii="Calibri" w:hAnsi="Calibri"/>
                <w:sz w:val="18"/>
                <w:szCs w:val="18"/>
              </w:rPr>
              <w:t>ax</w:t>
            </w:r>
            <w:proofErr w:type="spellEnd"/>
            <w:r w:rsidRPr="00A879BA">
              <w:rPr>
                <w:rFonts w:ascii="Calibri" w:hAnsi="Calibri"/>
                <w:sz w:val="18"/>
                <w:szCs w:val="18"/>
              </w:rPr>
              <w:t xml:space="preserve"> (</w:t>
            </w:r>
            <w:proofErr w:type="spellStart"/>
            <w:r w:rsidRPr="00A879BA">
              <w:rPr>
                <w:rFonts w:ascii="Calibri" w:hAnsi="Calibri"/>
                <w:sz w:val="18"/>
                <w:szCs w:val="18"/>
              </w:rPr>
              <w:t>WiFi</w:t>
            </w:r>
            <w:proofErr w:type="spellEnd"/>
            <w:r w:rsidRPr="00A879BA">
              <w:rPr>
                <w:rFonts w:ascii="Calibri" w:hAnsi="Calibri"/>
                <w:sz w:val="18"/>
                <w:szCs w:val="18"/>
              </w:rPr>
              <w:t xml:space="preserve"> 6), interní</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000000" w:fill="FFFFFF"/>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interní čtečka čipových karet, kompatibilní s ISO IEC 7810 ID-1 a ISO IEC 7816 (standardy pro čipové karty).</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kombinovaný konektor audio (mikrofon/sluchátka), nebo 1x vstup pro mikrofon + 1x stereo výstup pro sluchátka</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kombinovaný konektor audio (mikrofon/sluchátka)</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1x </w:t>
            </w:r>
            <w:proofErr w:type="spellStart"/>
            <w:r w:rsidRPr="00A879BA">
              <w:rPr>
                <w:rFonts w:ascii="Calibri" w:hAnsi="Calibri"/>
                <w:sz w:val="18"/>
                <w:szCs w:val="18"/>
              </w:rPr>
              <w:t>dokovací</w:t>
            </w:r>
            <w:proofErr w:type="spellEnd"/>
            <w:r w:rsidRPr="00A879BA">
              <w:rPr>
                <w:rFonts w:ascii="Calibri" w:hAnsi="Calibri"/>
                <w:sz w:val="18"/>
                <w:szCs w:val="18"/>
              </w:rPr>
              <w:t xml:space="preserve"> konektor (kompatibilní s dodanou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stanicí) - počítá se do splnění minimálního počtu u jiných portů notebooku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Vstupní zařízení: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Integrovaná klávesnice - znaková sada CZ/US, podsvícená nebo osvětlená, voděodolná</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Integrované (</w:t>
            </w:r>
            <w:proofErr w:type="spellStart"/>
            <w:r w:rsidRPr="00A879BA">
              <w:rPr>
                <w:rFonts w:ascii="Calibri" w:hAnsi="Calibri"/>
                <w:sz w:val="18"/>
                <w:szCs w:val="18"/>
              </w:rPr>
              <w:t>TouchPad</w:t>
            </w:r>
            <w:proofErr w:type="spellEnd"/>
            <w:r w:rsidRPr="00A879BA">
              <w:rPr>
                <w:rFonts w:ascii="Calibri" w:hAnsi="Calibri"/>
                <w:sz w:val="18"/>
                <w:szCs w:val="18"/>
              </w:rPr>
              <w:t>)</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Integrovaná webkamera s min. rozlišením HD</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Baterie:</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Doba provozu notebooku min. 8 hodin při běžné práci</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Doba provozu více jak 8 hodin</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Operační systém:</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Licence Windows 11 Professional CZ OEM (64-bit) s možností </w:t>
            </w:r>
            <w:proofErr w:type="spellStart"/>
            <w:r w:rsidRPr="00A879BA">
              <w:rPr>
                <w:rFonts w:ascii="Calibri" w:hAnsi="Calibri"/>
                <w:sz w:val="18"/>
                <w:szCs w:val="18"/>
              </w:rPr>
              <w:t>downgrade</w:t>
            </w:r>
            <w:proofErr w:type="spellEnd"/>
            <w:r w:rsidRPr="00A879BA">
              <w:rPr>
                <w:rFonts w:ascii="Calibri" w:hAnsi="Calibri"/>
                <w:sz w:val="18"/>
                <w:szCs w:val="18"/>
              </w:rPr>
              <w:t xml:space="preserve"> na Windows 10</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Hardwarová podpora pro Windows 11 (64-bit), OS </w:t>
            </w:r>
            <w:proofErr w:type="spellStart"/>
            <w:r w:rsidRPr="00A879BA">
              <w:rPr>
                <w:rFonts w:ascii="Calibri" w:hAnsi="Calibri"/>
                <w:sz w:val="18"/>
                <w:szCs w:val="18"/>
              </w:rPr>
              <w:t>předinstalován</w:t>
            </w:r>
            <w:proofErr w:type="spellEnd"/>
            <w:r w:rsidRPr="00A879BA">
              <w:rPr>
                <w:rFonts w:ascii="Calibri" w:hAnsi="Calibri"/>
                <w:sz w:val="18"/>
                <w:szCs w:val="18"/>
              </w:rPr>
              <w:t xml:space="preserve"> na dodávaném zařízení</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BIOS:</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Zabezpečení heslem proti neoprávněnému přístupu na dvou úrovních administrátor/uživatel</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Možnost zabezpečení spuštění („</w:t>
            </w:r>
            <w:proofErr w:type="spellStart"/>
            <w:r w:rsidRPr="00A879BA">
              <w:rPr>
                <w:rFonts w:ascii="Calibri" w:hAnsi="Calibri"/>
                <w:sz w:val="18"/>
                <w:szCs w:val="18"/>
              </w:rPr>
              <w:t>bootování</w:t>
            </w:r>
            <w:proofErr w:type="spellEnd"/>
            <w:r w:rsidRPr="00A879BA">
              <w:rPr>
                <w:rFonts w:ascii="Calibri" w:hAnsi="Calibri"/>
                <w:sz w:val="18"/>
                <w:szCs w:val="18"/>
              </w:rPr>
              <w:t>“) heslem na dvou úrovních administrátor/uživatel</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Podpora zavedení operačního systému ze zařízení připojeného k USB portu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Možnost zablokování vybraných zařízení a sběrnic tak, aby s nimi nemohl pracovat operační systém (USB porty…)</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96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Vzdálená diagnostika HW nezávisle na stavu operačního programu, vzdálené vypnutí a zapnutí počítače. Podpora vzdálené konzole KVM na HW </w:t>
            </w:r>
            <w:r w:rsidRPr="00A879BA">
              <w:rPr>
                <w:rFonts w:ascii="Calibri" w:hAnsi="Calibri"/>
                <w:sz w:val="18"/>
                <w:szCs w:val="18"/>
              </w:rPr>
              <w:lastRenderedPageBreak/>
              <w:t>úrovni.</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lastRenderedPageBreak/>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96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lastRenderedPageBreak/>
              <w:t>Zabezpečení: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Zabezpečení Technologie TPM 2.0 </w:t>
            </w:r>
            <w:proofErr w:type="spellStart"/>
            <w:r w:rsidRPr="00A879BA">
              <w:rPr>
                <w:rFonts w:ascii="Calibri" w:hAnsi="Calibri"/>
                <w:sz w:val="18"/>
                <w:szCs w:val="18"/>
              </w:rPr>
              <w:t>chip</w:t>
            </w:r>
            <w:proofErr w:type="spellEnd"/>
            <w:r w:rsidRPr="00A879BA">
              <w:rPr>
                <w:rFonts w:ascii="Calibri" w:hAnsi="Calibri"/>
                <w:sz w:val="18"/>
                <w:szCs w:val="18"/>
              </w:rPr>
              <w:t xml:space="preserve"> s certifikací TCG, příprava pro mechanické zabezpečení lankem se zámkem či případné jiné obdobné řešení</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Ostatní: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Certifikát EPEAT min. Silver, </w:t>
            </w:r>
            <w:proofErr w:type="spellStart"/>
            <w:r w:rsidRPr="00A879BA">
              <w:rPr>
                <w:rFonts w:ascii="Calibri" w:hAnsi="Calibri"/>
                <w:sz w:val="18"/>
                <w:szCs w:val="18"/>
              </w:rPr>
              <w:t>EnergyStar</w:t>
            </w:r>
            <w:proofErr w:type="spellEnd"/>
            <w:r w:rsidRPr="00A879BA">
              <w:rPr>
                <w:rFonts w:ascii="Calibri" w:hAnsi="Calibri"/>
                <w:sz w:val="18"/>
                <w:szCs w:val="18"/>
              </w:rPr>
              <w:t xml:space="preserve"> min. 6.0</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Síťový adaptér odpovídající příkonu notebooku, napájecí kabel</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Záruční podmínky:</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60 měsíců u notebooku a příslušenství (vyjma baterie)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60 měsíců u notebooku a příslušenství (vyjma baterie)</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36 měsíců na baterii notebooku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36 měsíců na baterii notebooku</w:t>
            </w:r>
          </w:p>
        </w:tc>
      </w:tr>
      <w:tr w:rsidR="00A879BA" w:rsidRPr="00A879BA" w:rsidTr="00A879BA">
        <w:trPr>
          <w:trHeight w:val="12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Servis:</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Jediné kontaktní místo pro nahlášení poruch pro celou ČR</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Podpora poskytovaná prostřednictvím telefonní linky musí být dostupná v pracovní dny min. v době od 9:00 do 16:00 hod.</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Podpora prostřednictvím internetu musí umožňovat stahování ovladačů a manuálů z internetu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35"/>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8"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Při výměně HDD či celého zařízení zůstává původní HDD majetkem kupujícího (neodváží se)                                                                                                                                                                                  </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nil"/>
              <w:bottom w:val="nil"/>
              <w:right w:val="nil"/>
            </w:tcBorders>
            <w:shd w:val="clear" w:color="auto" w:fill="auto"/>
            <w:noWrap/>
            <w:vAlign w:val="center"/>
            <w:hideMark/>
          </w:tcPr>
          <w:p w:rsidR="00A879BA" w:rsidRPr="00A879BA" w:rsidRDefault="00A879BA" w:rsidP="00A879BA">
            <w:pPr>
              <w:rPr>
                <w:rFonts w:ascii="Calibri" w:hAnsi="Calibri"/>
                <w:sz w:val="18"/>
                <w:szCs w:val="18"/>
              </w:rPr>
            </w:pPr>
          </w:p>
        </w:tc>
        <w:tc>
          <w:tcPr>
            <w:tcW w:w="2491"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r>
      <w:tr w:rsidR="00A879BA" w:rsidRPr="00A879BA" w:rsidTr="00A879BA">
        <w:trPr>
          <w:trHeight w:val="315"/>
        </w:trPr>
        <w:tc>
          <w:tcPr>
            <w:tcW w:w="1980" w:type="dxa"/>
            <w:tcBorders>
              <w:top w:val="nil"/>
              <w:left w:val="nil"/>
              <w:bottom w:val="nil"/>
              <w:right w:val="nil"/>
            </w:tcBorders>
            <w:shd w:val="clear" w:color="auto" w:fill="auto"/>
            <w:noWrap/>
            <w:hideMark/>
          </w:tcPr>
          <w:p w:rsidR="00A879BA" w:rsidRPr="00A879BA" w:rsidRDefault="00A879BA" w:rsidP="00A879BA">
            <w:pPr>
              <w:rPr>
                <w:rFonts w:ascii="Calibri" w:hAnsi="Calibri"/>
                <w:sz w:val="18"/>
                <w:szCs w:val="18"/>
              </w:rPr>
            </w:pPr>
          </w:p>
        </w:tc>
        <w:tc>
          <w:tcPr>
            <w:tcW w:w="2491"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r>
      <w:tr w:rsidR="00A879BA" w:rsidRPr="00A879BA" w:rsidTr="00A879BA">
        <w:trPr>
          <w:trHeight w:val="300"/>
        </w:trPr>
        <w:tc>
          <w:tcPr>
            <w:tcW w:w="4471"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jc w:val="center"/>
              <w:rPr>
                <w:rFonts w:ascii="Calibri" w:hAnsi="Calibri"/>
                <w:b/>
                <w:bCs/>
                <w:sz w:val="18"/>
                <w:szCs w:val="18"/>
              </w:rPr>
            </w:pPr>
            <w:proofErr w:type="spellStart"/>
            <w:r w:rsidRPr="00A879BA">
              <w:rPr>
                <w:rFonts w:ascii="Calibri" w:hAnsi="Calibri"/>
                <w:b/>
                <w:bCs/>
                <w:sz w:val="18"/>
                <w:szCs w:val="18"/>
              </w:rPr>
              <w:t>Dokovací</w:t>
            </w:r>
            <w:proofErr w:type="spellEnd"/>
            <w:r w:rsidRPr="00A879BA">
              <w:rPr>
                <w:rFonts w:ascii="Calibri" w:hAnsi="Calibri"/>
                <w:b/>
                <w:bCs/>
                <w:sz w:val="18"/>
                <w:szCs w:val="18"/>
              </w:rPr>
              <w:t xml:space="preserve"> stanice II</w:t>
            </w:r>
          </w:p>
        </w:tc>
        <w:tc>
          <w:tcPr>
            <w:tcW w:w="561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A879BA" w:rsidRPr="00A879BA" w:rsidRDefault="00A879BA" w:rsidP="00A879BA">
            <w:pPr>
              <w:jc w:val="center"/>
              <w:rPr>
                <w:rFonts w:ascii="Calibri" w:hAnsi="Calibri"/>
                <w:b/>
                <w:bCs/>
                <w:sz w:val="18"/>
                <w:szCs w:val="18"/>
              </w:rPr>
            </w:pPr>
            <w:proofErr w:type="spellStart"/>
            <w:r w:rsidRPr="00A879BA">
              <w:rPr>
                <w:rFonts w:ascii="Calibri" w:hAnsi="Calibri"/>
                <w:b/>
                <w:bCs/>
                <w:sz w:val="18"/>
                <w:szCs w:val="18"/>
              </w:rPr>
              <w:t>Lenovo</w:t>
            </w:r>
            <w:proofErr w:type="spellEnd"/>
            <w:r w:rsidRPr="00A879BA">
              <w:rPr>
                <w:rFonts w:ascii="Calibri" w:hAnsi="Calibri"/>
                <w:b/>
                <w:bCs/>
                <w:sz w:val="18"/>
                <w:szCs w:val="18"/>
              </w:rPr>
              <w:t xml:space="preserve"> - USB C universal </w:t>
            </w:r>
            <w:proofErr w:type="spellStart"/>
            <w:r w:rsidRPr="00A879BA">
              <w:rPr>
                <w:rFonts w:ascii="Calibri" w:hAnsi="Calibri"/>
                <w:b/>
                <w:bCs/>
                <w:sz w:val="18"/>
                <w:szCs w:val="18"/>
              </w:rPr>
              <w:t>dock</w:t>
            </w:r>
            <w:proofErr w:type="spellEnd"/>
            <w:r w:rsidRPr="00A879BA">
              <w:rPr>
                <w:rFonts w:ascii="Calibri" w:hAnsi="Calibri"/>
                <w:b/>
                <w:bCs/>
                <w:sz w:val="18"/>
                <w:szCs w:val="18"/>
              </w:rPr>
              <w:t xml:space="preserve">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nil"/>
              <w:bottom w:val="single" w:sz="4" w:space="0" w:color="auto"/>
              <w:right w:val="nil"/>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nil"/>
              <w:bottom w:val="single" w:sz="4" w:space="0" w:color="auto"/>
              <w:right w:val="single" w:sz="8"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Rozhraní:</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2x digitální port (</w:t>
            </w:r>
            <w:proofErr w:type="spellStart"/>
            <w:r w:rsidRPr="00A879BA">
              <w:rPr>
                <w:rFonts w:ascii="Calibri" w:hAnsi="Calibri"/>
                <w:sz w:val="18"/>
                <w:szCs w:val="18"/>
              </w:rPr>
              <w:t>DisplayPort</w:t>
            </w:r>
            <w:proofErr w:type="spellEnd"/>
            <w:r w:rsidRPr="00A879BA">
              <w:rPr>
                <w:rFonts w:ascii="Calibri" w:hAnsi="Calibri"/>
                <w:sz w:val="18"/>
                <w:szCs w:val="18"/>
              </w:rPr>
              <w:t xml:space="preserve"> nebo HDMI), z toho alespoň 1 s podporou min. 4K@60Hz</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 2x Display Port, 2x 3840 x 2160 při 60 Hz</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Možnost souběžného připojení dvou Monitorů I</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 </w:t>
            </w:r>
          </w:p>
        </w:tc>
      </w:tr>
      <w:tr w:rsidR="00A879BA" w:rsidRPr="00A879BA" w:rsidTr="00A879BA">
        <w:trPr>
          <w:trHeight w:val="96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Min. 4x USB port (z toho minimálně 2x USB min. 3.0 port a min. 1x USB-C). Při připojení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 k notebooku a ke zdroji energie musí zůstat jeden port USB-C volný.</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USB porty: 3x USB3.1; 2x USB2.0; 1x USB -C + jeden USB - C </w:t>
            </w:r>
            <w:proofErr w:type="spellStart"/>
            <w:r w:rsidRPr="00A879BA">
              <w:rPr>
                <w:rFonts w:ascii="Calibri" w:hAnsi="Calibri"/>
                <w:sz w:val="18"/>
                <w:szCs w:val="18"/>
              </w:rPr>
              <w:t>dokovací</w:t>
            </w:r>
            <w:proofErr w:type="spellEnd"/>
            <w:r w:rsidRPr="00A879BA">
              <w:rPr>
                <w:rFonts w:ascii="Calibri" w:hAnsi="Calibri"/>
                <w:sz w:val="18"/>
                <w:szCs w:val="18"/>
              </w:rPr>
              <w:t xml:space="preserve"> konektor</w:t>
            </w:r>
          </w:p>
        </w:tc>
      </w:tr>
      <w:tr w:rsidR="00A879BA" w:rsidRPr="00A879BA" w:rsidTr="00A879BA">
        <w:trPr>
          <w:trHeight w:val="144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lastRenderedPageBreak/>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RJ-45, 10/100/1000 Mbps</w:t>
            </w:r>
            <w:r w:rsidRPr="00A879BA">
              <w:rPr>
                <w:rFonts w:ascii="Calibri" w:hAnsi="Calibri"/>
                <w:sz w:val="18"/>
                <w:szCs w:val="18"/>
              </w:rPr>
              <w:br/>
            </w:r>
            <w:proofErr w:type="spellStart"/>
            <w:r w:rsidRPr="00A879BA">
              <w:rPr>
                <w:rFonts w:ascii="Calibri" w:hAnsi="Calibri"/>
                <w:sz w:val="18"/>
                <w:szCs w:val="18"/>
              </w:rPr>
              <w:t>Dokovací</w:t>
            </w:r>
            <w:proofErr w:type="spellEnd"/>
            <w:r w:rsidRPr="00A879BA">
              <w:rPr>
                <w:rFonts w:ascii="Calibri" w:hAnsi="Calibri"/>
                <w:sz w:val="18"/>
                <w:szCs w:val="18"/>
              </w:rPr>
              <w:t xml:space="preserve"> stanice musí podporovat </w:t>
            </w:r>
            <w:proofErr w:type="spellStart"/>
            <w:r w:rsidRPr="00A879BA">
              <w:rPr>
                <w:rFonts w:ascii="Calibri" w:hAnsi="Calibri"/>
                <w:sz w:val="18"/>
                <w:szCs w:val="18"/>
              </w:rPr>
              <w:t>WoL</w:t>
            </w:r>
            <w:proofErr w:type="spellEnd"/>
            <w:r w:rsidRPr="00A879BA">
              <w:rPr>
                <w:rFonts w:ascii="Calibri" w:hAnsi="Calibri"/>
                <w:sz w:val="18"/>
                <w:szCs w:val="18"/>
              </w:rPr>
              <w:t xml:space="preserve">, PXE a možnost převzetí MAC adresy notebooku pro jeho jednoznačnou identifikaci v rámci systému hromadné správy (MAC </w:t>
            </w:r>
            <w:proofErr w:type="spellStart"/>
            <w:r w:rsidRPr="00A879BA">
              <w:rPr>
                <w:rFonts w:ascii="Calibri" w:hAnsi="Calibri"/>
                <w:sz w:val="18"/>
                <w:szCs w:val="18"/>
              </w:rPr>
              <w:t>Address</w:t>
            </w:r>
            <w:proofErr w:type="spellEnd"/>
            <w:r w:rsidRPr="00A879BA">
              <w:rPr>
                <w:rFonts w:ascii="Calibri" w:hAnsi="Calibri"/>
                <w:sz w:val="18"/>
                <w:szCs w:val="18"/>
              </w:rPr>
              <w:t xml:space="preserve"> </w:t>
            </w:r>
            <w:proofErr w:type="spellStart"/>
            <w:r w:rsidRPr="00A879BA">
              <w:rPr>
                <w:rFonts w:ascii="Calibri" w:hAnsi="Calibri"/>
                <w:sz w:val="18"/>
                <w:szCs w:val="18"/>
              </w:rPr>
              <w:t>Pass-Through</w:t>
            </w:r>
            <w:proofErr w:type="spellEnd"/>
            <w:r w:rsidRPr="00A879BA">
              <w:rPr>
                <w:rFonts w:ascii="Calibri" w:hAnsi="Calibri"/>
                <w:sz w:val="18"/>
                <w:szCs w:val="18"/>
              </w:rPr>
              <w:t xml:space="preserve"> / Host </w:t>
            </w:r>
            <w:proofErr w:type="spellStart"/>
            <w:r w:rsidRPr="00A879BA">
              <w:rPr>
                <w:rFonts w:ascii="Calibri" w:hAnsi="Calibri"/>
                <w:sz w:val="18"/>
                <w:szCs w:val="18"/>
              </w:rPr>
              <w:t>Based</w:t>
            </w:r>
            <w:proofErr w:type="spellEnd"/>
            <w:r w:rsidRPr="00A879BA">
              <w:rPr>
                <w:rFonts w:ascii="Calibri" w:hAnsi="Calibri"/>
                <w:sz w:val="18"/>
                <w:szCs w:val="18"/>
              </w:rPr>
              <w:t xml:space="preserve"> MAC </w:t>
            </w:r>
            <w:proofErr w:type="spellStart"/>
            <w:r w:rsidRPr="00A879BA">
              <w:rPr>
                <w:rFonts w:ascii="Calibri" w:hAnsi="Calibri"/>
                <w:sz w:val="18"/>
                <w:szCs w:val="18"/>
              </w:rPr>
              <w:t>Address</w:t>
            </w:r>
            <w:proofErr w:type="spellEnd"/>
            <w:r w:rsidRPr="00A879BA">
              <w:rPr>
                <w:rFonts w:ascii="Calibri" w:hAnsi="Calibri"/>
                <w:sz w:val="18"/>
                <w:szCs w:val="18"/>
              </w:rPr>
              <w:t>)</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1x konektor pro připojení sluchátek nebo reproduktorů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96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1x </w:t>
            </w:r>
            <w:proofErr w:type="spellStart"/>
            <w:r w:rsidRPr="00A879BA">
              <w:rPr>
                <w:rFonts w:ascii="Calibri" w:hAnsi="Calibri"/>
                <w:sz w:val="18"/>
                <w:szCs w:val="18"/>
              </w:rPr>
              <w:t>dokovací</w:t>
            </w:r>
            <w:proofErr w:type="spellEnd"/>
            <w:r w:rsidRPr="00A879BA">
              <w:rPr>
                <w:rFonts w:ascii="Calibri" w:hAnsi="Calibri"/>
                <w:sz w:val="18"/>
                <w:szCs w:val="18"/>
              </w:rPr>
              <w:t xml:space="preserve"> konektor (kompatibilní s dodaným notebookem) - nepočítá se do splnění minimálního počtu jiných portů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1x napájecí konektor, nepočítá se do splnění minimálního počtu jiných portů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Funkce napájení a nabíjení notebooku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Síťový adaptér odpovídající maximálnímu možnému příkonu notebooku a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proofErr w:type="spellStart"/>
            <w:r w:rsidRPr="00A879BA">
              <w:rPr>
                <w:rFonts w:ascii="Calibri" w:hAnsi="Calibri"/>
                <w:sz w:val="18"/>
                <w:szCs w:val="18"/>
              </w:rPr>
              <w:t>Dokovací</w:t>
            </w:r>
            <w:proofErr w:type="spellEnd"/>
            <w:r w:rsidRPr="00A879BA">
              <w:rPr>
                <w:rFonts w:ascii="Calibri" w:hAnsi="Calibri"/>
                <w:sz w:val="18"/>
                <w:szCs w:val="18"/>
              </w:rPr>
              <w:t xml:space="preserve"> stanice včetně síťového adaptéru musí být od stejného výrobce jako nabízený notebook</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Záruční podmínky:</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60 měsíců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12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Servis:</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2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Jediné kontaktní místo pro nahlášení poruch pro celou ČR, servisní střediska pokrývající celé území ČR</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35"/>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8"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Podpora poskytovaná prostřednictvím telefonní linky musí být dostupná v pracovní dny min. v době od 9:00 do 16:00 hod.</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4" w:space="0" w:color="auto"/>
              <w:bottom w:val="nil"/>
              <w:right w:val="nil"/>
            </w:tcBorders>
            <w:shd w:val="clear" w:color="auto" w:fill="auto"/>
            <w:noWrap/>
            <w:vAlign w:val="bottom"/>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r>
      <w:tr w:rsidR="00A879BA" w:rsidRPr="00A879BA" w:rsidTr="00A879BA">
        <w:trPr>
          <w:trHeight w:val="315"/>
        </w:trPr>
        <w:tc>
          <w:tcPr>
            <w:tcW w:w="1980" w:type="dxa"/>
            <w:tcBorders>
              <w:top w:val="nil"/>
              <w:left w:val="single" w:sz="8" w:space="0" w:color="auto"/>
              <w:bottom w:val="nil"/>
              <w:right w:val="nil"/>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vAlign w:val="center"/>
            <w:hideMark/>
          </w:tcPr>
          <w:p w:rsidR="00A879BA" w:rsidRPr="00A879BA" w:rsidRDefault="00A879BA" w:rsidP="00A879BA">
            <w:pPr>
              <w:rPr>
                <w:rFonts w:ascii="Calibri" w:hAnsi="Calibri"/>
                <w:sz w:val="18"/>
                <w:szCs w:val="18"/>
              </w:rPr>
            </w:pPr>
          </w:p>
        </w:tc>
      </w:tr>
      <w:tr w:rsidR="00A879BA" w:rsidRPr="00A879BA" w:rsidTr="00A879BA">
        <w:trPr>
          <w:trHeight w:val="300"/>
        </w:trPr>
        <w:tc>
          <w:tcPr>
            <w:tcW w:w="4471"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Příslušenství II</w:t>
            </w:r>
          </w:p>
        </w:tc>
        <w:tc>
          <w:tcPr>
            <w:tcW w:w="561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nil"/>
              <w:bottom w:val="single" w:sz="4" w:space="0" w:color="auto"/>
              <w:right w:val="nil"/>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nil"/>
              <w:bottom w:val="single" w:sz="4" w:space="0" w:color="auto"/>
              <w:right w:val="single" w:sz="8"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Příslušenství:</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 xml:space="preserve">Klávesnice s 12 funkčními tlačítky, rozložení US/CZ, připojení USB </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Optická myš, minimálně 2 tlačítka s kolečkem, připojení USB</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Záruční podmínky:</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60 měsíců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60 měsíců</w:t>
            </w:r>
          </w:p>
        </w:tc>
      </w:tr>
      <w:tr w:rsidR="00A879BA" w:rsidRPr="00A879BA" w:rsidTr="00A879BA">
        <w:trPr>
          <w:trHeight w:val="1215"/>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lastRenderedPageBreak/>
              <w:t>Servis:</w:t>
            </w:r>
          </w:p>
        </w:tc>
        <w:tc>
          <w:tcPr>
            <w:tcW w:w="2491" w:type="dxa"/>
            <w:tcBorders>
              <w:top w:val="nil"/>
              <w:left w:val="nil"/>
              <w:bottom w:val="single" w:sz="8"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nil"/>
              <w:right w:val="nil"/>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3963" w:type="dxa"/>
            <w:tcBorders>
              <w:top w:val="nil"/>
              <w:left w:val="nil"/>
              <w:bottom w:val="nil"/>
              <w:right w:val="single" w:sz="4" w:space="0" w:color="auto"/>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675"/>
        </w:trPr>
        <w:tc>
          <w:tcPr>
            <w:tcW w:w="4471" w:type="dxa"/>
            <w:gridSpan w:val="2"/>
            <w:tcBorders>
              <w:top w:val="single" w:sz="8" w:space="0" w:color="auto"/>
              <w:left w:val="single" w:sz="8" w:space="0" w:color="auto"/>
              <w:bottom w:val="single" w:sz="4" w:space="0" w:color="auto"/>
              <w:right w:val="nil"/>
            </w:tcBorders>
            <w:shd w:val="clear" w:color="000000" w:fill="99CCFF"/>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Monitor I</w:t>
            </w:r>
          </w:p>
        </w:tc>
        <w:tc>
          <w:tcPr>
            <w:tcW w:w="561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PHILIPS - 243S7EHMB/00</w:t>
            </w:r>
          </w:p>
        </w:tc>
      </w:tr>
      <w:tr w:rsidR="00A879BA" w:rsidRPr="00A879BA" w:rsidTr="00A879BA">
        <w:trPr>
          <w:trHeight w:val="360"/>
        </w:trPr>
        <w:tc>
          <w:tcPr>
            <w:tcW w:w="1980" w:type="dxa"/>
            <w:tcBorders>
              <w:top w:val="nil"/>
              <w:left w:val="single" w:sz="8" w:space="0" w:color="auto"/>
              <w:bottom w:val="nil"/>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nil"/>
              <w:bottom w:val="nil"/>
              <w:right w:val="nil"/>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single" w:sz="8" w:space="0" w:color="auto"/>
              <w:bottom w:val="nil"/>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nil"/>
              <w:bottom w:val="nil"/>
              <w:right w:val="single" w:sz="8"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300"/>
        </w:trPr>
        <w:tc>
          <w:tcPr>
            <w:tcW w:w="1980" w:type="dxa"/>
            <w:tcBorders>
              <w:top w:val="single" w:sz="4" w:space="0" w:color="auto"/>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Velikost:</w:t>
            </w:r>
          </w:p>
        </w:tc>
        <w:tc>
          <w:tcPr>
            <w:tcW w:w="2491" w:type="dxa"/>
            <w:tcBorders>
              <w:top w:val="single" w:sz="4" w:space="0" w:color="auto"/>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Přesná obchodní velikost 24"</w:t>
            </w:r>
          </w:p>
        </w:tc>
        <w:tc>
          <w:tcPr>
            <w:tcW w:w="1647"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single" w:sz="4" w:space="0" w:color="auto"/>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Minimální úhlopříčka zobrazovací plochy 23,7"</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23,8</w:t>
            </w:r>
          </w:p>
        </w:tc>
      </w:tr>
      <w:tr w:rsidR="00A879BA" w:rsidRPr="00A879BA" w:rsidTr="00A879BA">
        <w:trPr>
          <w:trHeight w:val="825"/>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Vlastnosti:</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Matný povrch zobrazovací plochy, výškově stavitelný, vertikální a horizontální polohovatelnost, funkce pivot</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Rozlišení:</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Přesně 1920 x 1080 bodů, nebo přesně 1920 x 1200 bodů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1920x1080</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Typ:</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LED posvícení, pozorovací úhel minimálně 178° vodorovně i svisle</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Jas:</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minimálně 250 cd/m</w:t>
            </w:r>
            <w:r w:rsidRPr="00A879BA">
              <w:rPr>
                <w:rFonts w:ascii="Calibri" w:hAnsi="Calibri"/>
                <w:sz w:val="18"/>
                <w:szCs w:val="18"/>
                <w:vertAlign w:val="superscript"/>
              </w:rPr>
              <w:t>2</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Doba odezvy:</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 xml:space="preserve">max. 10 </w:t>
            </w:r>
            <w:proofErr w:type="spellStart"/>
            <w:r w:rsidRPr="00A879BA">
              <w:rPr>
                <w:rFonts w:ascii="Calibri" w:hAnsi="Calibri"/>
                <w:sz w:val="18"/>
                <w:szCs w:val="18"/>
              </w:rPr>
              <w:t>ms</w:t>
            </w:r>
            <w:proofErr w:type="spellEnd"/>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Kontrast:</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Statický kontrast (typický) minimálně 1000:1</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Vstupy:</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minimálně 1x VGA</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minimálně 1x digitální vstup HDMI</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600"/>
        </w:trPr>
        <w:tc>
          <w:tcPr>
            <w:tcW w:w="1980" w:type="dxa"/>
            <w:tcBorders>
              <w:top w:val="nil"/>
              <w:left w:val="single" w:sz="8" w:space="0" w:color="auto"/>
              <w:bottom w:val="single" w:sz="4" w:space="0" w:color="auto"/>
              <w:right w:val="single" w:sz="4" w:space="0" w:color="auto"/>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Přenos digitálního video a audio signálu:</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 xml:space="preserve">Součástí dodávky je propojovací kabel pro přenos signálu mezi nabízenou sestavou (základní jednotka a monitor). Je-li předmětem dodávky notebook i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 pak je součástí dodávky i kabel umožňující propojení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 s monitorem. Požadavky lze splnit jedním kabelem (bez redukce). Je-li předmětem dodávky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 a dvojnásobné či větší množství monitorů - pak musí být možné souběžné připojení dvou monitorů do </w:t>
            </w:r>
            <w:proofErr w:type="spellStart"/>
            <w:r w:rsidRPr="00A879BA">
              <w:rPr>
                <w:rFonts w:ascii="Calibri" w:hAnsi="Calibri"/>
                <w:sz w:val="18"/>
                <w:szCs w:val="18"/>
              </w:rPr>
              <w:t>dokovací</w:t>
            </w:r>
            <w:proofErr w:type="spellEnd"/>
            <w:r w:rsidRPr="00A879BA">
              <w:rPr>
                <w:rFonts w:ascii="Calibri" w:hAnsi="Calibri"/>
                <w:sz w:val="18"/>
                <w:szCs w:val="18"/>
              </w:rPr>
              <w:t xml:space="preserve"> stanice a nezbytné propojovací kabely jsou součástí dodávky. </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900"/>
        </w:trPr>
        <w:tc>
          <w:tcPr>
            <w:tcW w:w="1980" w:type="dxa"/>
            <w:tcBorders>
              <w:top w:val="nil"/>
              <w:left w:val="single" w:sz="8" w:space="0" w:color="auto"/>
              <w:bottom w:val="single" w:sz="4" w:space="0" w:color="auto"/>
              <w:right w:val="single" w:sz="4" w:space="0" w:color="auto"/>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 xml:space="preserve">Monitor a další nabízené výrobky se nesmí od sebe navzájem výrazně odlišovat barevným provedením </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Příslušenství:</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Napájecí kabel</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Záruční podmínky:</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60 měsíců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60 měsíců</w:t>
            </w:r>
          </w:p>
        </w:tc>
      </w:tr>
      <w:tr w:rsidR="00A879BA" w:rsidRPr="00A879BA" w:rsidTr="00A879BA">
        <w:trPr>
          <w:trHeight w:val="120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Servis:</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V místě instalace zařízení u zákazníka s ukončením opravy následující pracovní den od jejího nahlášení. Servis prováděný výrobcem či jím garantovaný prostřednictvím </w:t>
            </w:r>
            <w:r w:rsidRPr="00A879BA">
              <w:rPr>
                <w:rFonts w:ascii="Calibri" w:hAnsi="Calibri"/>
                <w:sz w:val="18"/>
                <w:szCs w:val="18"/>
              </w:rPr>
              <w:lastRenderedPageBreak/>
              <w:t>autorizovaného subjektu</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lastRenderedPageBreak/>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480"/>
        </w:trPr>
        <w:tc>
          <w:tcPr>
            <w:tcW w:w="1980" w:type="dxa"/>
            <w:tcBorders>
              <w:top w:val="nil"/>
              <w:left w:val="single" w:sz="8" w:space="0" w:color="auto"/>
              <w:bottom w:val="single" w:sz="4"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lastRenderedPageBreak/>
              <w:t> </w:t>
            </w:r>
          </w:p>
        </w:tc>
        <w:tc>
          <w:tcPr>
            <w:tcW w:w="2491" w:type="dxa"/>
            <w:tcBorders>
              <w:top w:val="nil"/>
              <w:left w:val="nil"/>
              <w:bottom w:val="single" w:sz="4"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Jediné kontaktní místo pro nahlášení poruch pro celou ČR</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735"/>
        </w:trPr>
        <w:tc>
          <w:tcPr>
            <w:tcW w:w="1980" w:type="dxa"/>
            <w:tcBorders>
              <w:top w:val="nil"/>
              <w:left w:val="single" w:sz="8" w:space="0" w:color="auto"/>
              <w:bottom w:val="single" w:sz="8" w:space="0" w:color="auto"/>
              <w:right w:val="single" w:sz="4" w:space="0" w:color="auto"/>
            </w:tcBorders>
            <w:shd w:val="clear" w:color="auto" w:fill="auto"/>
            <w:noWrap/>
            <w:hideMark/>
          </w:tcPr>
          <w:p w:rsidR="00A879BA" w:rsidRPr="00A879BA" w:rsidRDefault="00A879BA" w:rsidP="00A879BA">
            <w:pPr>
              <w:rPr>
                <w:rFonts w:ascii="Calibri" w:hAnsi="Calibri"/>
                <w:sz w:val="18"/>
                <w:szCs w:val="18"/>
              </w:rPr>
            </w:pPr>
            <w:r w:rsidRPr="00A879BA">
              <w:rPr>
                <w:rFonts w:ascii="Calibri" w:hAnsi="Calibri"/>
                <w:sz w:val="18"/>
                <w:szCs w:val="18"/>
              </w:rPr>
              <w:t> </w:t>
            </w:r>
          </w:p>
        </w:tc>
        <w:tc>
          <w:tcPr>
            <w:tcW w:w="2491" w:type="dxa"/>
            <w:tcBorders>
              <w:top w:val="nil"/>
              <w:left w:val="nil"/>
              <w:bottom w:val="single" w:sz="8" w:space="0" w:color="auto"/>
              <w:right w:val="nil"/>
            </w:tcBorders>
            <w:shd w:val="clear" w:color="auto" w:fill="auto"/>
            <w:hideMark/>
          </w:tcPr>
          <w:p w:rsidR="00A879BA" w:rsidRPr="00A879BA" w:rsidRDefault="00A879BA" w:rsidP="00A879BA">
            <w:pPr>
              <w:rPr>
                <w:rFonts w:ascii="Calibri" w:hAnsi="Calibri"/>
                <w:sz w:val="18"/>
                <w:szCs w:val="18"/>
              </w:rPr>
            </w:pPr>
            <w:r w:rsidRPr="00A879BA">
              <w:rPr>
                <w:rFonts w:ascii="Calibri" w:hAnsi="Calibri"/>
                <w:sz w:val="18"/>
                <w:szCs w:val="18"/>
              </w:rPr>
              <w:t>Podpora poskytovaná prostřednictvím telefonní linky musí být dostupná v pracovní dny minimálně v době od 9:00 do 16:00 hod.</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15"/>
        </w:trPr>
        <w:tc>
          <w:tcPr>
            <w:tcW w:w="1980" w:type="dxa"/>
            <w:tcBorders>
              <w:top w:val="nil"/>
              <w:left w:val="nil"/>
              <w:bottom w:val="nil"/>
              <w:right w:val="nil"/>
            </w:tcBorders>
            <w:shd w:val="clear" w:color="auto" w:fill="auto"/>
            <w:noWrap/>
            <w:hideMark/>
          </w:tcPr>
          <w:p w:rsidR="00A879BA" w:rsidRPr="00A879BA" w:rsidRDefault="00A879BA" w:rsidP="00A879BA">
            <w:pPr>
              <w:rPr>
                <w:rFonts w:ascii="Calibri" w:hAnsi="Calibri"/>
                <w:sz w:val="18"/>
                <w:szCs w:val="18"/>
              </w:rPr>
            </w:pPr>
          </w:p>
        </w:tc>
        <w:tc>
          <w:tcPr>
            <w:tcW w:w="2491"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r>
      <w:tr w:rsidR="00A879BA" w:rsidRPr="00A879BA" w:rsidTr="00A879BA">
        <w:trPr>
          <w:trHeight w:val="300"/>
        </w:trPr>
        <w:tc>
          <w:tcPr>
            <w:tcW w:w="4471"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Brašna II</w:t>
            </w:r>
          </w:p>
        </w:tc>
        <w:tc>
          <w:tcPr>
            <w:tcW w:w="561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A879BA" w:rsidRPr="00A879BA" w:rsidRDefault="00A879BA" w:rsidP="00A879BA">
            <w:pPr>
              <w:jc w:val="center"/>
              <w:rPr>
                <w:rFonts w:ascii="Calibri" w:hAnsi="Calibri"/>
                <w:b/>
                <w:bCs/>
                <w:sz w:val="18"/>
                <w:szCs w:val="18"/>
              </w:rPr>
            </w:pPr>
            <w:proofErr w:type="spellStart"/>
            <w:r w:rsidRPr="00A879BA">
              <w:rPr>
                <w:rFonts w:ascii="Calibri" w:hAnsi="Calibri"/>
                <w:b/>
                <w:bCs/>
                <w:sz w:val="18"/>
                <w:szCs w:val="18"/>
              </w:rPr>
              <w:t>Natec</w:t>
            </w:r>
            <w:proofErr w:type="spellEnd"/>
            <w:r w:rsidRPr="00A879BA">
              <w:rPr>
                <w:rFonts w:ascii="Calibri" w:hAnsi="Calibri"/>
                <w:b/>
                <w:bCs/>
                <w:sz w:val="18"/>
                <w:szCs w:val="18"/>
              </w:rPr>
              <w:t xml:space="preserve"> impala 14´´</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nil"/>
              <w:bottom w:val="single" w:sz="4" w:space="0" w:color="auto"/>
              <w:right w:val="nil"/>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nil"/>
              <w:bottom w:val="single" w:sz="4" w:space="0" w:color="auto"/>
              <w:right w:val="single" w:sz="8" w:space="0" w:color="auto"/>
            </w:tcBorders>
            <w:shd w:val="clear" w:color="000000" w:fill="99CCFF"/>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1200"/>
        </w:trPr>
        <w:tc>
          <w:tcPr>
            <w:tcW w:w="1980" w:type="dxa"/>
            <w:tcBorders>
              <w:top w:val="nil"/>
              <w:left w:val="single" w:sz="8" w:space="0" w:color="auto"/>
              <w:bottom w:val="single" w:sz="4" w:space="0" w:color="auto"/>
              <w:right w:val="single" w:sz="4" w:space="0" w:color="auto"/>
            </w:tcBorders>
            <w:shd w:val="clear" w:color="000000" w:fill="FFFFFF"/>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Brašna:</w:t>
            </w:r>
          </w:p>
        </w:tc>
        <w:tc>
          <w:tcPr>
            <w:tcW w:w="2491" w:type="dxa"/>
            <w:tcBorders>
              <w:top w:val="nil"/>
              <w:left w:val="nil"/>
              <w:bottom w:val="single" w:sz="4"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Brašna s uchem a s popruhem napevno přišitým nebo opatřeným kovovými sponami, velikost primárně uváděná výrobcem (tolerance max. 0,5 palce) odpovídající velikosti nabízeného Notebooku II</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4"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r w:rsidR="00A879BA" w:rsidRPr="00A879BA" w:rsidTr="00A879BA">
        <w:trPr>
          <w:trHeight w:val="315"/>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Záruční podmínky:</w:t>
            </w:r>
          </w:p>
        </w:tc>
        <w:tc>
          <w:tcPr>
            <w:tcW w:w="2491" w:type="dxa"/>
            <w:tcBorders>
              <w:top w:val="nil"/>
              <w:left w:val="nil"/>
              <w:bottom w:val="single" w:sz="8" w:space="0" w:color="auto"/>
              <w:right w:val="nil"/>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Min. 24 měsíců</w:t>
            </w:r>
          </w:p>
        </w:tc>
        <w:tc>
          <w:tcPr>
            <w:tcW w:w="1647" w:type="dxa"/>
            <w:tcBorders>
              <w:top w:val="nil"/>
              <w:left w:val="single" w:sz="8" w:space="0" w:color="auto"/>
              <w:bottom w:val="single" w:sz="4"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FFFF0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 24 měsíců</w:t>
            </w:r>
          </w:p>
        </w:tc>
      </w:tr>
      <w:tr w:rsidR="00A879BA" w:rsidRPr="00A879BA" w:rsidTr="00A879BA">
        <w:trPr>
          <w:trHeight w:val="315"/>
        </w:trPr>
        <w:tc>
          <w:tcPr>
            <w:tcW w:w="1980" w:type="dxa"/>
            <w:tcBorders>
              <w:top w:val="nil"/>
              <w:left w:val="nil"/>
              <w:bottom w:val="nil"/>
              <w:right w:val="nil"/>
            </w:tcBorders>
            <w:shd w:val="clear" w:color="auto" w:fill="auto"/>
            <w:noWrap/>
            <w:hideMark/>
          </w:tcPr>
          <w:p w:rsidR="00A879BA" w:rsidRPr="00A879BA" w:rsidRDefault="00A879BA" w:rsidP="00A879BA">
            <w:pPr>
              <w:rPr>
                <w:rFonts w:ascii="Calibri" w:hAnsi="Calibri"/>
                <w:sz w:val="18"/>
                <w:szCs w:val="18"/>
              </w:rPr>
            </w:pPr>
          </w:p>
        </w:tc>
        <w:tc>
          <w:tcPr>
            <w:tcW w:w="2491" w:type="dxa"/>
            <w:tcBorders>
              <w:top w:val="nil"/>
              <w:left w:val="nil"/>
              <w:bottom w:val="nil"/>
              <w:right w:val="nil"/>
            </w:tcBorders>
            <w:shd w:val="clear" w:color="auto" w:fill="auto"/>
            <w:hideMark/>
          </w:tcPr>
          <w:p w:rsidR="00A879BA" w:rsidRPr="00A879BA" w:rsidRDefault="00A879BA" w:rsidP="00A879BA">
            <w:pPr>
              <w:rPr>
                <w:rFonts w:ascii="Calibri" w:hAnsi="Calibri"/>
                <w:sz w:val="18"/>
                <w:szCs w:val="18"/>
              </w:rPr>
            </w:pPr>
          </w:p>
        </w:tc>
        <w:tc>
          <w:tcPr>
            <w:tcW w:w="1647"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c>
          <w:tcPr>
            <w:tcW w:w="3963" w:type="dxa"/>
            <w:tcBorders>
              <w:top w:val="nil"/>
              <w:left w:val="nil"/>
              <w:bottom w:val="nil"/>
              <w:right w:val="nil"/>
            </w:tcBorders>
            <w:shd w:val="clear" w:color="auto" w:fill="auto"/>
            <w:noWrap/>
            <w:vAlign w:val="bottom"/>
            <w:hideMark/>
          </w:tcPr>
          <w:p w:rsidR="00A879BA" w:rsidRPr="00A879BA" w:rsidRDefault="00A879BA" w:rsidP="00A879BA">
            <w:pPr>
              <w:rPr>
                <w:rFonts w:ascii="Calibri" w:hAnsi="Calibri"/>
                <w:sz w:val="18"/>
                <w:szCs w:val="18"/>
              </w:rPr>
            </w:pPr>
          </w:p>
        </w:tc>
      </w:tr>
      <w:tr w:rsidR="00A879BA" w:rsidRPr="00A879BA" w:rsidTr="00A879BA">
        <w:trPr>
          <w:trHeight w:val="300"/>
        </w:trPr>
        <w:tc>
          <w:tcPr>
            <w:tcW w:w="4471"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rsidR="00A879BA" w:rsidRPr="00A879BA" w:rsidRDefault="00A879BA" w:rsidP="00A879BA">
            <w:pPr>
              <w:jc w:val="center"/>
              <w:rPr>
                <w:rFonts w:ascii="Calibri" w:hAnsi="Calibri"/>
                <w:b/>
                <w:bCs/>
                <w:sz w:val="18"/>
                <w:szCs w:val="18"/>
              </w:rPr>
            </w:pPr>
            <w:r w:rsidRPr="00A879BA">
              <w:rPr>
                <w:rFonts w:ascii="Calibri" w:hAnsi="Calibri"/>
                <w:b/>
                <w:bCs/>
                <w:sz w:val="18"/>
                <w:szCs w:val="18"/>
              </w:rPr>
              <w:t>Společné požadavky</w:t>
            </w:r>
          </w:p>
        </w:tc>
        <w:tc>
          <w:tcPr>
            <w:tcW w:w="5610" w:type="dxa"/>
            <w:gridSpan w:val="2"/>
            <w:tcBorders>
              <w:top w:val="single" w:sz="8" w:space="0" w:color="auto"/>
              <w:left w:val="nil"/>
              <w:bottom w:val="single" w:sz="4" w:space="0" w:color="auto"/>
              <w:right w:val="single" w:sz="8" w:space="0" w:color="000000"/>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 </w:t>
            </w:r>
          </w:p>
        </w:tc>
      </w:tr>
      <w:tr w:rsidR="00A879BA" w:rsidRPr="00A879BA" w:rsidTr="00A879BA">
        <w:trPr>
          <w:trHeight w:val="300"/>
        </w:trPr>
        <w:tc>
          <w:tcPr>
            <w:tcW w:w="1980" w:type="dxa"/>
            <w:tcBorders>
              <w:top w:val="nil"/>
              <w:left w:val="single" w:sz="8" w:space="0" w:color="auto"/>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Parametr</w:t>
            </w:r>
          </w:p>
        </w:tc>
        <w:tc>
          <w:tcPr>
            <w:tcW w:w="2491" w:type="dxa"/>
            <w:tcBorders>
              <w:top w:val="nil"/>
              <w:left w:val="single" w:sz="8" w:space="0" w:color="auto"/>
              <w:bottom w:val="single" w:sz="4" w:space="0" w:color="auto"/>
              <w:right w:val="single" w:sz="8"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Požadavek zadavatele</w:t>
            </w:r>
          </w:p>
        </w:tc>
        <w:tc>
          <w:tcPr>
            <w:tcW w:w="1647" w:type="dxa"/>
            <w:tcBorders>
              <w:top w:val="nil"/>
              <w:left w:val="nil"/>
              <w:bottom w:val="single" w:sz="4" w:space="0" w:color="auto"/>
              <w:right w:val="single" w:sz="4"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Splňuje ANO/NE</w:t>
            </w:r>
          </w:p>
        </w:tc>
        <w:tc>
          <w:tcPr>
            <w:tcW w:w="3963" w:type="dxa"/>
            <w:tcBorders>
              <w:top w:val="nil"/>
              <w:left w:val="single" w:sz="8" w:space="0" w:color="auto"/>
              <w:bottom w:val="single" w:sz="4" w:space="0" w:color="auto"/>
              <w:right w:val="single" w:sz="8" w:space="0" w:color="auto"/>
            </w:tcBorders>
            <w:shd w:val="clear" w:color="000000" w:fill="99CCFF"/>
            <w:noWrap/>
            <w:vAlign w:val="center"/>
            <w:hideMark/>
          </w:tcPr>
          <w:p w:rsidR="00A879BA" w:rsidRPr="00A879BA" w:rsidRDefault="00A879BA" w:rsidP="00A879BA">
            <w:pPr>
              <w:rPr>
                <w:rFonts w:ascii="Calibri" w:hAnsi="Calibri"/>
                <w:b/>
                <w:bCs/>
                <w:sz w:val="18"/>
                <w:szCs w:val="18"/>
              </w:rPr>
            </w:pPr>
            <w:r w:rsidRPr="00A879BA">
              <w:rPr>
                <w:rFonts w:ascii="Calibri" w:hAnsi="Calibri"/>
                <w:b/>
                <w:bCs/>
                <w:sz w:val="18"/>
                <w:szCs w:val="18"/>
              </w:rPr>
              <w:t>Popis konkrétního splnění požadavku</w:t>
            </w:r>
          </w:p>
        </w:tc>
      </w:tr>
      <w:tr w:rsidR="00A879BA" w:rsidRPr="00A879BA" w:rsidTr="00A879BA">
        <w:trPr>
          <w:trHeight w:val="2175"/>
        </w:trPr>
        <w:tc>
          <w:tcPr>
            <w:tcW w:w="1980" w:type="dxa"/>
            <w:tcBorders>
              <w:top w:val="nil"/>
              <w:left w:val="single" w:sz="8" w:space="0" w:color="auto"/>
              <w:bottom w:val="single" w:sz="8" w:space="0" w:color="auto"/>
              <w:right w:val="single" w:sz="4" w:space="0" w:color="auto"/>
            </w:tcBorders>
            <w:shd w:val="clear" w:color="000000" w:fill="FFFFFF"/>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Environmentální požadavky</w:t>
            </w:r>
          </w:p>
        </w:tc>
        <w:tc>
          <w:tcPr>
            <w:tcW w:w="2491" w:type="dxa"/>
            <w:tcBorders>
              <w:top w:val="nil"/>
              <w:left w:val="nil"/>
              <w:bottom w:val="single" w:sz="8" w:space="0" w:color="auto"/>
              <w:right w:val="single" w:sz="8" w:space="0" w:color="auto"/>
            </w:tcBorders>
            <w:shd w:val="clear" w:color="auto" w:fill="auto"/>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A879BA">
              <w:rPr>
                <w:rFonts w:ascii="Calibri" w:hAnsi="Calibri"/>
                <w:sz w:val="18"/>
                <w:szCs w:val="18"/>
              </w:rPr>
              <w:t>RoHS</w:t>
            </w:r>
            <w:proofErr w:type="spellEnd"/>
            <w:r w:rsidRPr="00A879BA">
              <w:rPr>
                <w:rFonts w:ascii="Calibri" w:hAnsi="Calibri"/>
                <w:sz w:val="18"/>
                <w:szCs w:val="18"/>
              </w:rPr>
              <w:t xml:space="preserve"> (</w:t>
            </w:r>
            <w:proofErr w:type="spellStart"/>
            <w:r w:rsidRPr="00A879BA">
              <w:rPr>
                <w:rFonts w:ascii="Calibri" w:hAnsi="Calibri"/>
                <w:sz w:val="18"/>
                <w:szCs w:val="18"/>
              </w:rPr>
              <w:t>Restriction</w:t>
            </w:r>
            <w:proofErr w:type="spellEnd"/>
            <w:r w:rsidRPr="00A879BA">
              <w:rPr>
                <w:rFonts w:ascii="Calibri" w:hAnsi="Calibri"/>
                <w:sz w:val="18"/>
                <w:szCs w:val="18"/>
              </w:rPr>
              <w:t xml:space="preserve"> </w:t>
            </w:r>
            <w:proofErr w:type="spellStart"/>
            <w:r w:rsidRPr="00A879BA">
              <w:rPr>
                <w:rFonts w:ascii="Calibri" w:hAnsi="Calibri"/>
                <w:sz w:val="18"/>
                <w:szCs w:val="18"/>
              </w:rPr>
              <w:t>of</w:t>
            </w:r>
            <w:proofErr w:type="spellEnd"/>
            <w:r w:rsidRPr="00A879BA">
              <w:rPr>
                <w:rFonts w:ascii="Calibri" w:hAnsi="Calibri"/>
                <w:sz w:val="18"/>
                <w:szCs w:val="18"/>
              </w:rPr>
              <w:t xml:space="preserve"> </w:t>
            </w:r>
            <w:proofErr w:type="gramStart"/>
            <w:r w:rsidRPr="00A879BA">
              <w:rPr>
                <w:rFonts w:ascii="Calibri" w:hAnsi="Calibri"/>
                <w:sz w:val="18"/>
                <w:szCs w:val="18"/>
              </w:rPr>
              <w:t>Use</w:t>
            </w:r>
            <w:proofErr w:type="gramEnd"/>
            <w:r w:rsidRPr="00A879BA">
              <w:rPr>
                <w:rFonts w:ascii="Calibri" w:hAnsi="Calibri"/>
                <w:sz w:val="18"/>
                <w:szCs w:val="18"/>
              </w:rPr>
              <w:t xml:space="preserve"> </w:t>
            </w:r>
            <w:proofErr w:type="spellStart"/>
            <w:r w:rsidRPr="00A879BA">
              <w:rPr>
                <w:rFonts w:ascii="Calibri" w:hAnsi="Calibri"/>
                <w:sz w:val="18"/>
                <w:szCs w:val="18"/>
              </w:rPr>
              <w:t>of</w:t>
            </w:r>
            <w:proofErr w:type="spellEnd"/>
            <w:r w:rsidRPr="00A879BA">
              <w:rPr>
                <w:rFonts w:ascii="Calibri" w:hAnsi="Calibri"/>
                <w:sz w:val="18"/>
                <w:szCs w:val="18"/>
              </w:rPr>
              <w:t xml:space="preserve"> </w:t>
            </w:r>
            <w:proofErr w:type="spellStart"/>
            <w:r w:rsidRPr="00A879BA">
              <w:rPr>
                <w:rFonts w:ascii="Calibri" w:hAnsi="Calibri"/>
                <w:sz w:val="18"/>
                <w:szCs w:val="18"/>
              </w:rPr>
              <w:t>Certain</w:t>
            </w:r>
            <w:proofErr w:type="spellEnd"/>
            <w:r w:rsidRPr="00A879BA">
              <w:rPr>
                <w:rFonts w:ascii="Calibri" w:hAnsi="Calibri"/>
                <w:sz w:val="18"/>
                <w:szCs w:val="18"/>
              </w:rPr>
              <w:t xml:space="preserve"> </w:t>
            </w:r>
            <w:proofErr w:type="spellStart"/>
            <w:r w:rsidRPr="00A879BA">
              <w:rPr>
                <w:rFonts w:ascii="Calibri" w:hAnsi="Calibri"/>
                <w:sz w:val="18"/>
                <w:szCs w:val="18"/>
              </w:rPr>
              <w:t>Hazardous</w:t>
            </w:r>
            <w:proofErr w:type="spellEnd"/>
            <w:r w:rsidRPr="00A879BA">
              <w:rPr>
                <w:rFonts w:ascii="Calibri" w:hAnsi="Calibri"/>
                <w:sz w:val="18"/>
                <w:szCs w:val="18"/>
              </w:rPr>
              <w:t xml:space="preserve"> </w:t>
            </w:r>
            <w:proofErr w:type="spellStart"/>
            <w:r w:rsidRPr="00A879BA">
              <w:rPr>
                <w:rFonts w:ascii="Calibri" w:hAnsi="Calibri"/>
                <w:sz w:val="18"/>
                <w:szCs w:val="18"/>
              </w:rPr>
              <w:t>Substances</w:t>
            </w:r>
            <w:proofErr w:type="spellEnd"/>
            <w:r w:rsidRPr="00A879BA">
              <w:rPr>
                <w:rFonts w:ascii="Calibri" w:hAnsi="Calibri"/>
                <w:sz w:val="18"/>
                <w:szCs w:val="18"/>
              </w:rPr>
              <w:t>) a nařízení vlády č. 481/2012, je-li jejich aplikace relevantní</w:t>
            </w:r>
          </w:p>
        </w:tc>
        <w:tc>
          <w:tcPr>
            <w:tcW w:w="1647" w:type="dxa"/>
            <w:tcBorders>
              <w:top w:val="nil"/>
              <w:left w:val="nil"/>
              <w:bottom w:val="single" w:sz="8" w:space="0" w:color="auto"/>
              <w:right w:val="single" w:sz="4" w:space="0" w:color="auto"/>
            </w:tcBorders>
            <w:shd w:val="clear" w:color="000000" w:fill="FFFF00"/>
            <w:vAlign w:val="center"/>
            <w:hideMark/>
          </w:tcPr>
          <w:p w:rsidR="00A879BA" w:rsidRPr="00A879BA" w:rsidRDefault="00A879BA" w:rsidP="00A879BA">
            <w:pPr>
              <w:jc w:val="center"/>
              <w:rPr>
                <w:rFonts w:ascii="Calibri" w:hAnsi="Calibri"/>
                <w:sz w:val="18"/>
                <w:szCs w:val="18"/>
              </w:rPr>
            </w:pPr>
            <w:r w:rsidRPr="00A879BA">
              <w:rPr>
                <w:rFonts w:ascii="Calibri" w:hAnsi="Calibri"/>
                <w:sz w:val="18"/>
                <w:szCs w:val="18"/>
              </w:rPr>
              <w:t>ANO</w:t>
            </w:r>
          </w:p>
        </w:tc>
        <w:tc>
          <w:tcPr>
            <w:tcW w:w="3963" w:type="dxa"/>
            <w:tcBorders>
              <w:top w:val="nil"/>
              <w:left w:val="nil"/>
              <w:bottom w:val="single" w:sz="8" w:space="0" w:color="auto"/>
              <w:right w:val="single" w:sz="8" w:space="0" w:color="auto"/>
            </w:tcBorders>
            <w:shd w:val="clear" w:color="000000" w:fill="C0C0C0"/>
            <w:vAlign w:val="center"/>
            <w:hideMark/>
          </w:tcPr>
          <w:p w:rsidR="00A879BA" w:rsidRPr="00A879BA" w:rsidRDefault="00A879BA" w:rsidP="00A879BA">
            <w:pPr>
              <w:rPr>
                <w:rFonts w:ascii="Calibri" w:hAnsi="Calibri"/>
                <w:sz w:val="18"/>
                <w:szCs w:val="18"/>
              </w:rPr>
            </w:pPr>
            <w:r w:rsidRPr="00A879BA">
              <w:rPr>
                <w:rFonts w:ascii="Calibri" w:hAnsi="Calibri"/>
                <w:sz w:val="18"/>
                <w:szCs w:val="18"/>
              </w:rPr>
              <w:t> </w:t>
            </w:r>
          </w:p>
        </w:tc>
      </w:tr>
    </w:tbl>
    <w:p w:rsidR="00A879BA" w:rsidRDefault="00A879BA" w:rsidP="008A5116">
      <w:pPr>
        <w:rPr>
          <w:b/>
        </w:rPr>
      </w:pPr>
    </w:p>
    <w:p w:rsidR="00916216" w:rsidRDefault="00916216"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646220" w:rsidRDefault="00646220" w:rsidP="008A5116">
      <w:pPr>
        <w:rPr>
          <w:b/>
        </w:rPr>
      </w:pPr>
    </w:p>
    <w:p w:rsidR="001832DE" w:rsidRDefault="00916216" w:rsidP="001832DE">
      <w:r>
        <w:t>Příloha č. 2:  Seznam odběrných míst</w:t>
      </w:r>
      <w:r w:rsidR="00EE242E">
        <w:t xml:space="preserve"> a objemy plnění na odběrná místa</w:t>
      </w:r>
    </w:p>
    <w:p w:rsidR="001832DE" w:rsidRDefault="001832DE" w:rsidP="001832DE"/>
    <w:tbl>
      <w:tblPr>
        <w:tblW w:w="10221" w:type="dxa"/>
        <w:tblInd w:w="55" w:type="dxa"/>
        <w:tblLayout w:type="fixed"/>
        <w:tblCellMar>
          <w:left w:w="70" w:type="dxa"/>
          <w:right w:w="70" w:type="dxa"/>
        </w:tblCellMar>
        <w:tblLook w:val="04A0" w:firstRow="1" w:lastRow="0" w:firstColumn="1" w:lastColumn="0" w:noHBand="0" w:noVBand="1"/>
      </w:tblPr>
      <w:tblGrid>
        <w:gridCol w:w="2759"/>
        <w:gridCol w:w="2286"/>
        <w:gridCol w:w="1636"/>
        <w:gridCol w:w="2265"/>
        <w:gridCol w:w="1275"/>
      </w:tblGrid>
      <w:tr w:rsidR="001832DE" w:rsidRPr="001832DE" w:rsidTr="001832DE">
        <w:trPr>
          <w:trHeight w:val="600"/>
        </w:trPr>
        <w:tc>
          <w:tcPr>
            <w:tcW w:w="2759" w:type="dxa"/>
            <w:tcBorders>
              <w:top w:val="single" w:sz="4" w:space="0" w:color="auto"/>
              <w:left w:val="single" w:sz="4" w:space="0" w:color="auto"/>
              <w:bottom w:val="nil"/>
              <w:right w:val="single" w:sz="4" w:space="0" w:color="auto"/>
            </w:tcBorders>
            <w:shd w:val="clear" w:color="000000" w:fill="C0C0C0"/>
            <w:noWrap/>
            <w:vAlign w:val="center"/>
            <w:hideMark/>
          </w:tcPr>
          <w:p w:rsidR="001832DE" w:rsidRPr="001832DE" w:rsidRDefault="001832DE" w:rsidP="001832DE">
            <w:pPr>
              <w:jc w:val="center"/>
              <w:rPr>
                <w:b/>
                <w:bCs/>
                <w:color w:val="000000"/>
                <w:sz w:val="20"/>
                <w:szCs w:val="20"/>
              </w:rPr>
            </w:pPr>
            <w:r w:rsidRPr="001832DE">
              <w:rPr>
                <w:b/>
                <w:bCs/>
                <w:color w:val="000000"/>
                <w:sz w:val="20"/>
                <w:szCs w:val="20"/>
              </w:rPr>
              <w:t>Název</w:t>
            </w:r>
          </w:p>
        </w:tc>
        <w:tc>
          <w:tcPr>
            <w:tcW w:w="2286" w:type="dxa"/>
            <w:tcBorders>
              <w:top w:val="single" w:sz="4" w:space="0" w:color="auto"/>
              <w:left w:val="nil"/>
              <w:bottom w:val="nil"/>
              <w:right w:val="single" w:sz="4" w:space="0" w:color="auto"/>
            </w:tcBorders>
            <w:shd w:val="clear" w:color="000000" w:fill="C0C0C0"/>
            <w:noWrap/>
            <w:vAlign w:val="center"/>
            <w:hideMark/>
          </w:tcPr>
          <w:p w:rsidR="001832DE" w:rsidRPr="001832DE" w:rsidRDefault="001832DE" w:rsidP="001832DE">
            <w:pPr>
              <w:jc w:val="center"/>
              <w:rPr>
                <w:b/>
                <w:bCs/>
                <w:color w:val="000000"/>
                <w:sz w:val="20"/>
                <w:szCs w:val="20"/>
              </w:rPr>
            </w:pPr>
            <w:r w:rsidRPr="001832DE">
              <w:rPr>
                <w:b/>
                <w:bCs/>
                <w:color w:val="000000"/>
                <w:sz w:val="20"/>
                <w:szCs w:val="20"/>
              </w:rPr>
              <w:t>Adresa</w:t>
            </w:r>
          </w:p>
        </w:tc>
        <w:tc>
          <w:tcPr>
            <w:tcW w:w="1636" w:type="dxa"/>
            <w:tcBorders>
              <w:top w:val="single" w:sz="4" w:space="0" w:color="auto"/>
              <w:left w:val="nil"/>
              <w:bottom w:val="single" w:sz="4" w:space="0" w:color="auto"/>
              <w:right w:val="single" w:sz="4" w:space="0" w:color="auto"/>
            </w:tcBorders>
            <w:shd w:val="clear" w:color="000000" w:fill="BFBFBF"/>
            <w:noWrap/>
            <w:vAlign w:val="center"/>
            <w:hideMark/>
          </w:tcPr>
          <w:p w:rsidR="001832DE" w:rsidRPr="001832DE" w:rsidRDefault="001832DE" w:rsidP="001832DE">
            <w:pPr>
              <w:rPr>
                <w:b/>
                <w:bCs/>
                <w:color w:val="000000"/>
                <w:sz w:val="20"/>
                <w:szCs w:val="20"/>
              </w:rPr>
            </w:pPr>
            <w:r w:rsidRPr="001832DE">
              <w:rPr>
                <w:b/>
                <w:bCs/>
                <w:color w:val="000000"/>
                <w:sz w:val="20"/>
                <w:szCs w:val="20"/>
              </w:rPr>
              <w:t xml:space="preserve">Kontaktní osoba </w:t>
            </w:r>
          </w:p>
        </w:tc>
        <w:tc>
          <w:tcPr>
            <w:tcW w:w="2265" w:type="dxa"/>
            <w:tcBorders>
              <w:top w:val="single" w:sz="4" w:space="0" w:color="auto"/>
              <w:left w:val="nil"/>
              <w:bottom w:val="single" w:sz="4" w:space="0" w:color="auto"/>
              <w:right w:val="single" w:sz="4" w:space="0" w:color="auto"/>
            </w:tcBorders>
            <w:shd w:val="clear" w:color="000000" w:fill="BFBFBF"/>
            <w:noWrap/>
            <w:vAlign w:val="center"/>
            <w:hideMark/>
          </w:tcPr>
          <w:p w:rsidR="001832DE" w:rsidRPr="001832DE" w:rsidRDefault="001832DE" w:rsidP="001832DE">
            <w:pPr>
              <w:rPr>
                <w:b/>
                <w:bCs/>
                <w:color w:val="000000"/>
                <w:sz w:val="20"/>
                <w:szCs w:val="20"/>
              </w:rPr>
            </w:pPr>
            <w:r w:rsidRPr="001832DE">
              <w:rPr>
                <w:b/>
                <w:bCs/>
                <w:color w:val="000000"/>
                <w:sz w:val="20"/>
                <w:szCs w:val="20"/>
              </w:rPr>
              <w:t>email</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1832DE" w:rsidRPr="001832DE" w:rsidRDefault="001832DE" w:rsidP="001832DE">
            <w:pPr>
              <w:rPr>
                <w:b/>
                <w:bCs/>
                <w:color w:val="000000"/>
                <w:sz w:val="20"/>
                <w:szCs w:val="20"/>
              </w:rPr>
            </w:pPr>
            <w:r w:rsidRPr="001832DE">
              <w:rPr>
                <w:b/>
                <w:bCs/>
                <w:color w:val="000000"/>
                <w:sz w:val="20"/>
                <w:szCs w:val="20"/>
              </w:rPr>
              <w:t>telefon</w:t>
            </w:r>
          </w:p>
        </w:tc>
      </w:tr>
      <w:tr w:rsidR="00014661" w:rsidRPr="001832DE" w:rsidTr="007E0556">
        <w:trPr>
          <w:trHeight w:val="720"/>
        </w:trPr>
        <w:tc>
          <w:tcPr>
            <w:tcW w:w="2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generální ředitelství</w:t>
            </w:r>
          </w:p>
        </w:tc>
        <w:tc>
          <w:tcPr>
            <w:tcW w:w="2286" w:type="dxa"/>
            <w:tcBorders>
              <w:top w:val="single" w:sz="4" w:space="0" w:color="auto"/>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 xml:space="preserve"> Valdštejnské </w:t>
            </w:r>
            <w:proofErr w:type="gramStart"/>
            <w:r w:rsidRPr="001832DE">
              <w:rPr>
                <w:color w:val="000000"/>
                <w:sz w:val="18"/>
                <w:szCs w:val="18"/>
              </w:rPr>
              <w:t>nám.3, 118 01</w:t>
            </w:r>
            <w:proofErr w:type="gramEnd"/>
            <w:r w:rsidRPr="001832DE">
              <w:rPr>
                <w:color w:val="000000"/>
                <w:sz w:val="18"/>
                <w:szCs w:val="18"/>
              </w:rPr>
              <w:t xml:space="preserve"> Praha 1</w:t>
            </w:r>
          </w:p>
        </w:tc>
        <w:tc>
          <w:tcPr>
            <w:tcW w:w="1636" w:type="dxa"/>
            <w:tcBorders>
              <w:top w:val="nil"/>
              <w:left w:val="nil"/>
              <w:bottom w:val="nil"/>
              <w:right w:val="nil"/>
            </w:tcBorders>
            <w:shd w:val="clear" w:color="auto" w:fill="auto"/>
            <w:noWrap/>
            <w:hideMark/>
          </w:tcPr>
          <w:p w:rsidR="00014661" w:rsidRDefault="00014661" w:rsidP="00014661">
            <w:proofErr w:type="spellStart"/>
            <w:r w:rsidRPr="00151C95">
              <w:rPr>
                <w:color w:val="000000"/>
                <w:sz w:val="18"/>
                <w:szCs w:val="18"/>
              </w:rPr>
              <w:t>xxx</w:t>
            </w:r>
            <w:proofErr w:type="spellEnd"/>
          </w:p>
        </w:tc>
        <w:tc>
          <w:tcPr>
            <w:tcW w:w="2265"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660"/>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v Kroměříži</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 xml:space="preserve"> Riegrovo náměstí 3228/22, 767 01 Kroměříž</w:t>
            </w:r>
          </w:p>
        </w:tc>
        <w:tc>
          <w:tcPr>
            <w:tcW w:w="1636" w:type="dxa"/>
            <w:tcBorders>
              <w:top w:val="single" w:sz="4" w:space="0" w:color="auto"/>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780"/>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v Českých Budějovicích</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Senovážné náměstí 6, 370 21 České Budějovice</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765"/>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v Lokti</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Kostelní 81/25, 357 33 Loket</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570"/>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v Ostravě</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ul. Odboje 1941/1, 702 00 Ostrava</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615"/>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památková správa v Kroměříži</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Sněmovní náměstí 1, 767 01 Kroměříž</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765"/>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v Josefově</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Okružní 418, 551 02 Jaroměř – Josefov</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r w:rsidR="00014661" w:rsidRPr="001832DE" w:rsidTr="007E0556">
        <w:trPr>
          <w:trHeight w:val="975"/>
        </w:trPr>
        <w:tc>
          <w:tcPr>
            <w:tcW w:w="2759" w:type="dxa"/>
            <w:tcBorders>
              <w:top w:val="nil"/>
              <w:left w:val="single" w:sz="4" w:space="0" w:color="auto"/>
              <w:bottom w:val="single" w:sz="4" w:space="0" w:color="auto"/>
              <w:right w:val="single" w:sz="4" w:space="0" w:color="auto"/>
            </w:tcBorders>
            <w:shd w:val="clear" w:color="auto" w:fill="auto"/>
            <w:vAlign w:val="center"/>
            <w:hideMark/>
          </w:tcPr>
          <w:p w:rsidR="00014661" w:rsidRPr="001832DE" w:rsidRDefault="00014661" w:rsidP="00014661">
            <w:pPr>
              <w:rPr>
                <w:b/>
                <w:bCs/>
                <w:color w:val="000000"/>
                <w:sz w:val="18"/>
                <w:szCs w:val="18"/>
              </w:rPr>
            </w:pPr>
            <w:r w:rsidRPr="001832DE">
              <w:rPr>
                <w:b/>
                <w:bCs/>
                <w:color w:val="000000"/>
                <w:sz w:val="18"/>
                <w:szCs w:val="18"/>
              </w:rPr>
              <w:t>Národní památkový ústav, územní odborné pracoviště středních Čech v Praze</w:t>
            </w:r>
          </w:p>
        </w:tc>
        <w:tc>
          <w:tcPr>
            <w:tcW w:w="2286" w:type="dxa"/>
            <w:tcBorders>
              <w:top w:val="nil"/>
              <w:left w:val="nil"/>
              <w:bottom w:val="single" w:sz="4" w:space="0" w:color="auto"/>
              <w:right w:val="single" w:sz="8" w:space="0" w:color="auto"/>
            </w:tcBorders>
            <w:shd w:val="clear" w:color="auto" w:fill="auto"/>
            <w:vAlign w:val="center"/>
            <w:hideMark/>
          </w:tcPr>
          <w:p w:rsidR="00014661" w:rsidRPr="001832DE" w:rsidRDefault="00014661" w:rsidP="00014661">
            <w:pPr>
              <w:rPr>
                <w:color w:val="000000"/>
                <w:sz w:val="18"/>
                <w:szCs w:val="18"/>
              </w:rPr>
            </w:pPr>
            <w:r w:rsidRPr="001832DE">
              <w:rPr>
                <w:color w:val="000000"/>
                <w:sz w:val="18"/>
                <w:szCs w:val="18"/>
              </w:rPr>
              <w:t>Sabinova 373/5, 130 11 Praha 3 - Žižkov</w:t>
            </w:r>
          </w:p>
        </w:tc>
        <w:tc>
          <w:tcPr>
            <w:tcW w:w="1636" w:type="dxa"/>
            <w:tcBorders>
              <w:top w:val="nil"/>
              <w:left w:val="single" w:sz="4" w:space="0" w:color="auto"/>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226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c>
          <w:tcPr>
            <w:tcW w:w="1275" w:type="dxa"/>
            <w:tcBorders>
              <w:top w:val="nil"/>
              <w:left w:val="nil"/>
              <w:bottom w:val="single" w:sz="4" w:space="0" w:color="auto"/>
              <w:right w:val="single" w:sz="4" w:space="0" w:color="auto"/>
            </w:tcBorders>
            <w:shd w:val="clear" w:color="auto" w:fill="auto"/>
            <w:hideMark/>
          </w:tcPr>
          <w:p w:rsidR="00014661" w:rsidRDefault="00014661" w:rsidP="00014661">
            <w:proofErr w:type="spellStart"/>
            <w:r w:rsidRPr="00151C95">
              <w:rPr>
                <w:color w:val="000000"/>
                <w:sz w:val="18"/>
                <w:szCs w:val="18"/>
              </w:rPr>
              <w:t>xxx</w:t>
            </w:r>
            <w:proofErr w:type="spellEnd"/>
          </w:p>
        </w:tc>
      </w:tr>
    </w:tbl>
    <w:p w:rsidR="001832DE" w:rsidRDefault="001832DE" w:rsidP="001832DE">
      <w:pPr>
        <w:rPr>
          <w:b/>
        </w:rPr>
      </w:pPr>
    </w:p>
    <w:p w:rsidR="00EE242E" w:rsidRDefault="00EE242E" w:rsidP="001832DE">
      <w:pPr>
        <w:rPr>
          <w:b/>
        </w:rPr>
      </w:pPr>
    </w:p>
    <w:tbl>
      <w:tblPr>
        <w:tblW w:w="8520" w:type="dxa"/>
        <w:tblInd w:w="55" w:type="dxa"/>
        <w:tblCellMar>
          <w:left w:w="70" w:type="dxa"/>
          <w:right w:w="70" w:type="dxa"/>
        </w:tblCellMar>
        <w:tblLook w:val="04A0" w:firstRow="1" w:lastRow="0" w:firstColumn="1" w:lastColumn="0" w:noHBand="0" w:noVBand="1"/>
      </w:tblPr>
      <w:tblGrid>
        <w:gridCol w:w="2780"/>
        <w:gridCol w:w="1204"/>
        <w:gridCol w:w="993"/>
        <w:gridCol w:w="1275"/>
        <w:gridCol w:w="1276"/>
        <w:gridCol w:w="992"/>
      </w:tblGrid>
      <w:tr w:rsidR="009B26B4" w:rsidRPr="009B26B4" w:rsidTr="00646220">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6B4" w:rsidRPr="009B26B4" w:rsidRDefault="009B26B4" w:rsidP="009B26B4">
            <w:pPr>
              <w:rPr>
                <w:rFonts w:ascii="Calibri" w:hAnsi="Calibri"/>
                <w:color w:val="000000"/>
                <w:sz w:val="18"/>
                <w:szCs w:val="18"/>
              </w:rPr>
            </w:pPr>
            <w:bookmarkStart w:id="4" w:name="_GoBack"/>
            <w:bookmarkEnd w:id="4"/>
            <w:r w:rsidRPr="009B26B4">
              <w:rPr>
                <w:rFonts w:ascii="Calibri" w:hAnsi="Calibri"/>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9B26B4" w:rsidRPr="009B26B4" w:rsidRDefault="009B26B4" w:rsidP="009B26B4">
            <w:pPr>
              <w:rPr>
                <w:rFonts w:ascii="Calibri" w:hAnsi="Calibri"/>
                <w:b/>
                <w:bCs/>
                <w:color w:val="000000"/>
                <w:sz w:val="18"/>
                <w:szCs w:val="18"/>
              </w:rPr>
            </w:pPr>
            <w:r w:rsidRPr="009B26B4">
              <w:rPr>
                <w:rFonts w:ascii="Calibri" w:hAnsi="Calibri"/>
                <w:b/>
                <w:bCs/>
                <w:color w:val="000000"/>
                <w:sz w:val="18"/>
                <w:szCs w:val="18"/>
              </w:rPr>
              <w:t>Notebook II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B26B4" w:rsidRPr="009B26B4" w:rsidRDefault="009B26B4" w:rsidP="009B26B4">
            <w:pPr>
              <w:rPr>
                <w:rFonts w:ascii="Calibri" w:hAnsi="Calibri"/>
                <w:b/>
                <w:bCs/>
                <w:color w:val="000000"/>
                <w:sz w:val="18"/>
                <w:szCs w:val="18"/>
              </w:rPr>
            </w:pPr>
            <w:r w:rsidRPr="009B26B4">
              <w:rPr>
                <w:rFonts w:ascii="Calibri" w:hAnsi="Calibri"/>
                <w:b/>
                <w:bCs/>
                <w:color w:val="000000"/>
                <w:sz w:val="18"/>
                <w:szCs w:val="18"/>
              </w:rPr>
              <w:t>Monitor I</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B26B4" w:rsidRPr="009B26B4" w:rsidRDefault="009B26B4" w:rsidP="009B26B4">
            <w:pPr>
              <w:rPr>
                <w:rFonts w:ascii="Calibri" w:hAnsi="Calibri"/>
                <w:b/>
                <w:bCs/>
                <w:color w:val="000000"/>
                <w:sz w:val="18"/>
                <w:szCs w:val="18"/>
              </w:rPr>
            </w:pPr>
            <w:r w:rsidRPr="009B26B4">
              <w:rPr>
                <w:rFonts w:ascii="Calibri" w:hAnsi="Calibri"/>
                <w:b/>
                <w:bCs/>
                <w:color w:val="000000"/>
                <w:sz w:val="18"/>
                <w:szCs w:val="18"/>
              </w:rPr>
              <w:t xml:space="preserve">Dok. </w:t>
            </w:r>
            <w:proofErr w:type="gramStart"/>
            <w:r w:rsidRPr="009B26B4">
              <w:rPr>
                <w:rFonts w:ascii="Calibri" w:hAnsi="Calibri"/>
                <w:b/>
                <w:bCs/>
                <w:color w:val="000000"/>
                <w:sz w:val="18"/>
                <w:szCs w:val="18"/>
              </w:rPr>
              <w:t>stanice</w:t>
            </w:r>
            <w:proofErr w:type="gramEnd"/>
            <w:r w:rsidRPr="009B26B4">
              <w:rPr>
                <w:rFonts w:ascii="Calibri" w:hAnsi="Calibri"/>
                <w:b/>
                <w:bCs/>
                <w:color w:val="000000"/>
                <w:sz w:val="18"/>
                <w:szCs w:val="18"/>
              </w:rPr>
              <w:t xml:space="preserve"> 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B26B4" w:rsidRPr="009B26B4" w:rsidRDefault="009B26B4" w:rsidP="009B26B4">
            <w:pPr>
              <w:rPr>
                <w:rFonts w:ascii="Calibri" w:hAnsi="Calibri"/>
                <w:b/>
                <w:bCs/>
                <w:color w:val="000000"/>
                <w:sz w:val="18"/>
                <w:szCs w:val="18"/>
              </w:rPr>
            </w:pPr>
            <w:r w:rsidRPr="009B26B4">
              <w:rPr>
                <w:rFonts w:ascii="Calibri" w:hAnsi="Calibri"/>
                <w:b/>
                <w:bCs/>
                <w:color w:val="000000"/>
                <w:sz w:val="18"/>
                <w:szCs w:val="18"/>
              </w:rPr>
              <w:t>Příslušenství II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26B4" w:rsidRPr="009B26B4" w:rsidRDefault="009B26B4" w:rsidP="009B26B4">
            <w:pPr>
              <w:rPr>
                <w:rFonts w:ascii="Calibri" w:hAnsi="Calibri"/>
                <w:b/>
                <w:bCs/>
                <w:color w:val="000000"/>
                <w:sz w:val="18"/>
                <w:szCs w:val="18"/>
              </w:rPr>
            </w:pPr>
            <w:r w:rsidRPr="009B26B4">
              <w:rPr>
                <w:rFonts w:ascii="Calibri" w:hAnsi="Calibri"/>
                <w:b/>
                <w:bCs/>
                <w:color w:val="000000"/>
                <w:sz w:val="18"/>
                <w:szCs w:val="18"/>
              </w:rPr>
              <w:t>Brašna II</w:t>
            </w:r>
          </w:p>
        </w:tc>
      </w:tr>
      <w:tr w:rsidR="009B26B4" w:rsidRPr="009B26B4" w:rsidTr="00646220">
        <w:trPr>
          <w:trHeight w:val="66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generální ředitelství</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14</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14</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14</w:t>
            </w:r>
          </w:p>
        </w:tc>
      </w:tr>
      <w:tr w:rsidR="009B26B4" w:rsidRPr="009B26B4" w:rsidTr="00646220">
        <w:trPr>
          <w:trHeight w:val="64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v Kroměříži</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r>
      <w:tr w:rsidR="009B26B4" w:rsidRPr="009B26B4" w:rsidTr="00646220">
        <w:trPr>
          <w:trHeight w:val="85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v Českých Budějovicích</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r>
      <w:tr w:rsidR="009B26B4" w:rsidRPr="009B26B4" w:rsidTr="00646220">
        <w:trPr>
          <w:trHeight w:val="79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v Lokti</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r>
      <w:tr w:rsidR="009B26B4" w:rsidRPr="009B26B4" w:rsidTr="00646220">
        <w:trPr>
          <w:trHeight w:val="70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v Ostravě</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r>
      <w:tr w:rsidR="009B26B4" w:rsidRPr="009B26B4" w:rsidTr="00646220">
        <w:trPr>
          <w:trHeight w:val="72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památková správa v Kroměříži</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r>
      <w:tr w:rsidR="009B26B4" w:rsidRPr="009B26B4" w:rsidTr="00646220">
        <w:trPr>
          <w:trHeight w:val="66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v Josefově</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4</w:t>
            </w:r>
          </w:p>
        </w:tc>
      </w:tr>
      <w:tr w:rsidR="009B26B4" w:rsidRPr="009B26B4" w:rsidTr="00646220">
        <w:trPr>
          <w:trHeight w:val="70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B26B4" w:rsidRPr="009B26B4" w:rsidRDefault="009B26B4" w:rsidP="009B26B4">
            <w:pPr>
              <w:rPr>
                <w:b/>
                <w:bCs/>
                <w:color w:val="000000"/>
                <w:sz w:val="18"/>
                <w:szCs w:val="18"/>
              </w:rPr>
            </w:pPr>
            <w:r w:rsidRPr="009B26B4">
              <w:rPr>
                <w:b/>
                <w:bCs/>
                <w:color w:val="000000"/>
                <w:sz w:val="18"/>
                <w:szCs w:val="18"/>
              </w:rPr>
              <w:t>Národní památkový ústav, územní odborné pracoviště středních Čech v Praze</w:t>
            </w:r>
          </w:p>
        </w:tc>
        <w:tc>
          <w:tcPr>
            <w:tcW w:w="1204"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9B26B4" w:rsidRPr="009B26B4" w:rsidRDefault="009B26B4" w:rsidP="009B26B4">
            <w:pPr>
              <w:jc w:val="center"/>
              <w:rPr>
                <w:rFonts w:ascii="Calibri" w:hAnsi="Calibri"/>
                <w:color w:val="000000"/>
                <w:sz w:val="18"/>
                <w:szCs w:val="18"/>
              </w:rPr>
            </w:pPr>
            <w:r w:rsidRPr="009B26B4">
              <w:rPr>
                <w:rFonts w:ascii="Calibri" w:hAnsi="Calibri"/>
                <w:color w:val="000000"/>
                <w:sz w:val="18"/>
                <w:szCs w:val="18"/>
              </w:rPr>
              <w:t>3</w:t>
            </w:r>
          </w:p>
        </w:tc>
      </w:tr>
    </w:tbl>
    <w:p w:rsidR="00EE242E" w:rsidRDefault="00EE242E" w:rsidP="00014661">
      <w:pPr>
        <w:rPr>
          <w:b/>
        </w:rPr>
      </w:pPr>
    </w:p>
    <w:sectPr w:rsidR="00EE242E" w:rsidSect="00BF2BCB">
      <w:headerReference w:type="first" r:id="rId8"/>
      <w:pgSz w:w="11906" w:h="16838"/>
      <w:pgMar w:top="1466" w:right="1134" w:bottom="899" w:left="1134" w:header="7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FD" w:rsidRDefault="005B39FD" w:rsidP="00BF2BCB">
      <w:r>
        <w:separator/>
      </w:r>
    </w:p>
  </w:endnote>
  <w:endnote w:type="continuationSeparator" w:id="0">
    <w:p w:rsidR="005B39FD" w:rsidRDefault="005B39FD" w:rsidP="00BF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FD" w:rsidRDefault="005B39FD" w:rsidP="00BF2BCB">
      <w:r>
        <w:separator/>
      </w:r>
    </w:p>
  </w:footnote>
  <w:footnote w:type="continuationSeparator" w:id="0">
    <w:p w:rsidR="005B39FD" w:rsidRDefault="005B39FD" w:rsidP="00BF2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CB" w:rsidRPr="00BF2BCB" w:rsidRDefault="00BF2BCB" w:rsidP="00BF2BCB">
    <w:pPr>
      <w:pStyle w:val="Zhlav"/>
      <w:tabs>
        <w:tab w:val="clear" w:pos="4536"/>
        <w:tab w:val="clear" w:pos="9072"/>
      </w:tabs>
      <w:ind w:left="-142"/>
      <w:rPr>
        <w:rFonts w:asciiTheme="minorHAnsi" w:hAnsiTheme="minorHAnsi" w:cstheme="minorHAnsi"/>
        <w:sz w:val="18"/>
        <w:szCs w:val="18"/>
      </w:rPr>
    </w:pPr>
    <w:r>
      <w:rPr>
        <w:noProof/>
      </w:rPr>
      <w:drawing>
        <wp:inline distT="0" distB="0" distL="0" distR="0" wp14:anchorId="706A37C0" wp14:editId="35E9AE72">
          <wp:extent cx="1771650" cy="485775"/>
          <wp:effectExtent l="0" t="0" r="0" b="0"/>
          <wp:docPr id="13" name="Obrázek 1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roofErr w:type="spellStart"/>
    <w:r w:rsidRPr="00BF2BCB">
      <w:rPr>
        <w:rFonts w:asciiTheme="minorHAnsi" w:hAnsiTheme="minorHAnsi" w:cstheme="minorHAnsi"/>
        <w:sz w:val="18"/>
        <w:szCs w:val="18"/>
      </w:rPr>
      <w:t>ev.č</w:t>
    </w:r>
    <w:proofErr w:type="spellEnd"/>
    <w:r w:rsidRPr="00BF2BCB">
      <w:rPr>
        <w:rFonts w:asciiTheme="minorHAnsi" w:hAnsiTheme="minorHAnsi" w:cstheme="minorHAnsi"/>
        <w:sz w:val="18"/>
        <w:szCs w:val="18"/>
      </w:rPr>
      <w:t>.: 103/310/2022</w:t>
    </w:r>
  </w:p>
  <w:p w:rsidR="00BF2BCB" w:rsidRDefault="00BF2BCB" w:rsidP="00BF2BCB">
    <w:pPr>
      <w:pStyle w:val="Zhlav"/>
      <w:tabs>
        <w:tab w:val="clear" w:pos="4536"/>
        <w:tab w:val="clear" w:pos="9072"/>
      </w:tabs>
      <w:ind w:left="-142"/>
      <w:rPr>
        <w:rFonts w:asciiTheme="minorHAnsi" w:hAnsiTheme="minorHAnsi" w:cstheme="minorHAnsi"/>
        <w:sz w:val="18"/>
        <w:szCs w:val="18"/>
      </w:rPr>
    </w:pP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r w:rsidRPr="00BF2BCB">
      <w:rPr>
        <w:rFonts w:asciiTheme="minorHAnsi" w:hAnsiTheme="minorHAnsi" w:cstheme="minorHAnsi"/>
        <w:sz w:val="18"/>
        <w:szCs w:val="18"/>
      </w:rPr>
      <w:tab/>
    </w:r>
    <w:proofErr w:type="gramStart"/>
    <w:r w:rsidRPr="00BF2BCB">
      <w:rPr>
        <w:rFonts w:asciiTheme="minorHAnsi" w:hAnsiTheme="minorHAnsi" w:cstheme="minorHAnsi"/>
        <w:sz w:val="18"/>
        <w:szCs w:val="18"/>
      </w:rPr>
      <w:t>č.j.</w:t>
    </w:r>
    <w:proofErr w:type="gramEnd"/>
    <w:r w:rsidRPr="00BF2BCB">
      <w:rPr>
        <w:rFonts w:asciiTheme="minorHAnsi" w:hAnsiTheme="minorHAnsi" w:cstheme="minorHAnsi"/>
        <w:sz w:val="18"/>
        <w:szCs w:val="18"/>
      </w:rPr>
      <w:t>: 310/54128/2022</w:t>
    </w:r>
  </w:p>
  <w:p w:rsidR="00BF2BCB" w:rsidRPr="00BF2BCB" w:rsidRDefault="00BF2BCB" w:rsidP="00BF2BCB">
    <w:pPr>
      <w:pStyle w:val="Zhlav"/>
      <w:tabs>
        <w:tab w:val="clear" w:pos="4536"/>
        <w:tab w:val="clear" w:pos="9072"/>
      </w:tabs>
      <w:ind w:left="-142"/>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57B"/>
    <w:rsid w:val="00001A99"/>
    <w:rsid w:val="000022B3"/>
    <w:rsid w:val="00004027"/>
    <w:rsid w:val="00007CA5"/>
    <w:rsid w:val="00007E9C"/>
    <w:rsid w:val="0001113A"/>
    <w:rsid w:val="000119A9"/>
    <w:rsid w:val="00013333"/>
    <w:rsid w:val="000139C5"/>
    <w:rsid w:val="00014661"/>
    <w:rsid w:val="00016D07"/>
    <w:rsid w:val="000219BB"/>
    <w:rsid w:val="00024969"/>
    <w:rsid w:val="000310CE"/>
    <w:rsid w:val="000333A1"/>
    <w:rsid w:val="00040CA1"/>
    <w:rsid w:val="00041207"/>
    <w:rsid w:val="000431A9"/>
    <w:rsid w:val="0004360A"/>
    <w:rsid w:val="0004563D"/>
    <w:rsid w:val="00047436"/>
    <w:rsid w:val="00047545"/>
    <w:rsid w:val="000511B9"/>
    <w:rsid w:val="00055BC6"/>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B78"/>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5924"/>
    <w:rsid w:val="001670E6"/>
    <w:rsid w:val="00167D6B"/>
    <w:rsid w:val="001700BC"/>
    <w:rsid w:val="00172526"/>
    <w:rsid w:val="001737DD"/>
    <w:rsid w:val="00175CCD"/>
    <w:rsid w:val="001832DE"/>
    <w:rsid w:val="00187F2E"/>
    <w:rsid w:val="001905CE"/>
    <w:rsid w:val="00190FC3"/>
    <w:rsid w:val="00192478"/>
    <w:rsid w:val="00194101"/>
    <w:rsid w:val="001A30AA"/>
    <w:rsid w:val="001A5F54"/>
    <w:rsid w:val="001A6BEF"/>
    <w:rsid w:val="001B7A16"/>
    <w:rsid w:val="001C30DF"/>
    <w:rsid w:val="001C4B3A"/>
    <w:rsid w:val="001C64C1"/>
    <w:rsid w:val="001D5910"/>
    <w:rsid w:val="001E2998"/>
    <w:rsid w:val="001F02A9"/>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3183"/>
    <w:rsid w:val="002549CF"/>
    <w:rsid w:val="0025536D"/>
    <w:rsid w:val="00265854"/>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D70DA"/>
    <w:rsid w:val="002E197E"/>
    <w:rsid w:val="002E1DA3"/>
    <w:rsid w:val="002E1F72"/>
    <w:rsid w:val="002F19AB"/>
    <w:rsid w:val="002F2D0A"/>
    <w:rsid w:val="002F464E"/>
    <w:rsid w:val="002F4CBD"/>
    <w:rsid w:val="0030147C"/>
    <w:rsid w:val="0030336C"/>
    <w:rsid w:val="00305C14"/>
    <w:rsid w:val="003111E3"/>
    <w:rsid w:val="00313070"/>
    <w:rsid w:val="00316CC8"/>
    <w:rsid w:val="003203D5"/>
    <w:rsid w:val="00320B6F"/>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26B6"/>
    <w:rsid w:val="00424B6C"/>
    <w:rsid w:val="004254F0"/>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4BF5"/>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CCB"/>
    <w:rsid w:val="00501F78"/>
    <w:rsid w:val="00505425"/>
    <w:rsid w:val="00505F57"/>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39FD"/>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4F1F"/>
    <w:rsid w:val="00616B2D"/>
    <w:rsid w:val="00617840"/>
    <w:rsid w:val="00621139"/>
    <w:rsid w:val="006218A6"/>
    <w:rsid w:val="0062299B"/>
    <w:rsid w:val="00623DBD"/>
    <w:rsid w:val="00626E8C"/>
    <w:rsid w:val="006400CA"/>
    <w:rsid w:val="00641979"/>
    <w:rsid w:val="00642033"/>
    <w:rsid w:val="0064524C"/>
    <w:rsid w:val="00646220"/>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84ACB"/>
    <w:rsid w:val="006965AE"/>
    <w:rsid w:val="006969CD"/>
    <w:rsid w:val="006A0DA4"/>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172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434"/>
    <w:rsid w:val="00787EB6"/>
    <w:rsid w:val="00791967"/>
    <w:rsid w:val="00797BC0"/>
    <w:rsid w:val="007A2270"/>
    <w:rsid w:val="007A3FA0"/>
    <w:rsid w:val="007A5229"/>
    <w:rsid w:val="007B1790"/>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643"/>
    <w:rsid w:val="008B1D3E"/>
    <w:rsid w:val="008B681F"/>
    <w:rsid w:val="008C19D9"/>
    <w:rsid w:val="008C3C00"/>
    <w:rsid w:val="008C6B1C"/>
    <w:rsid w:val="008D1606"/>
    <w:rsid w:val="008D2D0B"/>
    <w:rsid w:val="008D42CA"/>
    <w:rsid w:val="008D4908"/>
    <w:rsid w:val="008E26F9"/>
    <w:rsid w:val="008E4D82"/>
    <w:rsid w:val="008E62AD"/>
    <w:rsid w:val="008E6AF3"/>
    <w:rsid w:val="008F4300"/>
    <w:rsid w:val="008F6E38"/>
    <w:rsid w:val="00900D84"/>
    <w:rsid w:val="00901961"/>
    <w:rsid w:val="00902194"/>
    <w:rsid w:val="00910EF7"/>
    <w:rsid w:val="00916216"/>
    <w:rsid w:val="00920888"/>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2BAD"/>
    <w:rsid w:val="009732F5"/>
    <w:rsid w:val="00974C0F"/>
    <w:rsid w:val="00975D0A"/>
    <w:rsid w:val="00980EE9"/>
    <w:rsid w:val="00992482"/>
    <w:rsid w:val="00992F3A"/>
    <w:rsid w:val="00996C52"/>
    <w:rsid w:val="009A0E7C"/>
    <w:rsid w:val="009A1547"/>
    <w:rsid w:val="009A5FC6"/>
    <w:rsid w:val="009A70E5"/>
    <w:rsid w:val="009B0DDF"/>
    <w:rsid w:val="009B26B4"/>
    <w:rsid w:val="009B4F36"/>
    <w:rsid w:val="009B67FC"/>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05B91"/>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879BA"/>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E786C"/>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1B99"/>
    <w:rsid w:val="00BC011A"/>
    <w:rsid w:val="00BC05B8"/>
    <w:rsid w:val="00BC2CCE"/>
    <w:rsid w:val="00BC3177"/>
    <w:rsid w:val="00BC3746"/>
    <w:rsid w:val="00BD0DC2"/>
    <w:rsid w:val="00BD475F"/>
    <w:rsid w:val="00BD6880"/>
    <w:rsid w:val="00BE7107"/>
    <w:rsid w:val="00BE77FC"/>
    <w:rsid w:val="00BF2BCB"/>
    <w:rsid w:val="00BF2CAB"/>
    <w:rsid w:val="00BF59DE"/>
    <w:rsid w:val="00C010B9"/>
    <w:rsid w:val="00C01F7D"/>
    <w:rsid w:val="00C13ADB"/>
    <w:rsid w:val="00C15D8A"/>
    <w:rsid w:val="00C169E4"/>
    <w:rsid w:val="00C206D8"/>
    <w:rsid w:val="00C24911"/>
    <w:rsid w:val="00C26FF8"/>
    <w:rsid w:val="00C31013"/>
    <w:rsid w:val="00C3320C"/>
    <w:rsid w:val="00C352F5"/>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5CEA"/>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5187"/>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7ADC"/>
    <w:rsid w:val="00E00F4B"/>
    <w:rsid w:val="00E016BC"/>
    <w:rsid w:val="00E05187"/>
    <w:rsid w:val="00E100A3"/>
    <w:rsid w:val="00E11479"/>
    <w:rsid w:val="00E13ACC"/>
    <w:rsid w:val="00E15F19"/>
    <w:rsid w:val="00E17491"/>
    <w:rsid w:val="00E177C3"/>
    <w:rsid w:val="00E25A3C"/>
    <w:rsid w:val="00E27414"/>
    <w:rsid w:val="00E3258C"/>
    <w:rsid w:val="00E36233"/>
    <w:rsid w:val="00E3635B"/>
    <w:rsid w:val="00E47ACD"/>
    <w:rsid w:val="00E53DB5"/>
    <w:rsid w:val="00E646E6"/>
    <w:rsid w:val="00E64CEE"/>
    <w:rsid w:val="00E661C1"/>
    <w:rsid w:val="00E673E7"/>
    <w:rsid w:val="00E73B65"/>
    <w:rsid w:val="00E752C3"/>
    <w:rsid w:val="00E85DFB"/>
    <w:rsid w:val="00E90420"/>
    <w:rsid w:val="00E93AE5"/>
    <w:rsid w:val="00E95002"/>
    <w:rsid w:val="00E9580F"/>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5363"/>
    <w:rsid w:val="00ED6180"/>
    <w:rsid w:val="00EE242E"/>
    <w:rsid w:val="00EF3414"/>
    <w:rsid w:val="00F006AC"/>
    <w:rsid w:val="00F014F0"/>
    <w:rsid w:val="00F07035"/>
    <w:rsid w:val="00F078D5"/>
    <w:rsid w:val="00F07C8D"/>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08E4"/>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352C"/>
    <w:rsid w:val="00FE4070"/>
    <w:rsid w:val="00FE4382"/>
    <w:rsid w:val="00FE4F93"/>
    <w:rsid w:val="00FE5C34"/>
    <w:rsid w:val="00FE66B5"/>
    <w:rsid w:val="00FE6B6D"/>
    <w:rsid w:val="00FF64A8"/>
    <w:rsid w:val="00FF69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A160B6C"/>
  <w15:docId w15:val="{E94121A2-1EE5-4C4A-8F5E-B3E50E51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customStyle="1" w:styleId="HLAVICKA">
    <w:name w:val="HLAVICKA"/>
    <w:basedOn w:val="Normln"/>
    <w:rsid w:val="00FE6B6D"/>
    <w:pPr>
      <w:tabs>
        <w:tab w:val="left" w:pos="284"/>
        <w:tab w:val="left" w:pos="1134"/>
      </w:tabs>
      <w:suppressAutoHyphens/>
      <w:overflowPunct w:val="0"/>
      <w:autoSpaceDE w:val="0"/>
      <w:spacing w:after="60"/>
      <w:textAlignment w:val="baseline"/>
    </w:pPr>
    <w:rPr>
      <w:sz w:val="20"/>
      <w:szCs w:val="20"/>
      <w:lang w:eastAsia="ar-SA"/>
    </w:rPr>
  </w:style>
  <w:style w:type="character" w:styleId="Hypertextovodkaz">
    <w:name w:val="Hyperlink"/>
    <w:basedOn w:val="Standardnpsmoodstavce"/>
    <w:uiPriority w:val="99"/>
    <w:unhideWhenUsed/>
    <w:rsid w:val="00684ACB"/>
    <w:rPr>
      <w:color w:val="0000FF" w:themeColor="hyperlink"/>
      <w:u w:val="single"/>
    </w:rPr>
  </w:style>
  <w:style w:type="paragraph" w:styleId="Zhlav">
    <w:name w:val="header"/>
    <w:basedOn w:val="Normln"/>
    <w:link w:val="ZhlavChar"/>
    <w:uiPriority w:val="99"/>
    <w:unhideWhenUsed/>
    <w:rsid w:val="00BF2BCB"/>
    <w:pPr>
      <w:tabs>
        <w:tab w:val="center" w:pos="4536"/>
        <w:tab w:val="right" w:pos="9072"/>
      </w:tabs>
    </w:pPr>
  </w:style>
  <w:style w:type="character" w:customStyle="1" w:styleId="ZhlavChar">
    <w:name w:val="Záhlaví Char"/>
    <w:basedOn w:val="Standardnpsmoodstavce"/>
    <w:link w:val="Zhlav"/>
    <w:uiPriority w:val="99"/>
    <w:rsid w:val="00BF2BCB"/>
    <w:rPr>
      <w:sz w:val="24"/>
      <w:szCs w:val="24"/>
    </w:rPr>
  </w:style>
  <w:style w:type="paragraph" w:styleId="Zpat">
    <w:name w:val="footer"/>
    <w:basedOn w:val="Normln"/>
    <w:link w:val="ZpatChar"/>
    <w:uiPriority w:val="99"/>
    <w:unhideWhenUsed/>
    <w:rsid w:val="00BF2BCB"/>
    <w:pPr>
      <w:tabs>
        <w:tab w:val="center" w:pos="4536"/>
        <w:tab w:val="right" w:pos="9072"/>
      </w:tabs>
    </w:pPr>
  </w:style>
  <w:style w:type="character" w:customStyle="1" w:styleId="ZpatChar">
    <w:name w:val="Zápatí Char"/>
    <w:basedOn w:val="Standardnpsmoodstavce"/>
    <w:link w:val="Zpat"/>
    <w:uiPriority w:val="99"/>
    <w:rsid w:val="00BF2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10889">
      <w:bodyDiv w:val="1"/>
      <w:marLeft w:val="0"/>
      <w:marRight w:val="0"/>
      <w:marTop w:val="0"/>
      <w:marBottom w:val="0"/>
      <w:divBdr>
        <w:top w:val="none" w:sz="0" w:space="0" w:color="auto"/>
        <w:left w:val="none" w:sz="0" w:space="0" w:color="auto"/>
        <w:bottom w:val="none" w:sz="0" w:space="0" w:color="auto"/>
        <w:right w:val="none" w:sz="0" w:space="0" w:color="auto"/>
      </w:divBdr>
    </w:div>
    <w:div w:id="803039545">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07631169">
      <w:bodyDiv w:val="1"/>
      <w:marLeft w:val="0"/>
      <w:marRight w:val="0"/>
      <w:marTop w:val="0"/>
      <w:marBottom w:val="0"/>
      <w:divBdr>
        <w:top w:val="none" w:sz="0" w:space="0" w:color="auto"/>
        <w:left w:val="none" w:sz="0" w:space="0" w:color="auto"/>
        <w:bottom w:val="none" w:sz="0" w:space="0" w:color="auto"/>
        <w:right w:val="none" w:sz="0" w:space="0" w:color="auto"/>
      </w:divBdr>
    </w:div>
    <w:div w:id="1224606994">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504853868">
      <w:bodyDiv w:val="1"/>
      <w:marLeft w:val="0"/>
      <w:marRight w:val="0"/>
      <w:marTop w:val="0"/>
      <w:marBottom w:val="0"/>
      <w:divBdr>
        <w:top w:val="none" w:sz="0" w:space="0" w:color="auto"/>
        <w:left w:val="none" w:sz="0" w:space="0" w:color="auto"/>
        <w:bottom w:val="none" w:sz="0" w:space="0" w:color="auto"/>
        <w:right w:val="none" w:sz="0" w:space="0" w:color="auto"/>
      </w:divBdr>
    </w:div>
    <w:div w:id="1542209702">
      <w:bodyDiv w:val="1"/>
      <w:marLeft w:val="0"/>
      <w:marRight w:val="0"/>
      <w:marTop w:val="0"/>
      <w:marBottom w:val="0"/>
      <w:divBdr>
        <w:top w:val="none" w:sz="0" w:space="0" w:color="auto"/>
        <w:left w:val="none" w:sz="0" w:space="0" w:color="auto"/>
        <w:bottom w:val="none" w:sz="0" w:space="0" w:color="auto"/>
        <w:right w:val="none" w:sz="0" w:space="0" w:color="auto"/>
      </w:divBdr>
    </w:div>
    <w:div w:id="1843009749">
      <w:bodyDiv w:val="1"/>
      <w:marLeft w:val="0"/>
      <w:marRight w:val="0"/>
      <w:marTop w:val="0"/>
      <w:marBottom w:val="0"/>
      <w:divBdr>
        <w:top w:val="none" w:sz="0" w:space="0" w:color="auto"/>
        <w:left w:val="none" w:sz="0" w:space="0" w:color="auto"/>
        <w:bottom w:val="none" w:sz="0" w:space="0" w:color="auto"/>
        <w:right w:val="none" w:sz="0" w:space="0" w:color="auto"/>
      </w:divBdr>
    </w:div>
    <w:div w:id="19874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F6A6-EB83-4E54-B6AE-5D05B8D8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15</TotalTime>
  <Pages>17</Pages>
  <Words>5641</Words>
  <Characters>33282</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Janouchová Miroslava</cp:lastModifiedBy>
  <cp:revision>4</cp:revision>
  <cp:lastPrinted>2018-09-21T11:39:00Z</cp:lastPrinted>
  <dcterms:created xsi:type="dcterms:W3CDTF">2022-06-28T06:59:00Z</dcterms:created>
  <dcterms:modified xsi:type="dcterms:W3CDTF">2022-07-01T10:24:00Z</dcterms:modified>
</cp:coreProperties>
</file>