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18" w:rsidRDefault="0049712E" w:rsidP="00DE64F2">
      <w:pPr>
        <w:pStyle w:val="Nadpis1"/>
        <w:spacing w:before="0" w:after="0" w:line="240" w:lineRule="auto"/>
        <w:rPr>
          <w:u w:val="single"/>
        </w:rPr>
      </w:pPr>
      <w:bookmarkStart w:id="0" w:name="_GoBack"/>
      <w:bookmarkEnd w:id="0"/>
      <w:r w:rsidRPr="00DE64F2">
        <w:rPr>
          <w:u w:val="single"/>
        </w:rPr>
        <w:t>Prohlášení dle čl. IV odst. 2 této smlouvy</w:t>
      </w:r>
    </w:p>
    <w:p w:rsidR="00DE64F2" w:rsidRPr="00DE64F2" w:rsidRDefault="00DE64F2" w:rsidP="00DE64F2">
      <w:pPr>
        <w:pStyle w:val="Nadpis1"/>
        <w:spacing w:before="0" w:after="0" w:line="240" w:lineRule="auto"/>
        <w:rPr>
          <w:u w:val="single"/>
        </w:rPr>
      </w:pPr>
    </w:p>
    <w:p w:rsidR="00294118" w:rsidRPr="00A20D6C" w:rsidRDefault="009063E6" w:rsidP="00FD1F4F">
      <w:p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Klient</w:t>
      </w:r>
      <w:r w:rsidR="00294118" w:rsidRPr="00A20D6C">
        <w:rPr>
          <w:rFonts w:ascii="Verdana" w:hAnsi="Verdana"/>
          <w:sz w:val="18"/>
          <w:szCs w:val="18"/>
        </w:rPr>
        <w:t xml:space="preserve"> podpisem smlouvy o poskytování poradenských služeb, jejímž předmětem je poskytování poradenských služeb potvrzuje, že se seznámil s klíčovými požadavky pravidel dotačního programu a</w:t>
      </w:r>
      <w:r w:rsidR="004F76FA">
        <w:rPr>
          <w:rFonts w:ascii="Verdana" w:hAnsi="Verdana"/>
          <w:sz w:val="18"/>
          <w:szCs w:val="18"/>
        </w:rPr>
        <w:t> </w:t>
      </w:r>
      <w:r w:rsidR="00294118" w:rsidRPr="00A20D6C">
        <w:rPr>
          <w:rFonts w:ascii="Verdana" w:hAnsi="Verdana"/>
          <w:sz w:val="18"/>
          <w:szCs w:val="18"/>
        </w:rPr>
        <w:t xml:space="preserve">dalšími požadavky právního řádu, na které jej v předchozí komunikaci explicitně upozornil </w:t>
      </w:r>
      <w:r w:rsidRPr="00A20D6C">
        <w:rPr>
          <w:rFonts w:ascii="Verdana" w:hAnsi="Verdana"/>
          <w:sz w:val="18"/>
          <w:szCs w:val="18"/>
        </w:rPr>
        <w:t>Poradce</w:t>
      </w:r>
      <w:r w:rsidR="00294118" w:rsidRPr="00A20D6C">
        <w:rPr>
          <w:rFonts w:ascii="Verdana" w:hAnsi="Verdana"/>
          <w:sz w:val="18"/>
          <w:szCs w:val="18"/>
        </w:rPr>
        <w:t>, a které se týkají především následujících oblastí:</w:t>
      </w:r>
    </w:p>
    <w:p w:rsidR="00294118" w:rsidRPr="00A20D6C" w:rsidRDefault="00294118" w:rsidP="00FD1F4F">
      <w:pPr>
        <w:pStyle w:val="Odstavecseseznamem"/>
        <w:numPr>
          <w:ilvl w:val="0"/>
          <w:numId w:val="21"/>
        </w:numPr>
        <w:suppressAutoHyphens w:val="0"/>
        <w:spacing w:after="60" w:line="264" w:lineRule="auto"/>
        <w:contextualSpacing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Aplikační výklad nařízení k tzv. definici Malého a středního podniku včetně souvisejících dokumentů, které jsou ke dni podpisu smlouvy k dispozici na webových stránkách </w:t>
      </w:r>
      <w:r w:rsidRPr="00A20D6C">
        <w:rPr>
          <w:rFonts w:ascii="Verdana" w:hAnsi="Verdana"/>
          <w:sz w:val="18"/>
          <w:szCs w:val="18"/>
        </w:rPr>
        <w:br/>
        <w:t>Agentury API (</w:t>
      </w:r>
      <w:hyperlink r:id="rId8" w:history="1">
        <w:r w:rsidRPr="00A20D6C">
          <w:rPr>
            <w:rStyle w:val="Hypertextovodkaz"/>
            <w:rFonts w:ascii="Verdana" w:eastAsia="OpenSymbol" w:hAnsi="Verdana"/>
            <w:sz w:val="18"/>
            <w:szCs w:val="18"/>
          </w:rPr>
          <w:t>https://www.agentura-api.org/metodika/msp/</w:t>
        </w:r>
      </w:hyperlink>
      <w:r w:rsidRPr="00A20D6C">
        <w:rPr>
          <w:rFonts w:ascii="Verdana" w:hAnsi="Verdana"/>
          <w:sz w:val="18"/>
          <w:szCs w:val="18"/>
        </w:rPr>
        <w:t xml:space="preserve">), přičemž se </w:t>
      </w:r>
      <w:r w:rsidR="009063E6" w:rsidRPr="00A20D6C">
        <w:rPr>
          <w:rFonts w:ascii="Verdana" w:hAnsi="Verdana"/>
          <w:sz w:val="18"/>
          <w:szCs w:val="18"/>
          <w:lang w:val="cs-CZ"/>
        </w:rPr>
        <w:t>Klient</w:t>
      </w:r>
      <w:r w:rsidRPr="00A20D6C">
        <w:rPr>
          <w:rFonts w:ascii="Verdana" w:hAnsi="Verdana"/>
          <w:sz w:val="18"/>
          <w:szCs w:val="18"/>
        </w:rPr>
        <w:t xml:space="preserve"> zavazuje poskytnout </w:t>
      </w:r>
      <w:r w:rsidR="009063E6" w:rsidRPr="00A20D6C">
        <w:rPr>
          <w:rFonts w:ascii="Verdana" w:hAnsi="Verdana"/>
          <w:sz w:val="18"/>
          <w:szCs w:val="18"/>
          <w:lang w:val="cs-CZ"/>
        </w:rPr>
        <w:t xml:space="preserve">Poradci </w:t>
      </w:r>
      <w:r w:rsidRPr="00A20D6C">
        <w:rPr>
          <w:rFonts w:ascii="Verdana" w:hAnsi="Verdana"/>
          <w:sz w:val="18"/>
          <w:szCs w:val="18"/>
        </w:rPr>
        <w:t xml:space="preserve">úplné a pravdivé informace o všech (dle uvedeného Aplikačního výkladu) propojených či partnerských osobách a subjektech. Současně bere </w:t>
      </w:r>
      <w:r w:rsidR="009063E6" w:rsidRPr="00A20D6C">
        <w:rPr>
          <w:rFonts w:ascii="Verdana" w:hAnsi="Verdana"/>
          <w:sz w:val="18"/>
          <w:szCs w:val="18"/>
          <w:lang w:val="cs-CZ"/>
        </w:rPr>
        <w:t>Klient</w:t>
      </w:r>
      <w:r w:rsidRPr="00A20D6C">
        <w:rPr>
          <w:rFonts w:ascii="Verdana" w:hAnsi="Verdana"/>
          <w:sz w:val="18"/>
          <w:szCs w:val="18"/>
        </w:rPr>
        <w:t xml:space="preserve"> na vědomí, že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 xml:space="preserve">vyhodnocení statusu velikosti jeho podniku je jeho odpovědností, </w:t>
      </w:r>
      <w:r w:rsidR="009063E6" w:rsidRPr="00A20D6C">
        <w:rPr>
          <w:rFonts w:ascii="Verdana" w:hAnsi="Verdana"/>
          <w:sz w:val="18"/>
          <w:szCs w:val="18"/>
          <w:lang w:val="cs-CZ"/>
        </w:rPr>
        <w:t>Poradce</w:t>
      </w:r>
      <w:r w:rsidRPr="00A20D6C">
        <w:rPr>
          <w:rFonts w:ascii="Verdana" w:hAnsi="Verdana"/>
          <w:sz w:val="18"/>
          <w:szCs w:val="18"/>
        </w:rPr>
        <w:t xml:space="preserve"> mu může poskytnout pouze nezávazné stanovisko, na základě kterého v žádném případě nelze předjímat rozhodnutí jakéhokoli orgánu.</w:t>
      </w:r>
    </w:p>
    <w:p w:rsidR="00294118" w:rsidRPr="00A20D6C" w:rsidRDefault="00294118" w:rsidP="00FD1F4F">
      <w:p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Dále </w:t>
      </w:r>
      <w:r w:rsidR="009063E6" w:rsidRPr="00A20D6C">
        <w:rPr>
          <w:rFonts w:ascii="Verdana" w:hAnsi="Verdana"/>
          <w:sz w:val="18"/>
          <w:szCs w:val="18"/>
        </w:rPr>
        <w:t>Klient</w:t>
      </w:r>
      <w:r w:rsidRPr="00A20D6C">
        <w:rPr>
          <w:rFonts w:ascii="Verdana" w:hAnsi="Verdana"/>
          <w:sz w:val="18"/>
          <w:szCs w:val="18"/>
        </w:rPr>
        <w:t xml:space="preserve"> v souladu s požadavky konkrétní Výzvy potvrzuje níže uvedené skutečnosti, přičemž bere na vědomí, že je nutné je plnit nepřetržitě po dobu realizace a udržitelnosti projektu: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je oprávněn k podnikání na území České republiky odpovídajícímu podporované ekonomické činnosti, k jejímuž uskutečňování je realizován projekt, nebo k provádění výzkumu a vývoje v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přírodních a technických věd nebo společenských věd, nebo že takovou podmínku bude splňovat ke dni vydání Rozhodnutí o poskytnutí dotace;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je registrován jako poplatník daně z příjmu v některém z členských států EU, a to nepřetržitě nejméně po dobu dvou uzavřených daňových období předcházejících datu podání žádosti o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podporu a zároveň bere na vědomí, že v okamžiku vyplacení podpory bude muset mít v České republice založenou provozovnu nebo pobočku;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nemá podle svého čestného prohlášení žádné nedoplatky vůči vybraným institucím v zemi svého sídla, popř. v zemi své pobočky a vůči poskytovatelům podpory z projektů spolufinancovaných z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rozpočtu Evropské unie, posečkání s úhradou nedoplatků nebo dohoda o úhradě nedoplatků se považují za vypořádané nedoplatky;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nemá podle svého čestného prohlášení nedoplatky z titulu mzdových nároků jeho zaměstnanců;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dle ustanovení § 136 zákona č. 182/2006 Sb. o úpadku a způsobech jeho řešení (insolvenční zákon) nebylo rozhodnuto o jeho úpadku (pokud je soudem povolena reorganizace, která je podnikem splněna, nenahlíží se na podnik jako na podnik v úpadku a podmínka pro poskytnutí dotace</w:t>
      </w:r>
      <w:r w:rsidR="009063E6" w:rsidRPr="00A20D6C">
        <w:rPr>
          <w:rFonts w:ascii="Verdana" w:hAnsi="Verdana"/>
          <w:sz w:val="18"/>
          <w:szCs w:val="18"/>
        </w:rPr>
        <w:t xml:space="preserve"> je tak splněna)</w:t>
      </w:r>
      <w:r w:rsidR="009063E6" w:rsidRPr="00A20D6C">
        <w:rPr>
          <w:rFonts w:ascii="Verdana" w:hAnsi="Verdana"/>
          <w:sz w:val="18"/>
          <w:szCs w:val="18"/>
          <w:lang w:val="cs-CZ"/>
        </w:rPr>
        <w:t>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soud nevydal usnesení o nařízení výkonu rozhodnutí na jeho majetek nebo nenařídil exekuci jeho majetku;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není v likvidaci;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nebyl mu soudem nebo správním orgánem uložen zákaz činnosti, týkající se provozování živnosti</w:t>
      </w:r>
      <w:r w:rsidR="009063E6" w:rsidRPr="00A20D6C">
        <w:rPr>
          <w:rFonts w:ascii="Verdana" w:hAnsi="Verdana"/>
          <w:sz w:val="18"/>
          <w:szCs w:val="18"/>
          <w:lang w:val="cs-CZ"/>
        </w:rPr>
        <w:t>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není podnikem v obtížích dle Nařízení Komise (EU) č. 651/2014 ze dne 17. června 2014, kterým se v souladu s články 107 a 108 Smlouvy o EU prohlašují určité kategorie podpory</w:t>
      </w:r>
      <w:r w:rsidR="009063E6" w:rsidRPr="00A20D6C">
        <w:rPr>
          <w:rFonts w:ascii="Verdana" w:hAnsi="Verdana"/>
          <w:sz w:val="18"/>
          <w:szCs w:val="18"/>
        </w:rPr>
        <w:t xml:space="preserve"> za slučitelné s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="009063E6" w:rsidRPr="00A20D6C">
        <w:rPr>
          <w:rFonts w:ascii="Verdana" w:hAnsi="Verdana"/>
          <w:sz w:val="18"/>
          <w:szCs w:val="18"/>
        </w:rPr>
        <w:t>vnitřním trhem</w:t>
      </w:r>
      <w:r w:rsidR="009063E6" w:rsidRPr="00A20D6C">
        <w:rPr>
          <w:rFonts w:ascii="Verdana" w:hAnsi="Verdana"/>
          <w:sz w:val="18"/>
          <w:szCs w:val="18"/>
          <w:lang w:val="cs-CZ"/>
        </w:rPr>
        <w:t>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zveřejní svou kompletní vlastnickou strukturu až do úrovně tzv. </w:t>
      </w:r>
      <w:proofErr w:type="spellStart"/>
      <w:r w:rsidRPr="00A20D6C">
        <w:rPr>
          <w:rFonts w:ascii="Verdana" w:hAnsi="Verdana"/>
          <w:sz w:val="18"/>
          <w:szCs w:val="18"/>
        </w:rPr>
        <w:t>ultimate</w:t>
      </w:r>
      <w:proofErr w:type="spellEnd"/>
      <w:r w:rsidRPr="00A20D6C">
        <w:rPr>
          <w:rFonts w:ascii="Verdana" w:hAnsi="Verdana"/>
          <w:sz w:val="18"/>
          <w:szCs w:val="18"/>
        </w:rPr>
        <w:t xml:space="preserve"> </w:t>
      </w:r>
      <w:proofErr w:type="spellStart"/>
      <w:r w:rsidRPr="00A20D6C">
        <w:rPr>
          <w:rFonts w:ascii="Verdana" w:hAnsi="Verdana"/>
          <w:sz w:val="18"/>
          <w:szCs w:val="18"/>
        </w:rPr>
        <w:t>ownera</w:t>
      </w:r>
      <w:proofErr w:type="spellEnd"/>
      <w:r w:rsidRPr="00A20D6C">
        <w:rPr>
          <w:rFonts w:ascii="Verdana" w:hAnsi="Verdana"/>
          <w:sz w:val="18"/>
          <w:szCs w:val="18"/>
        </w:rPr>
        <w:t>, přičemž pokud není žadatel, ani žádná ze společností, kterými je vlastněn přímo nebo zprostředkovaně, veřejně obchodovatelná, nemůže mít žádného vlastníka v daňovém ráji. Seznam daňových rájů dle Evropské komise je součástí Obecné dokumentace k výzvám OP PIK. Pokud žadatel nebo společnost, kterou je vlastněn přímo nebo zprostředkovaně, je veřejně obchodovatelná, musí mít vlastníky mimo daňové ráje minimálně ze 75 % z celkového podílu na vlastnické struktuře. Skutečný majitel (</w:t>
      </w:r>
      <w:proofErr w:type="spellStart"/>
      <w:r w:rsidRPr="00A20D6C">
        <w:rPr>
          <w:rFonts w:ascii="Verdana" w:hAnsi="Verdana"/>
          <w:sz w:val="18"/>
          <w:szCs w:val="18"/>
        </w:rPr>
        <w:t>ultimate</w:t>
      </w:r>
      <w:proofErr w:type="spellEnd"/>
      <w:r w:rsidRPr="00A20D6C">
        <w:rPr>
          <w:rFonts w:ascii="Verdana" w:hAnsi="Verdana"/>
          <w:sz w:val="18"/>
          <w:szCs w:val="18"/>
        </w:rPr>
        <w:t xml:space="preserve"> </w:t>
      </w:r>
      <w:proofErr w:type="spellStart"/>
      <w:r w:rsidRPr="00A20D6C">
        <w:rPr>
          <w:rFonts w:ascii="Verdana" w:hAnsi="Verdana"/>
          <w:sz w:val="18"/>
          <w:szCs w:val="18"/>
        </w:rPr>
        <w:t>owner</w:t>
      </w:r>
      <w:proofErr w:type="spellEnd"/>
      <w:r w:rsidRPr="00A20D6C">
        <w:rPr>
          <w:rFonts w:ascii="Verdana" w:hAnsi="Verdana"/>
          <w:sz w:val="18"/>
          <w:szCs w:val="18"/>
        </w:rPr>
        <w:t>) musí být doložen, pokud vlastní více než 25 % (a včetně) podílu z celkové vlastnické struktury žadatele. Poskytovatel podpory bude v rámci struktury vlastnických vztahů žadatele posuzovat případnou registraci sídla žadatele o podporu či jeho vlastníků v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daňových rájích. Žádost o podporu tedy nebude schválena žadateli se sídlem v některém z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 xml:space="preserve">daňových rájů, či žadateli, u něhož ve vlastnické struktuře, a to až ve vztahu k tzv. konečnému vlastníkovi, figurují subjekty založené v daňových rájích; s výjimkou do 25 % vlastnictví v takových </w:t>
      </w:r>
      <w:r w:rsidRPr="00A20D6C">
        <w:rPr>
          <w:rFonts w:ascii="Verdana" w:hAnsi="Verdana"/>
          <w:sz w:val="18"/>
          <w:szCs w:val="18"/>
        </w:rPr>
        <w:lastRenderedPageBreak/>
        <w:t>teritoriích v případě veřejně obchodovatelných společností (ve vazbě na 25% podíl na hlasovacích či vlastnických právech dle Aplikačního výkladu MSP, aby u veřejně obchodovatelných společností nedocházelo bez možností jejich vlivu k účelovému zneužívání zakoupení jedné či více akcií k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znevýhodnění konkurenta). Poskytovatel podpory bude v rámci výše uvedeného posuzování vlastnické struktury kontrolovat u žadatele také jeho případný střet zájmů dle platné národní legislativy. Poskytovatel podpory bude dále ověřovat velikost podniku ve vztahu k evropské definici malých a středních podniků, bude ověřovat vlastnickou strukturu žadatele v rozsahu požadovaném dle § 14, odst. 3, písm. e) zákona č. 218/2000Sb., o rozpočtových pravidlech. Nezbytným předpokladem k tomuto ověření bude čestné prohlášení žadatele, které žadatel přiloží k žádosti o</w:t>
      </w:r>
      <w:r w:rsidR="004F76FA">
        <w:rPr>
          <w:rFonts w:ascii="Verdana" w:hAnsi="Verdana"/>
          <w:sz w:val="18"/>
          <w:szCs w:val="18"/>
          <w:lang w:val="cs-CZ"/>
        </w:rPr>
        <w:t> </w:t>
      </w:r>
      <w:r w:rsidRPr="00A20D6C">
        <w:rPr>
          <w:rFonts w:ascii="Verdana" w:hAnsi="Verdana"/>
          <w:sz w:val="18"/>
          <w:szCs w:val="18"/>
        </w:rPr>
        <w:t>podporu jako povinnou přílohu a ve které bude charakterizována velikost podniku. Prohlášení bude dále obsahovat ekonomické výsledky ve vztahu k předepsaným parametrům evropské definice MSP. Poskytovatel podpory případně ověří skutečnosti v čestném prohlášení za využití systému ARACHNE nebo obdobného nástroje pro sledování vlastnických nebo kontrolních vazeb subjektů (např. systém ekonomických su</w:t>
      </w:r>
      <w:r w:rsidR="009063E6" w:rsidRPr="00A20D6C">
        <w:rPr>
          <w:rFonts w:ascii="Verdana" w:hAnsi="Verdana"/>
          <w:sz w:val="18"/>
          <w:szCs w:val="18"/>
        </w:rPr>
        <w:t>bjektů ARES)</w:t>
      </w:r>
      <w:r w:rsidR="009063E6" w:rsidRPr="00A20D6C">
        <w:rPr>
          <w:rFonts w:ascii="Verdana" w:hAnsi="Verdana"/>
          <w:sz w:val="18"/>
          <w:szCs w:val="18"/>
          <w:lang w:val="cs-CZ"/>
        </w:rPr>
        <w:t>;</w:t>
      </w:r>
    </w:p>
    <w:p w:rsidR="00294118" w:rsidRPr="00A20D6C" w:rsidRDefault="00294118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plní povinnosti dle zákona č. 563/1991 Sb., zákona o účetnictví, zejména povinnost zveřejnit účetní závěrku v příslušném rejstříku ve smyslu zákona č. 304/2013 Sb., o veřejných rejstřících právnických a fyzických osob. Tento odstavec se týká jen těch subjektů, které takové povinnosti mají uloženy. V případě subjektů, které nemají tuto povinnost stanovenou zákonem za celé toto období, bude její plnění kontrolováno za období, za které mají tuto povinnost stanovenou.</w:t>
      </w:r>
    </w:p>
    <w:p w:rsidR="00294118" w:rsidRPr="00A20D6C" w:rsidRDefault="0033091A" w:rsidP="00A20D6C">
      <w:pPr>
        <w:pStyle w:val="Odstavecseseznamem"/>
        <w:numPr>
          <w:ilvl w:val="0"/>
          <w:numId w:val="30"/>
        </w:num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33091A">
        <w:rPr>
          <w:rFonts w:ascii="Verdana" w:hAnsi="Verdana"/>
          <w:sz w:val="18"/>
          <w:szCs w:val="18"/>
        </w:rPr>
        <w:t>nepodléhá povinnosti evidovat skutečného majitele podle zákona č. 37/2021 Sb., o evidenci skutečných majitelů</w:t>
      </w:r>
      <w:r w:rsidR="00294118" w:rsidRPr="00A20D6C">
        <w:rPr>
          <w:rFonts w:ascii="Verdana" w:hAnsi="Verdana"/>
          <w:sz w:val="18"/>
          <w:szCs w:val="18"/>
        </w:rPr>
        <w:t>.</w:t>
      </w:r>
    </w:p>
    <w:p w:rsidR="00294118" w:rsidRPr="00A20D6C" w:rsidRDefault="00294118" w:rsidP="00FD1F4F">
      <w:p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Dále si je </w:t>
      </w:r>
      <w:r w:rsidR="009063E6" w:rsidRPr="00A20D6C">
        <w:rPr>
          <w:rFonts w:ascii="Verdana" w:hAnsi="Verdana"/>
          <w:sz w:val="18"/>
          <w:szCs w:val="18"/>
        </w:rPr>
        <w:t>Klient</w:t>
      </w:r>
      <w:r w:rsidRPr="00A20D6C">
        <w:rPr>
          <w:rFonts w:ascii="Verdana" w:hAnsi="Verdana"/>
          <w:sz w:val="18"/>
          <w:szCs w:val="18"/>
        </w:rPr>
        <w:t xml:space="preserve"> vědom, že případná žádost o poskytnutí dotace nebude schválena (nebude vydáno Rozhodnutí) nebo vyplacena podpora, pokud </w:t>
      </w:r>
      <w:r w:rsidR="009063E6" w:rsidRPr="00A20D6C">
        <w:rPr>
          <w:rFonts w:ascii="Verdana" w:hAnsi="Verdana"/>
          <w:sz w:val="18"/>
          <w:szCs w:val="18"/>
        </w:rPr>
        <w:t>Klient</w:t>
      </w:r>
      <w:r w:rsidRPr="00A20D6C">
        <w:rPr>
          <w:rFonts w:ascii="Verdana" w:hAnsi="Verdana"/>
          <w:sz w:val="18"/>
          <w:szCs w:val="18"/>
        </w:rPr>
        <w:t xml:space="preserve"> bude mít neuhrazený závazek vzniklý na základě inkasního příkazu vystaveného v návaznosti na rozhodnutí Komise, jímž je podpora prohlášena za</w:t>
      </w:r>
      <w:r w:rsidR="004F76FA">
        <w:rPr>
          <w:rFonts w:ascii="Verdana" w:hAnsi="Verdana"/>
          <w:sz w:val="18"/>
          <w:szCs w:val="18"/>
        </w:rPr>
        <w:t> </w:t>
      </w:r>
      <w:r w:rsidRPr="00A20D6C">
        <w:rPr>
          <w:rFonts w:ascii="Verdana" w:hAnsi="Verdana"/>
          <w:sz w:val="18"/>
          <w:szCs w:val="18"/>
        </w:rPr>
        <w:t>protiprávní a neslučitelná s vnitřním trhem.</w:t>
      </w:r>
    </w:p>
    <w:p w:rsidR="00294118" w:rsidRPr="00A20D6C" w:rsidRDefault="00294118" w:rsidP="00FD1F4F">
      <w:p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Dále si je plně vědom, že se v případě uvádění nepravdivých údajů v jakékoliv fázi přípravy, realizace či udržitelnosti dotačního projektu se vystavuje nebezpečí trestního stíhání (§ 125 trestního zákona). </w:t>
      </w:r>
      <w:r w:rsidR="009063E6" w:rsidRPr="00A20D6C">
        <w:rPr>
          <w:rFonts w:ascii="Verdana" w:hAnsi="Verdana"/>
          <w:sz w:val="18"/>
          <w:szCs w:val="18"/>
        </w:rPr>
        <w:t xml:space="preserve">Klient </w:t>
      </w:r>
      <w:r w:rsidRPr="00A20D6C">
        <w:rPr>
          <w:rFonts w:ascii="Verdana" w:hAnsi="Verdana"/>
          <w:sz w:val="18"/>
          <w:szCs w:val="18"/>
        </w:rPr>
        <w:t xml:space="preserve">byl výslovně upozorněn, že </w:t>
      </w:r>
      <w:r w:rsidR="009063E6" w:rsidRPr="00A20D6C">
        <w:rPr>
          <w:rFonts w:ascii="Verdana" w:hAnsi="Verdana"/>
          <w:sz w:val="18"/>
          <w:szCs w:val="18"/>
        </w:rPr>
        <w:t>Poradce</w:t>
      </w:r>
      <w:r w:rsidRPr="00A20D6C">
        <w:rPr>
          <w:rFonts w:ascii="Verdana" w:hAnsi="Verdana"/>
          <w:sz w:val="18"/>
          <w:szCs w:val="18"/>
        </w:rPr>
        <w:t xml:space="preserve"> považuje všechny informace získané od </w:t>
      </w:r>
      <w:r w:rsidR="009063E6" w:rsidRPr="00A20D6C">
        <w:rPr>
          <w:rFonts w:ascii="Verdana" w:hAnsi="Verdana"/>
          <w:sz w:val="18"/>
          <w:szCs w:val="18"/>
        </w:rPr>
        <w:t>Klienta</w:t>
      </w:r>
      <w:r w:rsidRPr="00A20D6C">
        <w:rPr>
          <w:rFonts w:ascii="Verdana" w:hAnsi="Verdana"/>
          <w:sz w:val="18"/>
          <w:szCs w:val="18"/>
        </w:rPr>
        <w:t xml:space="preserve"> za pravdivé, tj. neověřuje jejich pravdivost, není k tomu povinen, ani toho není s ohledem na povahu věci schopen.</w:t>
      </w:r>
    </w:p>
    <w:p w:rsidR="00294118" w:rsidRPr="00A20D6C" w:rsidRDefault="00294118" w:rsidP="00FD1F4F">
      <w:pPr>
        <w:spacing w:after="60" w:line="264" w:lineRule="auto"/>
        <w:jc w:val="both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 xml:space="preserve">Dále si je </w:t>
      </w:r>
      <w:r w:rsidR="009063E6" w:rsidRPr="00A20D6C">
        <w:rPr>
          <w:rFonts w:ascii="Verdana" w:hAnsi="Verdana"/>
          <w:sz w:val="18"/>
          <w:szCs w:val="18"/>
        </w:rPr>
        <w:t>Klient</w:t>
      </w:r>
      <w:r w:rsidRPr="00A20D6C">
        <w:rPr>
          <w:rFonts w:ascii="Verdana" w:hAnsi="Verdana"/>
          <w:sz w:val="18"/>
          <w:szCs w:val="18"/>
        </w:rPr>
        <w:t xml:space="preserve"> vědom, že případná žádost o poskytnutí dotace nebude schválena (nebude vydáno Rozhodnutí) nebo vyplacena podpora, pokud </w:t>
      </w:r>
      <w:r w:rsidR="009063E6" w:rsidRPr="00A20D6C">
        <w:rPr>
          <w:rFonts w:ascii="Verdana" w:hAnsi="Verdana"/>
          <w:sz w:val="18"/>
          <w:szCs w:val="18"/>
        </w:rPr>
        <w:t>Klient</w:t>
      </w:r>
      <w:r w:rsidRPr="00A20D6C">
        <w:rPr>
          <w:rFonts w:ascii="Verdana" w:hAnsi="Verdana"/>
          <w:sz w:val="18"/>
          <w:szCs w:val="18"/>
        </w:rPr>
        <w:t xml:space="preserve"> má formu společnosti s ručením omezeným, kde je k podílu (podílům) společníka (společníků) vydán kmenový list podle § 137 zákona č. 90/2012 Sb., o obchodních společnostech a družstvech (zákon o obchodních korporacích).</w:t>
      </w:r>
    </w:p>
    <w:p w:rsidR="00294118" w:rsidRPr="00A20D6C" w:rsidRDefault="00294118" w:rsidP="00FD1F4F">
      <w:pPr>
        <w:spacing w:after="60" w:line="264" w:lineRule="auto"/>
        <w:rPr>
          <w:rFonts w:ascii="Verdana" w:hAnsi="Verdana"/>
          <w:sz w:val="18"/>
          <w:szCs w:val="18"/>
        </w:rPr>
      </w:pPr>
    </w:p>
    <w:p w:rsidR="0061667D" w:rsidRPr="00A20D6C" w:rsidRDefault="0061667D" w:rsidP="0061667D">
      <w:pPr>
        <w:suppressAutoHyphens/>
        <w:spacing w:after="60" w:line="264" w:lineRule="auto"/>
        <w:rPr>
          <w:rFonts w:ascii="Verdana" w:hAnsi="Verdana"/>
          <w:sz w:val="18"/>
          <w:szCs w:val="18"/>
        </w:rPr>
      </w:pPr>
      <w:r w:rsidRPr="00A20D6C">
        <w:rPr>
          <w:rFonts w:ascii="Verdana" w:hAnsi="Verdana"/>
          <w:sz w:val="18"/>
          <w:szCs w:val="18"/>
        </w:rPr>
        <w:t>V</w:t>
      </w:r>
      <w:r w:rsidR="00DE64F2">
        <w:rPr>
          <w:rFonts w:ascii="Verdana" w:hAnsi="Verdana"/>
          <w:sz w:val="18"/>
          <w:szCs w:val="18"/>
        </w:rPr>
        <w:t> Kralupech nad Vltavou</w:t>
      </w:r>
      <w:r w:rsidRPr="00A20D6C">
        <w:rPr>
          <w:rFonts w:ascii="Verdana" w:hAnsi="Verdana"/>
          <w:sz w:val="18"/>
          <w:szCs w:val="18"/>
        </w:rPr>
        <w:t xml:space="preserve"> dne …………..</w:t>
      </w:r>
    </w:p>
    <w:p w:rsidR="0061667D" w:rsidRDefault="0061667D" w:rsidP="0061667D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</w:p>
    <w:p w:rsidR="004D1D51" w:rsidRDefault="004D1D51" w:rsidP="0061667D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</w:p>
    <w:p w:rsidR="004D1D51" w:rsidRPr="00A20D6C" w:rsidRDefault="004D1D51" w:rsidP="0061667D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</w:p>
    <w:p w:rsidR="004D1D51" w:rsidRPr="00FD1F4F" w:rsidRDefault="004D1D51" w:rsidP="004D1D51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>………………………………………….....</w:t>
      </w:r>
    </w:p>
    <w:p w:rsidR="004D1D51" w:rsidRPr="00FD1F4F" w:rsidRDefault="004D1D51" w:rsidP="004D1D51">
      <w:pPr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 xml:space="preserve">za </w:t>
      </w:r>
      <w:r w:rsidRPr="00EA7670">
        <w:rPr>
          <w:rFonts w:ascii="Verdana" w:hAnsi="Verdana"/>
          <w:b/>
          <w:sz w:val="20"/>
          <w:szCs w:val="20"/>
        </w:rPr>
        <w:t>MERO ČR, a.s.</w:t>
      </w:r>
    </w:p>
    <w:p w:rsidR="004D1D51" w:rsidRDefault="004D1D51" w:rsidP="004D1D51">
      <w:pPr>
        <w:spacing w:after="60" w:line="264" w:lineRule="auto"/>
        <w:ind w:left="4320" w:hanging="4320"/>
        <w:rPr>
          <w:rFonts w:ascii="Verdana" w:hAnsi="Verdana"/>
          <w:sz w:val="20"/>
          <w:szCs w:val="20"/>
          <w:highlight w:val="yellow"/>
        </w:rPr>
      </w:pPr>
      <w:r w:rsidRPr="004D1D51">
        <w:rPr>
          <w:rFonts w:ascii="Verdana" w:hAnsi="Verdana"/>
          <w:sz w:val="20"/>
          <w:szCs w:val="20"/>
        </w:rPr>
        <w:t>Ing. Marion Liptak, vedoucí oddělení investic a strategického rozvoje</w:t>
      </w:r>
    </w:p>
    <w:p w:rsidR="0019031F" w:rsidRPr="00FD1F4F" w:rsidRDefault="0019031F" w:rsidP="004D1D51">
      <w:pPr>
        <w:widowControl w:val="0"/>
        <w:spacing w:after="60" w:line="264" w:lineRule="auto"/>
        <w:rPr>
          <w:rFonts w:ascii="Verdana" w:hAnsi="Verdana"/>
          <w:sz w:val="17"/>
          <w:szCs w:val="17"/>
        </w:rPr>
      </w:pPr>
    </w:p>
    <w:sectPr w:rsidR="0019031F" w:rsidRPr="00FD1F4F" w:rsidSect="00DE64F2">
      <w:headerReference w:type="default" r:id="rId9"/>
      <w:footerReference w:type="default" r:id="rId10"/>
      <w:pgSz w:w="11906" w:h="16838"/>
      <w:pgMar w:top="1702" w:right="1274" w:bottom="1560" w:left="1418" w:header="864" w:footer="0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AD1" w16cex:dateUtc="2022-06-20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4E" w:rsidRDefault="00B8784E">
      <w:r>
        <w:separator/>
      </w:r>
    </w:p>
  </w:endnote>
  <w:endnote w:type="continuationSeparator" w:id="0">
    <w:p w:rsidR="00B8784E" w:rsidRDefault="00B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73" w:rsidRDefault="009B2573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4144" behindDoc="1" locked="0" layoutInCell="1" allowOverlap="1" wp14:anchorId="26B97E32" wp14:editId="352B1311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42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508730EA" wp14:editId="6D6C749F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43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74C2DC03" wp14:editId="727F60CA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44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1BB10F69" wp14:editId="72A8E384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45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542D3DE1" wp14:editId="66ABD58D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46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2C62E1" wp14:editId="66DA37B7">
              <wp:simplePos x="0" y="0"/>
              <wp:positionH relativeFrom="page">
                <wp:posOffset>1004364</wp:posOffset>
              </wp:positionH>
              <wp:positionV relativeFrom="page">
                <wp:posOffset>10053320</wp:posOffset>
              </wp:positionV>
              <wp:extent cx="1071245" cy="262255"/>
              <wp:effectExtent l="0" t="0" r="14605" b="1651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573" w:rsidRPr="00F158CC" w:rsidRDefault="009B2573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proofErr w:type="spellStart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</w:t>
                          </w:r>
                          <w:proofErr w:type="spellEnd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C62E1" id="Tvar2" o:spid="_x0000_s1026" style="position:absolute;margin-left:79.1pt;margin-top:791.6pt;width:84.35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" filled="f" stroked="f">
              <v:path arrowok="t"/>
              <v:textbox style="mso-fit-shape-to-text:t" inset="0,0,0,0">
                <w:txbxContent>
                  <w:p w:rsidR="009B2573" w:rsidRPr="00F158CC" w:rsidRDefault="009B2573">
                    <w:pPr>
                      <w:pStyle w:val="Obsahrmce"/>
                      <w:overflowPunct w:val="0"/>
                      <w:rPr>
                        <w:b/>
                      </w:rPr>
                    </w:pPr>
                    <w:proofErr w:type="spellStart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</w:t>
                    </w:r>
                    <w:proofErr w:type="spellEnd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98497C" wp14:editId="59480A5D">
              <wp:simplePos x="0" y="0"/>
              <wp:positionH relativeFrom="column">
                <wp:posOffset>4527121</wp:posOffset>
              </wp:positionH>
              <wp:positionV relativeFrom="paragraph">
                <wp:posOffset>136525</wp:posOffset>
              </wp:positionV>
              <wp:extent cx="1071245" cy="329565"/>
              <wp:effectExtent l="0" t="0" r="14605" b="1143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18782A" w:rsidRDefault="00D836CE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hyperlink r:id="rId6" w:history="1">
                            <w:r w:rsidR="009B2573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9B2573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8497C" id="_x0000_s1027" style="position:absolute;margin-left:356.45pt;margin-top:10.75pt;width:84.35pt;height:25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" filled="f" stroked="f">
              <v:textbox style="mso-fit-shape-to-text:t" inset="0,0,0,0">
                <w:txbxContent>
                  <w:p w:rsidR="009B2573" w:rsidRPr="0018782A" w:rsidRDefault="00DE64F2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="009B2573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9B2573"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C27657" wp14:editId="2E42B84E">
              <wp:simplePos x="0" y="0"/>
              <wp:positionH relativeFrom="column">
                <wp:posOffset>3102181</wp:posOffset>
              </wp:positionH>
              <wp:positionV relativeFrom="paragraph">
                <wp:posOffset>140970</wp:posOffset>
              </wp:positionV>
              <wp:extent cx="1071245" cy="332105"/>
              <wp:effectExtent l="0" t="0" r="14605" b="11430"/>
              <wp:wrapNone/>
              <wp:docPr id="13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Default="009B2573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27657" id="_x0000_s1028" style="position:absolute;margin-left:244.25pt;margin-top:11.1pt;width:84.35pt;height:26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" filled="f" stroked="f">
              <v:textbox style="mso-fit-shape-to-text:t" inset="0,0,0,0">
                <w:txbxContent>
                  <w:p w:rsidR="009B2573" w:rsidRDefault="009B2573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A553DD" wp14:editId="718F22B8">
              <wp:simplePos x="0" y="0"/>
              <wp:positionH relativeFrom="column">
                <wp:posOffset>1694180</wp:posOffset>
              </wp:positionH>
              <wp:positionV relativeFrom="paragraph">
                <wp:posOffset>150924</wp:posOffset>
              </wp:positionV>
              <wp:extent cx="1071245" cy="329565"/>
              <wp:effectExtent l="0" t="0" r="14605" b="7620"/>
              <wp:wrapNone/>
              <wp:docPr id="1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EF2A9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</w:t>
                          </w:r>
                          <w:proofErr w:type="gramStart"/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115b</w:t>
                          </w:r>
                          <w:proofErr w:type="gramEnd"/>
                        </w:p>
                        <w:p w:rsidR="009B257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:rsidR="009B2573" w:rsidRPr="004461E9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553DD" id="_x0000_s1029" style="position:absolute;margin-left:133.4pt;margin-top:11.9pt;width:84.35pt;height:25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" filled="f" stroked="f">
              <v:textbox style="mso-fit-shape-to-text:t" inset="0,0,0,0">
                <w:txbxContent>
                  <w:p w:rsidR="009B2573" w:rsidRPr="00EF2A9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Sokolovská 695/</w:t>
                    </w:r>
                    <w:proofErr w:type="gramStart"/>
                    <w:r w:rsidRPr="00EF2A93">
                      <w:rPr>
                        <w:color w:val="ED1A3B"/>
                        <w:sz w:val="12"/>
                        <w:szCs w:val="12"/>
                      </w:rPr>
                      <w:t>115b</w:t>
                    </w:r>
                    <w:proofErr w:type="gramEnd"/>
                  </w:p>
                  <w:p w:rsidR="009B257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:rsidR="009B2573" w:rsidRPr="004461E9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:rsidR="009B2573" w:rsidRDefault="009B2573" w:rsidP="00AE2FEF">
    <w:pPr>
      <w:pStyle w:val="Zpat"/>
      <w:tabs>
        <w:tab w:val="clear" w:pos="4819"/>
        <w:tab w:val="clear" w:pos="9638"/>
        <w:tab w:val="center" w:pos="975"/>
      </w:tabs>
      <w:rPr>
        <w:rFonts w:ascii="Gordita" w:hAnsi="Gordita"/>
        <w:b/>
        <w:bCs/>
        <w:sz w:val="18"/>
        <w:szCs w:val="18"/>
      </w:rPr>
    </w:pPr>
  </w:p>
  <w:p w:rsidR="009B2573" w:rsidRDefault="009B2573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4E" w:rsidRDefault="00B8784E">
      <w:r>
        <w:separator/>
      </w:r>
    </w:p>
  </w:footnote>
  <w:footnote w:type="continuationSeparator" w:id="0">
    <w:p w:rsidR="00B8784E" w:rsidRDefault="00B8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73" w:rsidRDefault="009B2573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81A0E9" wp14:editId="1607078E">
          <wp:simplePos x="0" y="0"/>
          <wp:positionH relativeFrom="column">
            <wp:posOffset>3881755</wp:posOffset>
          </wp:positionH>
          <wp:positionV relativeFrom="paragraph">
            <wp:posOffset>-303530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41" name="Obrázek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  <w:p w:rsidR="00DE64F2" w:rsidRDefault="00DE64F2" w:rsidP="00DE64F2">
    <w:pPr>
      <w:pStyle w:val="Zhlav"/>
      <w:tabs>
        <w:tab w:val="left" w:pos="5518"/>
      </w:tabs>
      <w:jc w:val="right"/>
      <w:rPr>
        <w:rFonts w:ascii="Gordita Bold" w:hAnsi="Gordita Bold"/>
        <w:szCs w:val="20"/>
      </w:rPr>
    </w:pPr>
    <w:r w:rsidRPr="00C35C48">
      <w:rPr>
        <w:rFonts w:ascii="Gordita Bold" w:hAnsi="Gordita Bold"/>
        <w:sz w:val="18"/>
        <w:szCs w:val="18"/>
      </w:rPr>
      <w:t xml:space="preserve">Příloha č. </w:t>
    </w:r>
    <w:r>
      <w:rPr>
        <w:rFonts w:ascii="Gordita Bold" w:hAnsi="Gordita Bold"/>
        <w:sz w:val="18"/>
        <w:szCs w:val="18"/>
      </w:rPr>
      <w:t>2</w:t>
    </w:r>
    <w:r w:rsidRPr="00C35C48">
      <w:rPr>
        <w:rFonts w:ascii="Gordita Bold" w:hAnsi="Gordita Bold"/>
        <w:sz w:val="18"/>
        <w:szCs w:val="18"/>
      </w:rPr>
      <w:t xml:space="preserve"> k 01225/INV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8D648C"/>
    <w:multiLevelType w:val="hybridMultilevel"/>
    <w:tmpl w:val="C43E2E4C"/>
    <w:lvl w:ilvl="0" w:tplc="809A24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474"/>
    <w:multiLevelType w:val="hybridMultilevel"/>
    <w:tmpl w:val="61AC91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B66585"/>
    <w:multiLevelType w:val="hybridMultilevel"/>
    <w:tmpl w:val="F4724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E5422E"/>
    <w:multiLevelType w:val="hybridMultilevel"/>
    <w:tmpl w:val="AC8C0A10"/>
    <w:lvl w:ilvl="0" w:tplc="B8D40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1AB0"/>
    <w:multiLevelType w:val="hybridMultilevel"/>
    <w:tmpl w:val="A7D65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5337E"/>
    <w:multiLevelType w:val="hybridMultilevel"/>
    <w:tmpl w:val="87184D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470E"/>
    <w:multiLevelType w:val="hybridMultilevel"/>
    <w:tmpl w:val="1110EFB4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A085D4C"/>
    <w:multiLevelType w:val="hybridMultilevel"/>
    <w:tmpl w:val="3998C61C"/>
    <w:lvl w:ilvl="0" w:tplc="97F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26"/>
  </w:num>
  <w:num w:numId="5">
    <w:abstractNumId w:val="7"/>
  </w:num>
  <w:num w:numId="6">
    <w:abstractNumId w:val="22"/>
  </w:num>
  <w:num w:numId="7">
    <w:abstractNumId w:val="18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0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13"/>
  </w:num>
  <w:num w:numId="28">
    <w:abstractNumId w:val="16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18"/>
    <w:rsid w:val="000154BB"/>
    <w:rsid w:val="00021F53"/>
    <w:rsid w:val="000226B4"/>
    <w:rsid w:val="00023D75"/>
    <w:rsid w:val="000317D3"/>
    <w:rsid w:val="00044B1B"/>
    <w:rsid w:val="00046545"/>
    <w:rsid w:val="000528B0"/>
    <w:rsid w:val="00053547"/>
    <w:rsid w:val="000546E1"/>
    <w:rsid w:val="00070180"/>
    <w:rsid w:val="000735E8"/>
    <w:rsid w:val="00073CAE"/>
    <w:rsid w:val="00073D66"/>
    <w:rsid w:val="00080A14"/>
    <w:rsid w:val="000A64FD"/>
    <w:rsid w:val="000A6AEC"/>
    <w:rsid w:val="000B0A0D"/>
    <w:rsid w:val="000D0970"/>
    <w:rsid w:val="000D1630"/>
    <w:rsid w:val="000D34A7"/>
    <w:rsid w:val="000E28D4"/>
    <w:rsid w:val="000F310A"/>
    <w:rsid w:val="000F5FA8"/>
    <w:rsid w:val="000F61A7"/>
    <w:rsid w:val="00102AE1"/>
    <w:rsid w:val="00104841"/>
    <w:rsid w:val="00105B7B"/>
    <w:rsid w:val="0011301A"/>
    <w:rsid w:val="001246F2"/>
    <w:rsid w:val="001326F0"/>
    <w:rsid w:val="00134EA7"/>
    <w:rsid w:val="00142557"/>
    <w:rsid w:val="00157C49"/>
    <w:rsid w:val="001644F6"/>
    <w:rsid w:val="00167284"/>
    <w:rsid w:val="001716FA"/>
    <w:rsid w:val="00173D05"/>
    <w:rsid w:val="0017472C"/>
    <w:rsid w:val="00176101"/>
    <w:rsid w:val="00181700"/>
    <w:rsid w:val="00181AAA"/>
    <w:rsid w:val="0018346D"/>
    <w:rsid w:val="0018782A"/>
    <w:rsid w:val="0019031F"/>
    <w:rsid w:val="00190421"/>
    <w:rsid w:val="001A78B7"/>
    <w:rsid w:val="001A7ABD"/>
    <w:rsid w:val="001B1C31"/>
    <w:rsid w:val="001C71DE"/>
    <w:rsid w:val="001D0F29"/>
    <w:rsid w:val="001D59C9"/>
    <w:rsid w:val="001E070B"/>
    <w:rsid w:val="001E0ADD"/>
    <w:rsid w:val="001E179C"/>
    <w:rsid w:val="001E41B1"/>
    <w:rsid w:val="001E7218"/>
    <w:rsid w:val="00202B7A"/>
    <w:rsid w:val="00205245"/>
    <w:rsid w:val="002330B2"/>
    <w:rsid w:val="00235FA0"/>
    <w:rsid w:val="002366E5"/>
    <w:rsid w:val="00240E39"/>
    <w:rsid w:val="00245025"/>
    <w:rsid w:val="0024666B"/>
    <w:rsid w:val="002538D4"/>
    <w:rsid w:val="002546B7"/>
    <w:rsid w:val="002566C9"/>
    <w:rsid w:val="00262C0D"/>
    <w:rsid w:val="00274DBD"/>
    <w:rsid w:val="002801C3"/>
    <w:rsid w:val="0028035F"/>
    <w:rsid w:val="002820C9"/>
    <w:rsid w:val="0028260C"/>
    <w:rsid w:val="00284490"/>
    <w:rsid w:val="00284A8F"/>
    <w:rsid w:val="00286141"/>
    <w:rsid w:val="0029027B"/>
    <w:rsid w:val="00294118"/>
    <w:rsid w:val="002B3FD6"/>
    <w:rsid w:val="002B7DD0"/>
    <w:rsid w:val="002C13FC"/>
    <w:rsid w:val="002C344E"/>
    <w:rsid w:val="002D35C8"/>
    <w:rsid w:val="002D4E3E"/>
    <w:rsid w:val="002E67B1"/>
    <w:rsid w:val="002F24A9"/>
    <w:rsid w:val="002F4515"/>
    <w:rsid w:val="002F5A68"/>
    <w:rsid w:val="00302AC0"/>
    <w:rsid w:val="00312EF1"/>
    <w:rsid w:val="00313C20"/>
    <w:rsid w:val="00323061"/>
    <w:rsid w:val="0032570D"/>
    <w:rsid w:val="0033091A"/>
    <w:rsid w:val="003314AA"/>
    <w:rsid w:val="00332845"/>
    <w:rsid w:val="003629E2"/>
    <w:rsid w:val="0036356C"/>
    <w:rsid w:val="00366AB0"/>
    <w:rsid w:val="00375382"/>
    <w:rsid w:val="00375922"/>
    <w:rsid w:val="003766F9"/>
    <w:rsid w:val="00385427"/>
    <w:rsid w:val="00394E60"/>
    <w:rsid w:val="003A2F09"/>
    <w:rsid w:val="003B6D4F"/>
    <w:rsid w:val="003C4D6D"/>
    <w:rsid w:val="003C7DF5"/>
    <w:rsid w:val="003F5139"/>
    <w:rsid w:val="003F5999"/>
    <w:rsid w:val="003F6011"/>
    <w:rsid w:val="00433659"/>
    <w:rsid w:val="004461E9"/>
    <w:rsid w:val="00450A87"/>
    <w:rsid w:val="004553E4"/>
    <w:rsid w:val="00466F70"/>
    <w:rsid w:val="0047319D"/>
    <w:rsid w:val="004861EB"/>
    <w:rsid w:val="00486CD1"/>
    <w:rsid w:val="0049317E"/>
    <w:rsid w:val="0049712E"/>
    <w:rsid w:val="004A768B"/>
    <w:rsid w:val="004B0AD2"/>
    <w:rsid w:val="004B69A6"/>
    <w:rsid w:val="004B73EA"/>
    <w:rsid w:val="004C069F"/>
    <w:rsid w:val="004C2076"/>
    <w:rsid w:val="004D1D51"/>
    <w:rsid w:val="004E2EFE"/>
    <w:rsid w:val="004F76FA"/>
    <w:rsid w:val="00512318"/>
    <w:rsid w:val="0051244E"/>
    <w:rsid w:val="005222F7"/>
    <w:rsid w:val="0052699A"/>
    <w:rsid w:val="00531D02"/>
    <w:rsid w:val="00556984"/>
    <w:rsid w:val="00580DFA"/>
    <w:rsid w:val="0058271A"/>
    <w:rsid w:val="00586323"/>
    <w:rsid w:val="00593093"/>
    <w:rsid w:val="005A4DA9"/>
    <w:rsid w:val="005B0591"/>
    <w:rsid w:val="005C529B"/>
    <w:rsid w:val="005D2257"/>
    <w:rsid w:val="005D71F2"/>
    <w:rsid w:val="005E0752"/>
    <w:rsid w:val="005E75BA"/>
    <w:rsid w:val="005F6AA0"/>
    <w:rsid w:val="00601EAC"/>
    <w:rsid w:val="006075DE"/>
    <w:rsid w:val="0061667D"/>
    <w:rsid w:val="00616F7B"/>
    <w:rsid w:val="0062396E"/>
    <w:rsid w:val="00634FFF"/>
    <w:rsid w:val="00641C19"/>
    <w:rsid w:val="00641FAB"/>
    <w:rsid w:val="00642605"/>
    <w:rsid w:val="00644DA3"/>
    <w:rsid w:val="00662DED"/>
    <w:rsid w:val="006660AC"/>
    <w:rsid w:val="0067696D"/>
    <w:rsid w:val="00685A41"/>
    <w:rsid w:val="0068745F"/>
    <w:rsid w:val="00694623"/>
    <w:rsid w:val="00695613"/>
    <w:rsid w:val="006A1744"/>
    <w:rsid w:val="006B00E2"/>
    <w:rsid w:val="006B08B1"/>
    <w:rsid w:val="006D5DEF"/>
    <w:rsid w:val="006E3EB9"/>
    <w:rsid w:val="007045B5"/>
    <w:rsid w:val="00710A99"/>
    <w:rsid w:val="007144C9"/>
    <w:rsid w:val="00717C1F"/>
    <w:rsid w:val="00733F23"/>
    <w:rsid w:val="0073452A"/>
    <w:rsid w:val="007367A2"/>
    <w:rsid w:val="00746FF8"/>
    <w:rsid w:val="00752B05"/>
    <w:rsid w:val="00755F3B"/>
    <w:rsid w:val="00770548"/>
    <w:rsid w:val="00771563"/>
    <w:rsid w:val="0077363C"/>
    <w:rsid w:val="007800FE"/>
    <w:rsid w:val="00781B4A"/>
    <w:rsid w:val="0078416D"/>
    <w:rsid w:val="00784CB7"/>
    <w:rsid w:val="007863BF"/>
    <w:rsid w:val="00791A6D"/>
    <w:rsid w:val="007959DE"/>
    <w:rsid w:val="007A2E8F"/>
    <w:rsid w:val="007C0583"/>
    <w:rsid w:val="007C43AF"/>
    <w:rsid w:val="007C58C4"/>
    <w:rsid w:val="007C6C31"/>
    <w:rsid w:val="007C6E55"/>
    <w:rsid w:val="007D14C3"/>
    <w:rsid w:val="007D2A9F"/>
    <w:rsid w:val="007D3395"/>
    <w:rsid w:val="007D3525"/>
    <w:rsid w:val="007D3B2B"/>
    <w:rsid w:val="007D560D"/>
    <w:rsid w:val="007F19E9"/>
    <w:rsid w:val="007F434E"/>
    <w:rsid w:val="007F43D5"/>
    <w:rsid w:val="0080533B"/>
    <w:rsid w:val="00815BFE"/>
    <w:rsid w:val="00843F7B"/>
    <w:rsid w:val="00846563"/>
    <w:rsid w:val="00846CD2"/>
    <w:rsid w:val="00853209"/>
    <w:rsid w:val="00854D88"/>
    <w:rsid w:val="00872257"/>
    <w:rsid w:val="0088063D"/>
    <w:rsid w:val="00881E3F"/>
    <w:rsid w:val="0088724B"/>
    <w:rsid w:val="00896569"/>
    <w:rsid w:val="008B6FAB"/>
    <w:rsid w:val="008B705B"/>
    <w:rsid w:val="008C2A93"/>
    <w:rsid w:val="008F082F"/>
    <w:rsid w:val="008F3BE2"/>
    <w:rsid w:val="008F7120"/>
    <w:rsid w:val="008F74F4"/>
    <w:rsid w:val="009063E6"/>
    <w:rsid w:val="00910E55"/>
    <w:rsid w:val="00913926"/>
    <w:rsid w:val="00916635"/>
    <w:rsid w:val="00917DCD"/>
    <w:rsid w:val="00926424"/>
    <w:rsid w:val="00933367"/>
    <w:rsid w:val="009372C9"/>
    <w:rsid w:val="00942B6D"/>
    <w:rsid w:val="009503A3"/>
    <w:rsid w:val="009512E6"/>
    <w:rsid w:val="009531D0"/>
    <w:rsid w:val="009711BD"/>
    <w:rsid w:val="009716D8"/>
    <w:rsid w:val="00976963"/>
    <w:rsid w:val="00982B3A"/>
    <w:rsid w:val="00984B9C"/>
    <w:rsid w:val="00987F93"/>
    <w:rsid w:val="00990235"/>
    <w:rsid w:val="00990E5A"/>
    <w:rsid w:val="00994931"/>
    <w:rsid w:val="00995673"/>
    <w:rsid w:val="0099601E"/>
    <w:rsid w:val="009A078C"/>
    <w:rsid w:val="009A37BB"/>
    <w:rsid w:val="009A3BBB"/>
    <w:rsid w:val="009A599C"/>
    <w:rsid w:val="009B0D45"/>
    <w:rsid w:val="009B2573"/>
    <w:rsid w:val="009B48DF"/>
    <w:rsid w:val="009B74C4"/>
    <w:rsid w:val="009C06D9"/>
    <w:rsid w:val="009C1879"/>
    <w:rsid w:val="009C6DD3"/>
    <w:rsid w:val="009C7C9A"/>
    <w:rsid w:val="009D56CA"/>
    <w:rsid w:val="009E7233"/>
    <w:rsid w:val="009F37AA"/>
    <w:rsid w:val="00A01408"/>
    <w:rsid w:val="00A05322"/>
    <w:rsid w:val="00A20D6C"/>
    <w:rsid w:val="00A24F15"/>
    <w:rsid w:val="00A25231"/>
    <w:rsid w:val="00A313CC"/>
    <w:rsid w:val="00A33764"/>
    <w:rsid w:val="00A5275E"/>
    <w:rsid w:val="00A52E84"/>
    <w:rsid w:val="00A667F4"/>
    <w:rsid w:val="00A67EC2"/>
    <w:rsid w:val="00A7039A"/>
    <w:rsid w:val="00A74028"/>
    <w:rsid w:val="00A82429"/>
    <w:rsid w:val="00A9211C"/>
    <w:rsid w:val="00A96CDE"/>
    <w:rsid w:val="00A97079"/>
    <w:rsid w:val="00AA3D69"/>
    <w:rsid w:val="00AA6CBE"/>
    <w:rsid w:val="00AD428D"/>
    <w:rsid w:val="00AD4411"/>
    <w:rsid w:val="00AD6C2B"/>
    <w:rsid w:val="00AE2FEF"/>
    <w:rsid w:val="00AE78D3"/>
    <w:rsid w:val="00AF437D"/>
    <w:rsid w:val="00B053F8"/>
    <w:rsid w:val="00B06613"/>
    <w:rsid w:val="00B10597"/>
    <w:rsid w:val="00B138C7"/>
    <w:rsid w:val="00B25622"/>
    <w:rsid w:val="00B32435"/>
    <w:rsid w:val="00B33E3D"/>
    <w:rsid w:val="00B36958"/>
    <w:rsid w:val="00B45932"/>
    <w:rsid w:val="00B46BD5"/>
    <w:rsid w:val="00B51BE1"/>
    <w:rsid w:val="00B6383F"/>
    <w:rsid w:val="00B67DBD"/>
    <w:rsid w:val="00B7223B"/>
    <w:rsid w:val="00B85B8F"/>
    <w:rsid w:val="00B8784E"/>
    <w:rsid w:val="00B9198C"/>
    <w:rsid w:val="00B96811"/>
    <w:rsid w:val="00BD4B82"/>
    <w:rsid w:val="00BD7ED8"/>
    <w:rsid w:val="00BF2CDE"/>
    <w:rsid w:val="00BF3C89"/>
    <w:rsid w:val="00C04DE3"/>
    <w:rsid w:val="00C05101"/>
    <w:rsid w:val="00C07BED"/>
    <w:rsid w:val="00C1301C"/>
    <w:rsid w:val="00C2187E"/>
    <w:rsid w:val="00C234F4"/>
    <w:rsid w:val="00C259E3"/>
    <w:rsid w:val="00C4084A"/>
    <w:rsid w:val="00C55BB2"/>
    <w:rsid w:val="00C62D71"/>
    <w:rsid w:val="00C64A6B"/>
    <w:rsid w:val="00C6775E"/>
    <w:rsid w:val="00C810EE"/>
    <w:rsid w:val="00C81375"/>
    <w:rsid w:val="00C81A4F"/>
    <w:rsid w:val="00C81CA9"/>
    <w:rsid w:val="00C82226"/>
    <w:rsid w:val="00C8631D"/>
    <w:rsid w:val="00C868CA"/>
    <w:rsid w:val="00C87FD0"/>
    <w:rsid w:val="00CA5701"/>
    <w:rsid w:val="00CD22B8"/>
    <w:rsid w:val="00CD411E"/>
    <w:rsid w:val="00D101B6"/>
    <w:rsid w:val="00D24A80"/>
    <w:rsid w:val="00D52AF0"/>
    <w:rsid w:val="00D54ADA"/>
    <w:rsid w:val="00D54CD3"/>
    <w:rsid w:val="00D556B1"/>
    <w:rsid w:val="00D57162"/>
    <w:rsid w:val="00D605C9"/>
    <w:rsid w:val="00D66B7F"/>
    <w:rsid w:val="00D671A0"/>
    <w:rsid w:val="00D7146E"/>
    <w:rsid w:val="00D757B4"/>
    <w:rsid w:val="00D76AA1"/>
    <w:rsid w:val="00D80A83"/>
    <w:rsid w:val="00D81F23"/>
    <w:rsid w:val="00D836CE"/>
    <w:rsid w:val="00D84122"/>
    <w:rsid w:val="00D8666F"/>
    <w:rsid w:val="00D95525"/>
    <w:rsid w:val="00DB00BB"/>
    <w:rsid w:val="00DB1B25"/>
    <w:rsid w:val="00DB52AC"/>
    <w:rsid w:val="00DC7452"/>
    <w:rsid w:val="00DD668A"/>
    <w:rsid w:val="00DD6A6A"/>
    <w:rsid w:val="00DE5073"/>
    <w:rsid w:val="00DE64F2"/>
    <w:rsid w:val="00DF4C66"/>
    <w:rsid w:val="00DF7921"/>
    <w:rsid w:val="00E04CD2"/>
    <w:rsid w:val="00E143EC"/>
    <w:rsid w:val="00E146E5"/>
    <w:rsid w:val="00E17EB5"/>
    <w:rsid w:val="00E21703"/>
    <w:rsid w:val="00E219F1"/>
    <w:rsid w:val="00E3014E"/>
    <w:rsid w:val="00E307ED"/>
    <w:rsid w:val="00E3282A"/>
    <w:rsid w:val="00E410D8"/>
    <w:rsid w:val="00E52B15"/>
    <w:rsid w:val="00E641B5"/>
    <w:rsid w:val="00E64AC0"/>
    <w:rsid w:val="00E77BFC"/>
    <w:rsid w:val="00E8172F"/>
    <w:rsid w:val="00E84009"/>
    <w:rsid w:val="00E860F2"/>
    <w:rsid w:val="00E94DC4"/>
    <w:rsid w:val="00EA32CB"/>
    <w:rsid w:val="00EA6282"/>
    <w:rsid w:val="00EA74B5"/>
    <w:rsid w:val="00EA7670"/>
    <w:rsid w:val="00EE156F"/>
    <w:rsid w:val="00EE19D0"/>
    <w:rsid w:val="00EE1FD6"/>
    <w:rsid w:val="00EE497B"/>
    <w:rsid w:val="00EE4E0F"/>
    <w:rsid w:val="00EF1805"/>
    <w:rsid w:val="00EF2A93"/>
    <w:rsid w:val="00EF6436"/>
    <w:rsid w:val="00EF7E48"/>
    <w:rsid w:val="00F063F2"/>
    <w:rsid w:val="00F070EE"/>
    <w:rsid w:val="00F1477D"/>
    <w:rsid w:val="00F158CC"/>
    <w:rsid w:val="00F16487"/>
    <w:rsid w:val="00F36083"/>
    <w:rsid w:val="00F37304"/>
    <w:rsid w:val="00F430CD"/>
    <w:rsid w:val="00F45197"/>
    <w:rsid w:val="00F51593"/>
    <w:rsid w:val="00F51BE9"/>
    <w:rsid w:val="00F6220B"/>
    <w:rsid w:val="00F72B70"/>
    <w:rsid w:val="00F732E5"/>
    <w:rsid w:val="00F81A63"/>
    <w:rsid w:val="00F81E8A"/>
    <w:rsid w:val="00F92928"/>
    <w:rsid w:val="00F92C1F"/>
    <w:rsid w:val="00F96D7C"/>
    <w:rsid w:val="00F978C3"/>
    <w:rsid w:val="00FB489B"/>
    <w:rsid w:val="00FC2758"/>
    <w:rsid w:val="00FC2E09"/>
    <w:rsid w:val="00FD1F4F"/>
    <w:rsid w:val="00FD5387"/>
    <w:rsid w:val="00FE2890"/>
    <w:rsid w:val="00FE46F2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DB02D19-5797-4809-8E60-3AAA5666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11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F96D7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rky1">
    <w:name w:val="Odrážky 1"/>
    <w:basedOn w:val="Normln"/>
    <w:uiPriority w:val="1"/>
    <w:qFormat/>
    <w:rsid w:val="00205245"/>
    <w:pPr>
      <w:numPr>
        <w:numId w:val="28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paragraph" w:customStyle="1" w:styleId="Barevnseznamzvraznn11">
    <w:name w:val="Barevný seznam – zvýraznění 11"/>
    <w:aliases w:val="Nad,Odstavec cíl se seznamem,Odstavec se seznamem5"/>
    <w:basedOn w:val="Normln"/>
    <w:uiPriority w:val="34"/>
    <w:qFormat/>
    <w:rsid w:val="00205245"/>
    <w:pPr>
      <w:spacing w:after="120"/>
      <w:ind w:left="720"/>
      <w:contextualSpacing/>
    </w:pPr>
    <w:rPr>
      <w:rFonts w:cs="Calibri"/>
      <w:lang w:eastAsia="cs-CZ"/>
    </w:rPr>
  </w:style>
  <w:style w:type="character" w:customStyle="1" w:styleId="Tun">
    <w:name w:val="Tučně"/>
    <w:basedOn w:val="Standardnpsmoodstavce"/>
    <w:uiPriority w:val="1"/>
    <w:qFormat/>
    <w:rsid w:val="00205245"/>
    <w:rPr>
      <w:b/>
      <w:bCs w:val="0"/>
    </w:rPr>
  </w:style>
  <w:style w:type="table" w:styleId="Mkatabulky">
    <w:name w:val="Table Grid"/>
    <w:basedOn w:val="Normlntabulka"/>
    <w:uiPriority w:val="59"/>
    <w:rsid w:val="002052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800FE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E64F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metodika/m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4FFA-9564-4067-949B-1C377890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Fialová</dc:creator>
  <cp:lastModifiedBy>Kateřina Nývltová</cp:lastModifiedBy>
  <cp:revision>2</cp:revision>
  <cp:lastPrinted>2018-05-28T09:29:00Z</cp:lastPrinted>
  <dcterms:created xsi:type="dcterms:W3CDTF">2022-07-01T04:56:00Z</dcterms:created>
  <dcterms:modified xsi:type="dcterms:W3CDTF">2022-07-01T04:56:00Z</dcterms:modified>
  <dc:language>cs-CZ</dc:language>
</cp:coreProperties>
</file>