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24733B44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C22696">
        <w:rPr>
          <w:rFonts w:ascii="Arial" w:hAnsi="Arial" w:cs="Arial"/>
          <w:b/>
          <w:sz w:val="18"/>
          <w:szCs w:val="18"/>
        </w:rPr>
        <w:t>3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C22696">
        <w:rPr>
          <w:rFonts w:ascii="Arial" w:hAnsi="Arial" w:cs="Arial"/>
          <w:b/>
          <w:sz w:val="18"/>
          <w:szCs w:val="18"/>
        </w:rPr>
        <w:t>658-2019-504204</w:t>
      </w:r>
    </w:p>
    <w:p w14:paraId="1F4EF0F5" w14:textId="20562EE0" w:rsidR="001C3319" w:rsidRPr="001C3319" w:rsidRDefault="001C3319" w:rsidP="001C3319">
      <w:pPr>
        <w:pStyle w:val="Zhlav"/>
        <w:jc w:val="right"/>
        <w:rPr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>Č.j. objednatele:</w:t>
      </w:r>
      <w:r w:rsidR="00C22696">
        <w:rPr>
          <w:rFonts w:ascii="Arial" w:hAnsi="Arial" w:cs="Arial"/>
          <w:sz w:val="18"/>
          <w:szCs w:val="18"/>
        </w:rPr>
        <w:t xml:space="preserve"> </w:t>
      </w:r>
      <w:r w:rsidR="00C22696">
        <w:rPr>
          <w:rFonts w:ascii="Arial" w:hAnsi="Arial" w:cs="Arial"/>
          <w:b/>
          <w:sz w:val="18"/>
          <w:szCs w:val="18"/>
        </w:rPr>
        <w:t>SPU 176032/2022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333ABAC0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C22696">
        <w:rPr>
          <w:rFonts w:ascii="Arial" w:hAnsi="Arial" w:cs="Arial"/>
          <w:caps/>
          <w:sz w:val="28"/>
          <w:szCs w:val="28"/>
        </w:rPr>
        <w:t>3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6B65EB14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C22696">
        <w:rPr>
          <w:rFonts w:ascii="Arial" w:hAnsi="Arial" w:cs="Arial"/>
          <w:b w:val="0"/>
          <w:sz w:val="18"/>
          <w:szCs w:val="18"/>
        </w:rPr>
        <w:t>658-2019-504204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C22696">
        <w:rPr>
          <w:rFonts w:ascii="Arial" w:hAnsi="Arial" w:cs="Arial"/>
          <w:b w:val="0"/>
          <w:sz w:val="22"/>
          <w:szCs w:val="22"/>
        </w:rPr>
        <w:t>19.9.2019</w:t>
      </w:r>
    </w:p>
    <w:p w14:paraId="514A1766" w14:textId="65BEA9D7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C22696">
        <w:rPr>
          <w:rFonts w:ascii="Arial" w:hAnsi="Arial" w:cs="Arial"/>
          <w:snapToGrid w:val="0"/>
          <w:sz w:val="22"/>
          <w:szCs w:val="22"/>
        </w:rPr>
        <w:t>Komplexní pozemková úprava v k.ú. Nové Sedliště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EndPr/>
        <w:sdtContent>
          <w:r w:rsidR="00C22696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22696">
        <w:rPr>
          <w:rFonts w:ascii="Arial" w:hAnsi="Arial" w:cs="Arial"/>
          <w:snapToGrid w:val="0"/>
          <w:sz w:val="22"/>
          <w:szCs w:val="22"/>
        </w:rPr>
        <w:t>Nové Sedliště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6879A8FB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C22696">
            <w:rPr>
              <w:rFonts w:ascii="Arial" w:hAnsi="Arial" w:cs="Arial"/>
              <w:b/>
              <w:sz w:val="22"/>
              <w:szCs w:val="22"/>
            </w:rPr>
            <w:t>Krajský pozemkový úřad pro Plzeňský kraj, Pobočka Tachov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2BA24EF5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C22696">
            <w:rPr>
              <w:rFonts w:ascii="Arial" w:hAnsi="Arial" w:cs="Arial"/>
              <w:sz w:val="22"/>
              <w:szCs w:val="22"/>
            </w:rPr>
            <w:t>Ing. Olgou Chvátalovou, vedoucí Pobočky Tachov</w:t>
          </w:r>
        </w:sdtContent>
      </w:sdt>
    </w:p>
    <w:p w14:paraId="01FB3325" w14:textId="1A6F3960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C22696">
            <w:rPr>
              <w:rFonts w:ascii="Arial" w:hAnsi="Arial" w:cs="Arial"/>
              <w:sz w:val="22"/>
              <w:szCs w:val="22"/>
            </w:rPr>
            <w:t>Ing. Olga Chvátalová, vedoucí Pobočky Tachov</w:t>
          </w:r>
        </w:sdtContent>
      </w:sdt>
    </w:p>
    <w:p w14:paraId="1CE5C03A" w14:textId="0248E866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22696">
        <w:rPr>
          <w:rFonts w:ascii="Arial" w:hAnsi="Arial" w:cs="Arial"/>
          <w:snapToGrid w:val="0"/>
          <w:sz w:val="22"/>
          <w:szCs w:val="22"/>
        </w:rPr>
        <w:t>Bc. Iveta Matoušová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EndPr/>
        <w:sdtContent>
          <w:r w:rsidR="00CC0AAF">
            <w:rPr>
              <w:rFonts w:ascii="Arial" w:hAnsi="Arial" w:cs="Arial"/>
              <w:snapToGrid w:val="0"/>
              <w:sz w:val="22"/>
              <w:szCs w:val="22"/>
            </w:rPr>
            <w:t xml:space="preserve">, rada 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EndPr/>
        <w:sdtContent>
          <w:r w:rsidR="00C22696">
            <w:rPr>
              <w:rFonts w:ascii="Arial" w:hAnsi="Arial" w:cs="Arial"/>
              <w:snapToGrid w:val="0"/>
              <w:sz w:val="22"/>
              <w:szCs w:val="22"/>
            </w:rPr>
            <w:t>Pobočky Tachov</w:t>
          </w:r>
        </w:sdtContent>
      </w:sdt>
    </w:p>
    <w:p w14:paraId="350C23E0" w14:textId="530C3C98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 w:rsidR="00C22696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6D2C8F52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C22696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C22696">
            <w:rPr>
              <w:rFonts w:ascii="Arial" w:hAnsi="Arial" w:cs="Arial"/>
              <w:snapToGrid w:val="0"/>
              <w:sz w:val="22"/>
              <w:szCs w:val="22"/>
            </w:rPr>
            <w:t>727 956 756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>;</w:t>
      </w:r>
    </w:p>
    <w:p w14:paraId="16C55A14" w14:textId="099288E5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EndPr/>
        <w:sdtContent>
          <w:r w:rsidR="00C22696">
            <w:rPr>
              <w:rFonts w:ascii="Arial" w:hAnsi="Arial" w:cs="Arial"/>
              <w:snapToGrid w:val="0"/>
              <w:sz w:val="22"/>
              <w:szCs w:val="22"/>
            </w:rPr>
            <w:t>i.matousova@spucr.cz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2265B071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C22696">
        <w:rPr>
          <w:rFonts w:ascii="Arial" w:hAnsi="Arial" w:cs="Arial"/>
          <w:b/>
          <w:bCs/>
          <w:sz w:val="22"/>
          <w:szCs w:val="22"/>
        </w:rPr>
        <w:t>GEO hrubý spol. s r.o.</w:t>
      </w:r>
      <w:r w:rsidR="002A3885" w:rsidRPr="00A22C99">
        <w:rPr>
          <w:rFonts w:ascii="Arial" w:hAnsi="Arial" w:cs="Arial"/>
        </w:rPr>
        <w:t xml:space="preserve"> </w:t>
      </w:r>
    </w:p>
    <w:p w14:paraId="291891F2" w14:textId="48EA0715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22696">
        <w:rPr>
          <w:rFonts w:ascii="Arial" w:hAnsi="Arial" w:cs="Arial"/>
          <w:sz w:val="22"/>
          <w:szCs w:val="22"/>
        </w:rPr>
        <w:t>Doudlevecká 26, 301 00 Plzeň</w:t>
      </w:r>
    </w:p>
    <w:p w14:paraId="2EA3B301" w14:textId="15CB5BDB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22696">
        <w:rPr>
          <w:rFonts w:ascii="Arial" w:hAnsi="Arial" w:cs="Arial"/>
          <w:sz w:val="22"/>
          <w:szCs w:val="22"/>
        </w:rPr>
        <w:t>Ing. Zdeněk Hrubý, jednatel</w:t>
      </w:r>
    </w:p>
    <w:p w14:paraId="5916E8C8" w14:textId="5AA12028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22696">
        <w:rPr>
          <w:rFonts w:ascii="Arial" w:hAnsi="Arial" w:cs="Arial"/>
          <w:sz w:val="22"/>
          <w:szCs w:val="22"/>
        </w:rPr>
        <w:t>Ing. Zdeněk Hrubý</w:t>
      </w:r>
    </w:p>
    <w:p w14:paraId="5EED1C11" w14:textId="739FB1DC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83B1E">
        <w:rPr>
          <w:rFonts w:ascii="Arial" w:hAnsi="Arial" w:cs="Arial"/>
          <w:sz w:val="22"/>
          <w:szCs w:val="22"/>
        </w:rPr>
        <w:t>xxxxxx</w:t>
      </w:r>
    </w:p>
    <w:p w14:paraId="495AA918" w14:textId="207A5F1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83B1E">
        <w:rPr>
          <w:rFonts w:ascii="Arial" w:hAnsi="Arial" w:cs="Arial"/>
          <w:sz w:val="22"/>
          <w:szCs w:val="22"/>
        </w:rPr>
        <w:t>xxxxxx</w:t>
      </w:r>
    </w:p>
    <w:p w14:paraId="3615CD4B" w14:textId="219DDF9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83B1E">
        <w:rPr>
          <w:rFonts w:ascii="Arial" w:hAnsi="Arial" w:cs="Arial"/>
          <w:sz w:val="22"/>
          <w:szCs w:val="22"/>
        </w:rPr>
        <w:t>xxxxxx</w:t>
      </w:r>
    </w:p>
    <w:p w14:paraId="7D718C56" w14:textId="0EC20FF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47D2A">
        <w:rPr>
          <w:rFonts w:ascii="Arial" w:hAnsi="Arial" w:cs="Arial"/>
          <w:sz w:val="22"/>
          <w:szCs w:val="22"/>
        </w:rPr>
        <w:t>7s47464</w:t>
      </w:r>
    </w:p>
    <w:p w14:paraId="0821B422" w14:textId="44A2D9FA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47D2A">
        <w:rPr>
          <w:rFonts w:ascii="Arial" w:hAnsi="Arial" w:cs="Arial"/>
          <w:sz w:val="22"/>
          <w:szCs w:val="22"/>
        </w:rPr>
        <w:t>KB Plzeň</w:t>
      </w:r>
    </w:p>
    <w:p w14:paraId="10083D9E" w14:textId="2AA1558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47D2A">
        <w:rPr>
          <w:rFonts w:ascii="Arial" w:hAnsi="Arial" w:cs="Arial"/>
          <w:sz w:val="22"/>
          <w:szCs w:val="22"/>
        </w:rPr>
        <w:t>21106381/0100</w:t>
      </w:r>
    </w:p>
    <w:p w14:paraId="273091E5" w14:textId="676D3C2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047D2A">
        <w:rPr>
          <w:rFonts w:ascii="Arial" w:hAnsi="Arial" w:cs="Arial"/>
          <w:sz w:val="22"/>
          <w:szCs w:val="22"/>
        </w:rPr>
        <w:t>252 27 751</w:t>
      </w:r>
    </w:p>
    <w:p w14:paraId="0D59BA36" w14:textId="626FDC89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47D2A">
        <w:rPr>
          <w:rFonts w:ascii="Arial" w:hAnsi="Arial" w:cs="Arial"/>
          <w:sz w:val="22"/>
          <w:szCs w:val="22"/>
        </w:rPr>
        <w:t>CZ25227751</w:t>
      </w:r>
    </w:p>
    <w:p w14:paraId="3308DBA8" w14:textId="77777777" w:rsidR="00047D2A" w:rsidRDefault="00047D2A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</w:p>
    <w:p w14:paraId="3D1837CE" w14:textId="795E55A7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123A44F4" w14:textId="7E2600E6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047D2A">
        <w:rPr>
          <w:rFonts w:ascii="Arial" w:hAnsi="Arial" w:cs="Arial"/>
          <w:sz w:val="22"/>
          <w:szCs w:val="22"/>
        </w:rPr>
        <w:t>3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EndPr/>
        <w:sdtContent>
          <w:r w:rsidR="00047D2A">
            <w:rPr>
              <w:rFonts w:ascii="Arial" w:hAnsi="Arial" w:cs="Arial"/>
              <w:sz w:val="22"/>
              <w:szCs w:val="22"/>
            </w:rPr>
            <w:t>ceny za provedení díla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047D2A">
        <w:rPr>
          <w:rFonts w:ascii="Arial" w:hAnsi="Arial" w:cs="Arial"/>
          <w:sz w:val="22"/>
          <w:szCs w:val="22"/>
        </w:rPr>
        <w:t>12.2.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EndPr/>
        <w:sdtContent>
          <w:r w:rsidR="00047D2A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4F545F71" w:rsidR="0091518C" w:rsidRPr="00A22C99" w:rsidRDefault="00010B26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V rámci zpracovávání dílčí etapy KoPÚ</w:t>
      </w:r>
      <w:r>
        <w:rPr>
          <w:rFonts w:ascii="Arial" w:hAnsi="Arial" w:cs="Arial"/>
          <w:sz w:val="22"/>
          <w:szCs w:val="22"/>
        </w:rPr>
        <w:t xml:space="preserve"> </w:t>
      </w:r>
      <w:r w:rsidRPr="00010B26">
        <w:rPr>
          <w:rFonts w:ascii="Arial" w:hAnsi="Arial" w:cs="Arial"/>
          <w:sz w:val="22"/>
          <w:szCs w:val="22"/>
        </w:rPr>
        <w:t xml:space="preserve">3.4.7. Dokumentace k soupisu nároků vlastníků pozemků </w:t>
      </w:r>
      <w:r>
        <w:rPr>
          <w:rFonts w:ascii="Arial" w:hAnsi="Arial" w:cs="Arial"/>
          <w:sz w:val="22"/>
          <w:szCs w:val="22"/>
        </w:rPr>
        <w:t xml:space="preserve"> byl vznesen požadavek na zařazení p.p.č. 133/</w:t>
      </w:r>
      <w:r w:rsidR="00047D2A">
        <w:rPr>
          <w:rFonts w:ascii="Arial" w:hAnsi="Arial" w:cs="Arial"/>
          <w:sz w:val="22"/>
          <w:szCs w:val="22"/>
        </w:rPr>
        <w:t xml:space="preserve"> obvodu PÚ</w:t>
      </w:r>
      <w:r>
        <w:rPr>
          <w:rFonts w:ascii="Arial" w:hAnsi="Arial" w:cs="Arial"/>
          <w:sz w:val="22"/>
          <w:szCs w:val="22"/>
        </w:rPr>
        <w:t>, s čímž objednatel vyjádřil svůj souhlas</w:t>
      </w:r>
      <w:r w:rsidR="00047D2A">
        <w:rPr>
          <w:rFonts w:ascii="Arial" w:hAnsi="Arial" w:cs="Arial"/>
          <w:sz w:val="22"/>
          <w:szCs w:val="22"/>
        </w:rPr>
        <w:t xml:space="preserve">.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EndPr/>
        <w:sdtContent>
          <w:r w:rsidR="00047D2A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76F94582" w:rsidR="00BF33FF" w:rsidRPr="00A22C99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="00047D2A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047D2A">
        <w:rPr>
          <w:rFonts w:ascii="Arial" w:hAnsi="Arial" w:cs="Arial"/>
          <w:sz w:val="22"/>
          <w:szCs w:val="22"/>
        </w:rPr>
        <w:t>měrných jednotek etapy 3.4.</w:t>
      </w:r>
      <w:r w:rsidR="008140C7">
        <w:rPr>
          <w:rFonts w:ascii="Arial" w:hAnsi="Arial" w:cs="Arial"/>
          <w:sz w:val="22"/>
          <w:szCs w:val="22"/>
        </w:rPr>
        <w:t xml:space="preserve">3 </w:t>
      </w:r>
      <w:r w:rsidR="00047D2A" w:rsidRPr="002D26B7">
        <w:rPr>
          <w:rFonts w:ascii="Arial" w:hAnsi="Arial" w:cs="Arial"/>
          <w:i/>
          <w:iCs/>
          <w:sz w:val="22"/>
          <w:szCs w:val="22"/>
        </w:rPr>
        <w:t>Zjišťování hranic obvodů KoPÚ, geometrický plán pro stanovení obvodu KoPÚ, předepsaná stabilizace dle vyhl. č. 357/2013 Sb</w:t>
      </w:r>
      <w:r w:rsidR="008140C7">
        <w:rPr>
          <w:rFonts w:ascii="Arial" w:hAnsi="Arial" w:cs="Arial"/>
          <w:i/>
          <w:iCs/>
          <w:sz w:val="22"/>
          <w:szCs w:val="22"/>
        </w:rPr>
        <w:t>.</w:t>
      </w:r>
      <w:r w:rsidR="00047D2A" w:rsidRPr="002D26B7">
        <w:rPr>
          <w:rFonts w:ascii="Arial" w:hAnsi="Arial" w:cs="Arial"/>
          <w:i/>
          <w:iCs/>
          <w:sz w:val="22"/>
          <w:szCs w:val="22"/>
        </w:rPr>
        <w:t xml:space="preserve"> </w:t>
      </w:r>
      <w:r w:rsidR="00047D2A">
        <w:rPr>
          <w:rFonts w:ascii="Arial" w:hAnsi="Arial" w:cs="Arial"/>
          <w:sz w:val="22"/>
          <w:szCs w:val="22"/>
        </w:rPr>
        <w:t>a 3.4.</w:t>
      </w:r>
      <w:r w:rsidR="008140C7">
        <w:rPr>
          <w:rFonts w:ascii="Arial" w:hAnsi="Arial" w:cs="Arial"/>
          <w:sz w:val="22"/>
          <w:szCs w:val="22"/>
        </w:rPr>
        <w:t>5</w:t>
      </w:r>
      <w:r w:rsidR="00047D2A">
        <w:rPr>
          <w:rFonts w:ascii="Arial" w:hAnsi="Arial" w:cs="Arial"/>
          <w:sz w:val="22"/>
          <w:szCs w:val="22"/>
        </w:rPr>
        <w:t xml:space="preserve">. </w:t>
      </w:r>
      <w:r w:rsidR="00047D2A" w:rsidRPr="002D26B7">
        <w:rPr>
          <w:rFonts w:ascii="Arial" w:hAnsi="Arial" w:cs="Arial"/>
          <w:i/>
          <w:iCs/>
          <w:sz w:val="22"/>
          <w:szCs w:val="22"/>
        </w:rPr>
        <w:t>Dokument</w:t>
      </w:r>
      <w:r w:rsidR="002D26B7">
        <w:rPr>
          <w:rFonts w:ascii="Arial" w:hAnsi="Arial" w:cs="Arial"/>
          <w:i/>
          <w:iCs/>
          <w:sz w:val="22"/>
          <w:szCs w:val="22"/>
        </w:rPr>
        <w:t>a</w:t>
      </w:r>
      <w:r w:rsidR="00047D2A" w:rsidRPr="002D26B7">
        <w:rPr>
          <w:rFonts w:ascii="Arial" w:hAnsi="Arial" w:cs="Arial"/>
          <w:i/>
          <w:iCs/>
          <w:sz w:val="22"/>
          <w:szCs w:val="22"/>
        </w:rPr>
        <w:t>ce k soupisu nároků vlastníků pozemků</w:t>
      </w:r>
      <w:r w:rsidRPr="00A22C99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26E858F3" w14:textId="4C222FB7" w:rsidR="00BF33FF" w:rsidRPr="00A22C99" w:rsidRDefault="00047D2A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47AF5D1F" w:rsidR="00BF33FF" w:rsidRPr="00A22C99" w:rsidRDefault="002D26B7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1 916 400,00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57D610B9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C3077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0704" w14:textId="61464CF1" w:rsidR="00BF33FF" w:rsidRPr="00A22C99" w:rsidRDefault="002D26B7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0,00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17246D5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C752E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5BB" w14:textId="61D91D4F" w:rsidR="00BF33FF" w:rsidRPr="00A22C99" w:rsidRDefault="002D26B7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21 000,00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ED003B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01E8557F" w:rsidR="00BF33FF" w:rsidRPr="00A22C99" w:rsidRDefault="002D26B7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8D5">
              <w:rPr>
                <w:rFonts w:ascii="Arial" w:hAnsi="Arial" w:cs="Arial"/>
                <w:b/>
                <w:bCs/>
                <w:sz w:val="22"/>
                <w:szCs w:val="22"/>
              </w:rPr>
              <w:t>1 937 400,00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7181EEC9" w:rsidR="00BF33FF" w:rsidRPr="00A22C99" w:rsidRDefault="002D26B7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406 854,00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2300012B" w:rsidR="00BF33FF" w:rsidRPr="00A22C99" w:rsidRDefault="002D26B7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2 344 254,00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1256B6" w:rsidRPr="00A22C99" w14:paraId="40AA8F04" w14:textId="77777777" w:rsidTr="009305CB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1256B6" w:rsidRPr="00A22C99" w14:paraId="0A4B03A1" w14:textId="77777777" w:rsidTr="002D26B7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6A3D738D" w14:textId="7D13570D" w:rsidR="001256B6" w:rsidRPr="00A22C99" w:rsidRDefault="002D26B7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</w:t>
            </w:r>
            <w:r w:rsidR="008140C7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5286E607" w14:textId="26E2CB92" w:rsidR="001256B6" w:rsidRPr="00A22C99" w:rsidRDefault="002D26B7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Zjišťování hranic obvodů KoPÚ, geometrický plán pro stanovení obvodu KoPÚ, předepsaná stabilizace dle vyhl. č. 357/2013 Sb. </w:t>
            </w:r>
          </w:p>
        </w:tc>
        <w:tc>
          <w:tcPr>
            <w:tcW w:w="680" w:type="dxa"/>
            <w:noWrap/>
            <w:vAlign w:val="center"/>
            <w:hideMark/>
          </w:tcPr>
          <w:p w14:paraId="1C337369" w14:textId="2B0BDECC" w:rsidR="001256B6" w:rsidRPr="00A22C99" w:rsidRDefault="002D26B7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  <w:hideMark/>
          </w:tcPr>
          <w:p w14:paraId="7CDF46F4" w14:textId="04E2A6BB" w:rsidR="001256B6" w:rsidRPr="00A22C99" w:rsidRDefault="002D26B7" w:rsidP="00EF0E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E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5" w:type="dxa"/>
            <w:noWrap/>
            <w:vAlign w:val="center"/>
            <w:hideMark/>
          </w:tcPr>
          <w:p w14:paraId="1CB1E73E" w14:textId="239930A4" w:rsidR="001256B6" w:rsidRPr="00A22C99" w:rsidRDefault="002D26B7" w:rsidP="00EF0E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000FEE0" w14:textId="447EAA60" w:rsidR="001256B6" w:rsidRPr="00A22C99" w:rsidRDefault="002D26B7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E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12 000,00</w:t>
            </w:r>
          </w:p>
        </w:tc>
        <w:tc>
          <w:tcPr>
            <w:tcW w:w="1343" w:type="dxa"/>
            <w:noWrap/>
            <w:vAlign w:val="center"/>
          </w:tcPr>
          <w:p w14:paraId="713ED0E8" w14:textId="72DE5627" w:rsidR="001256B6" w:rsidRPr="00A22C99" w:rsidRDefault="00010B2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- -</w:t>
            </w:r>
          </w:p>
        </w:tc>
        <w:tc>
          <w:tcPr>
            <w:tcW w:w="1247" w:type="dxa"/>
            <w:vAlign w:val="center"/>
          </w:tcPr>
          <w:p w14:paraId="11E1461A" w14:textId="569C09C8" w:rsidR="001256B6" w:rsidRPr="00A22C99" w:rsidRDefault="00010B2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2D26B7">
              <w:rPr>
                <w:rFonts w:ascii="Arial" w:hAnsi="Arial" w:cs="Arial"/>
                <w:sz w:val="16"/>
                <w:szCs w:val="16"/>
              </w:rPr>
              <w:t>.11.2022</w:t>
            </w:r>
          </w:p>
        </w:tc>
      </w:tr>
      <w:tr w:rsidR="001256B6" w:rsidRPr="00A22C99" w14:paraId="1B4E7126" w14:textId="77777777" w:rsidTr="002D26B7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7AD6E318" w14:textId="69FF7E56" w:rsidR="001256B6" w:rsidRPr="00A22C99" w:rsidRDefault="002D26B7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</w:t>
            </w:r>
            <w:r w:rsidR="008140C7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0D304FC" w14:textId="099EA9BF" w:rsidR="001256B6" w:rsidRPr="00A22C99" w:rsidRDefault="002D26B7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Dokumentace k soupisu nároků vlastníků pozemků </w:t>
            </w:r>
          </w:p>
        </w:tc>
        <w:tc>
          <w:tcPr>
            <w:tcW w:w="680" w:type="dxa"/>
            <w:noWrap/>
            <w:vAlign w:val="center"/>
          </w:tcPr>
          <w:p w14:paraId="5A72F55D" w14:textId="3A6890FA" w:rsidR="001256B6" w:rsidRPr="00A22C99" w:rsidRDefault="002D26B7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073BC502" w14:textId="0623174C" w:rsidR="001256B6" w:rsidRPr="00A22C99" w:rsidRDefault="002D26B7" w:rsidP="00EF0E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E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5" w:type="dxa"/>
            <w:noWrap/>
            <w:vAlign w:val="center"/>
          </w:tcPr>
          <w:p w14:paraId="1B019780" w14:textId="30B45BA1" w:rsidR="001256B6" w:rsidRPr="00A22C99" w:rsidRDefault="002D26B7" w:rsidP="00EF0E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9 000,00</w:t>
            </w:r>
          </w:p>
        </w:tc>
        <w:tc>
          <w:tcPr>
            <w:tcW w:w="1417" w:type="dxa"/>
            <w:noWrap/>
            <w:vAlign w:val="center"/>
          </w:tcPr>
          <w:p w14:paraId="271DBEB3" w14:textId="4A5AFC8A" w:rsidR="001256B6" w:rsidRPr="00A22C99" w:rsidRDefault="002D26B7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E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9 000,00</w:t>
            </w:r>
          </w:p>
        </w:tc>
        <w:tc>
          <w:tcPr>
            <w:tcW w:w="1343" w:type="dxa"/>
            <w:noWrap/>
            <w:vAlign w:val="center"/>
          </w:tcPr>
          <w:p w14:paraId="3B29B185" w14:textId="3B3021FC" w:rsidR="001256B6" w:rsidRPr="00A22C99" w:rsidRDefault="00010B2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- -</w:t>
            </w:r>
          </w:p>
        </w:tc>
        <w:tc>
          <w:tcPr>
            <w:tcW w:w="1247" w:type="dxa"/>
            <w:vAlign w:val="center"/>
          </w:tcPr>
          <w:p w14:paraId="498C02A6" w14:textId="4094A2B4" w:rsidR="001256B6" w:rsidRPr="00A22C99" w:rsidRDefault="00010B2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2D26B7">
              <w:rPr>
                <w:rFonts w:ascii="Arial" w:hAnsi="Arial" w:cs="Arial"/>
                <w:sz w:val="16"/>
                <w:szCs w:val="16"/>
              </w:rPr>
              <w:t>.11.2022</w:t>
            </w:r>
          </w:p>
        </w:tc>
      </w:tr>
      <w:tr w:rsidR="001256B6" w:rsidRPr="00A22C99" w14:paraId="175D69A8" w14:textId="77777777" w:rsidTr="009305CB">
        <w:trPr>
          <w:trHeight w:val="90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483CFD81" w14:textId="09C5CC4A" w:rsidR="001256B6" w:rsidRPr="00A22C99" w:rsidRDefault="002D26B7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Přípravné práce celkem 3.4.1. – 3.4.7.) bez DPH v Kč</w:t>
            </w:r>
          </w:p>
        </w:tc>
        <w:tc>
          <w:tcPr>
            <w:tcW w:w="1417" w:type="dxa"/>
            <w:noWrap/>
            <w:vAlign w:val="center"/>
          </w:tcPr>
          <w:p w14:paraId="66D62650" w14:textId="1F9727E8" w:rsidR="001256B6" w:rsidRPr="00A22C99" w:rsidRDefault="002D26B7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E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21 000,00</w:t>
            </w:r>
          </w:p>
        </w:tc>
        <w:tc>
          <w:tcPr>
            <w:tcW w:w="1343" w:type="dxa"/>
            <w:noWrap/>
            <w:vAlign w:val="center"/>
          </w:tcPr>
          <w:p w14:paraId="4088ACD8" w14:textId="7A6A0EDB" w:rsidR="001256B6" w:rsidRPr="00A22C99" w:rsidRDefault="002D26B7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31.5.2022</w:t>
            </w:r>
          </w:p>
        </w:tc>
        <w:tc>
          <w:tcPr>
            <w:tcW w:w="1247" w:type="dxa"/>
            <w:vAlign w:val="center"/>
          </w:tcPr>
          <w:p w14:paraId="565BB5E1" w14:textId="2132AB49" w:rsidR="001256B6" w:rsidRPr="00A22C99" w:rsidRDefault="00010B2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2D26B7">
              <w:rPr>
                <w:rFonts w:ascii="Arial" w:hAnsi="Arial" w:cs="Arial"/>
                <w:sz w:val="16"/>
                <w:szCs w:val="16"/>
              </w:rPr>
              <w:t>.11.2022</w:t>
            </w:r>
          </w:p>
        </w:tc>
      </w:tr>
    </w:tbl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2FE1C578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2D26B7">
        <w:rPr>
          <w:rFonts w:ascii="Arial" w:hAnsi="Arial" w:cs="Arial"/>
          <w:sz w:val="22"/>
          <w:szCs w:val="22"/>
        </w:rPr>
        <w:t>1</w:t>
      </w:r>
      <w:r w:rsidR="00CC0AAF">
        <w:rPr>
          <w:rFonts w:ascii="Arial" w:hAnsi="Arial" w:cs="Arial"/>
          <w:sz w:val="22"/>
          <w:szCs w:val="22"/>
        </w:rPr>
        <w:t xml:space="preserve"> a </w:t>
      </w:r>
      <w:r w:rsidR="002D26B7">
        <w:rPr>
          <w:rFonts w:ascii="Arial" w:hAnsi="Arial" w:cs="Arial"/>
          <w:sz w:val="22"/>
          <w:szCs w:val="22"/>
        </w:rPr>
        <w:t>2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7CB27788" w:rsidR="0091518C" w:rsidRPr="00A22C99" w:rsidRDefault="006B2706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2D26B7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</w:t>
      </w:r>
      <w:r w:rsidRPr="00A22C99">
        <w:rPr>
          <w:rFonts w:ascii="Arial" w:hAnsi="Arial" w:cs="Arial"/>
          <w:sz w:val="22"/>
          <w:szCs w:val="22"/>
        </w:rPr>
        <w:lastRenderedPageBreak/>
        <w:t>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007849F" w14:textId="715B4CB1" w:rsidR="00563D65" w:rsidRPr="00A22C99" w:rsidRDefault="002D26B7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Žádost zhotovitele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14896C04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 w:rsidR="002D26B7">
            <w:rPr>
              <w:rFonts w:ascii="Arial" w:hAnsi="Arial" w:cs="Arial"/>
              <w:sz w:val="22"/>
              <w:szCs w:val="22"/>
            </w:rPr>
            <w:t>Tachově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083B1E">
        <w:rPr>
          <w:rFonts w:ascii="Arial" w:hAnsi="Arial" w:cs="Arial"/>
          <w:sz w:val="22"/>
          <w:szCs w:val="22"/>
        </w:rPr>
        <w:t xml:space="preserve"> 27. 6. 2022</w:t>
      </w:r>
      <w:r w:rsidR="002D26B7">
        <w:rPr>
          <w:rFonts w:ascii="Arial" w:hAnsi="Arial" w:cs="Arial"/>
          <w:sz w:val="22"/>
          <w:szCs w:val="22"/>
        </w:rPr>
        <w:tab/>
      </w:r>
      <w:r w:rsidR="002D26B7">
        <w:rPr>
          <w:rFonts w:ascii="Arial" w:hAnsi="Arial" w:cs="Arial"/>
          <w:sz w:val="22"/>
          <w:szCs w:val="22"/>
        </w:rPr>
        <w:tab/>
      </w:r>
      <w:r w:rsidR="002D26B7">
        <w:rPr>
          <w:rFonts w:ascii="Arial" w:hAnsi="Arial" w:cs="Arial"/>
          <w:sz w:val="22"/>
          <w:szCs w:val="22"/>
        </w:rPr>
        <w:tab/>
      </w:r>
      <w:r w:rsidR="002D26B7">
        <w:rPr>
          <w:rFonts w:ascii="Arial" w:hAnsi="Arial" w:cs="Arial"/>
          <w:sz w:val="22"/>
          <w:szCs w:val="22"/>
        </w:rPr>
        <w:tab/>
      </w:r>
      <w:r w:rsidR="002D26B7">
        <w:rPr>
          <w:rFonts w:ascii="Arial" w:hAnsi="Arial" w:cs="Arial"/>
          <w:sz w:val="22"/>
          <w:szCs w:val="22"/>
        </w:rPr>
        <w:tab/>
      </w:r>
      <w:r w:rsidR="00082949">
        <w:rPr>
          <w:rFonts w:ascii="Arial" w:hAnsi="Arial" w:cs="Arial"/>
          <w:sz w:val="22"/>
          <w:szCs w:val="22"/>
        </w:rPr>
        <w:t xml:space="preserve"> </w:t>
      </w:r>
      <w:r w:rsidR="002D26B7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CC0AAF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2D26B7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dne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083B1E">
        <w:rPr>
          <w:rFonts w:ascii="Arial" w:hAnsi="Arial" w:cs="Arial"/>
          <w:sz w:val="22"/>
          <w:szCs w:val="22"/>
        </w:rPr>
        <w:t>27. 6. 2022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35A2D333" w:rsidR="00924E10" w:rsidRDefault="006B2706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EndPr/>
        <w:sdtContent>
          <w:r w:rsidR="002D26B7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EndPr/>
        <w:sdtContent>
          <w:r w:rsidR="002D26B7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3DE39A10" w:rsidR="0091518C" w:rsidRPr="00D10E5F" w:rsidRDefault="006B2706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2D26B7">
            <w:rPr>
              <w:rFonts w:ascii="Arial" w:hAnsi="Arial" w:cs="Arial"/>
              <w:sz w:val="22"/>
              <w:szCs w:val="22"/>
            </w:rPr>
            <w:t>Ing. Olga Chvátalová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082949">
        <w:rPr>
          <w:rFonts w:ascii="Arial" w:hAnsi="Arial" w:cs="Arial"/>
          <w:sz w:val="22"/>
          <w:szCs w:val="22"/>
        </w:rPr>
        <w:t>Ing. Zdeněk Hrubý</w:t>
      </w:r>
    </w:p>
    <w:p w14:paraId="544D98CD" w14:textId="4072B220" w:rsidR="0091518C" w:rsidRPr="00D10E5F" w:rsidRDefault="006B2706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2D26B7">
            <w:rPr>
              <w:rFonts w:ascii="Arial" w:hAnsi="Arial" w:cs="Arial"/>
              <w:sz w:val="22"/>
              <w:szCs w:val="22"/>
            </w:rPr>
            <w:t>vedoucí Pobočky Tachov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082949">
        <w:rPr>
          <w:rFonts w:ascii="Arial" w:hAnsi="Arial" w:cs="Arial"/>
          <w:sz w:val="22"/>
          <w:szCs w:val="22"/>
        </w:rPr>
        <w:t>jednatel GEO Hrubý spol s r.o.</w:t>
      </w:r>
    </w:p>
    <w:p w14:paraId="3FEBC165" w14:textId="0B28546A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</w:p>
    <w:p w14:paraId="28B76C8A" w14:textId="253B285F" w:rsidR="00D10E5F" w:rsidRPr="00D10E5F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72E3" w14:textId="77777777" w:rsidR="006B2706" w:rsidRDefault="006B2706" w:rsidP="002472CD">
      <w:r>
        <w:separator/>
      </w:r>
    </w:p>
  </w:endnote>
  <w:endnote w:type="continuationSeparator" w:id="0">
    <w:p w14:paraId="06CCED51" w14:textId="77777777" w:rsidR="006B2706" w:rsidRDefault="006B2706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8B3B" w14:textId="77777777" w:rsidR="006B2706" w:rsidRDefault="006B2706" w:rsidP="002472CD">
      <w:r>
        <w:separator/>
      </w:r>
    </w:p>
  </w:footnote>
  <w:footnote w:type="continuationSeparator" w:id="0">
    <w:p w14:paraId="65CC46EA" w14:textId="77777777" w:rsidR="006B2706" w:rsidRDefault="006B2706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0B26"/>
    <w:rsid w:val="00011A9F"/>
    <w:rsid w:val="00017EC6"/>
    <w:rsid w:val="0002433A"/>
    <w:rsid w:val="00024537"/>
    <w:rsid w:val="00037C79"/>
    <w:rsid w:val="000421D3"/>
    <w:rsid w:val="00043F1A"/>
    <w:rsid w:val="00047D2A"/>
    <w:rsid w:val="00054504"/>
    <w:rsid w:val="00057681"/>
    <w:rsid w:val="0006151A"/>
    <w:rsid w:val="00076247"/>
    <w:rsid w:val="000813F3"/>
    <w:rsid w:val="00082949"/>
    <w:rsid w:val="00083B1E"/>
    <w:rsid w:val="00085E45"/>
    <w:rsid w:val="0009787C"/>
    <w:rsid w:val="000A26C4"/>
    <w:rsid w:val="000A3CE6"/>
    <w:rsid w:val="000B3E5F"/>
    <w:rsid w:val="000D2EC0"/>
    <w:rsid w:val="000D3AF2"/>
    <w:rsid w:val="000D6BEA"/>
    <w:rsid w:val="000F1305"/>
    <w:rsid w:val="000F2FD7"/>
    <w:rsid w:val="000F4CA6"/>
    <w:rsid w:val="000F5DB4"/>
    <w:rsid w:val="001075CE"/>
    <w:rsid w:val="001115F0"/>
    <w:rsid w:val="00123F51"/>
    <w:rsid w:val="001256B6"/>
    <w:rsid w:val="00134398"/>
    <w:rsid w:val="00136EE8"/>
    <w:rsid w:val="001522A6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B1BD9"/>
    <w:rsid w:val="001B1D96"/>
    <w:rsid w:val="001C317D"/>
    <w:rsid w:val="001C3319"/>
    <w:rsid w:val="001C7557"/>
    <w:rsid w:val="001D1E92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C6F04"/>
    <w:rsid w:val="002D26B7"/>
    <w:rsid w:val="002D5476"/>
    <w:rsid w:val="002D679F"/>
    <w:rsid w:val="002D6F22"/>
    <w:rsid w:val="002D7FA1"/>
    <w:rsid w:val="002E19A5"/>
    <w:rsid w:val="002E2818"/>
    <w:rsid w:val="00317C8C"/>
    <w:rsid w:val="003254AB"/>
    <w:rsid w:val="003338D5"/>
    <w:rsid w:val="00337112"/>
    <w:rsid w:val="00341986"/>
    <w:rsid w:val="00352886"/>
    <w:rsid w:val="003540AA"/>
    <w:rsid w:val="00355B29"/>
    <w:rsid w:val="0036248B"/>
    <w:rsid w:val="0036321A"/>
    <w:rsid w:val="0036681D"/>
    <w:rsid w:val="003917BB"/>
    <w:rsid w:val="00392848"/>
    <w:rsid w:val="00395097"/>
    <w:rsid w:val="003963F7"/>
    <w:rsid w:val="00396EB8"/>
    <w:rsid w:val="003976B4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45C4E"/>
    <w:rsid w:val="0045626F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92917"/>
    <w:rsid w:val="004A227A"/>
    <w:rsid w:val="004A6BC6"/>
    <w:rsid w:val="004A7077"/>
    <w:rsid w:val="004B22BC"/>
    <w:rsid w:val="004B409A"/>
    <w:rsid w:val="004B44E6"/>
    <w:rsid w:val="004B7D86"/>
    <w:rsid w:val="004D3ED7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44141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444D2"/>
    <w:rsid w:val="00652ADA"/>
    <w:rsid w:val="00661A34"/>
    <w:rsid w:val="00665D2F"/>
    <w:rsid w:val="006708D3"/>
    <w:rsid w:val="00671F3C"/>
    <w:rsid w:val="00682030"/>
    <w:rsid w:val="006874C5"/>
    <w:rsid w:val="006918A1"/>
    <w:rsid w:val="00694C1C"/>
    <w:rsid w:val="006A60A4"/>
    <w:rsid w:val="006B2706"/>
    <w:rsid w:val="006B3FEA"/>
    <w:rsid w:val="006C16FE"/>
    <w:rsid w:val="006C5315"/>
    <w:rsid w:val="006D1DF3"/>
    <w:rsid w:val="006D24C5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35F4"/>
    <w:rsid w:val="0073442B"/>
    <w:rsid w:val="00745E38"/>
    <w:rsid w:val="00756E5D"/>
    <w:rsid w:val="00756FC9"/>
    <w:rsid w:val="00775428"/>
    <w:rsid w:val="0078430B"/>
    <w:rsid w:val="00784D60"/>
    <w:rsid w:val="00785D24"/>
    <w:rsid w:val="00790194"/>
    <w:rsid w:val="0079495E"/>
    <w:rsid w:val="007969C6"/>
    <w:rsid w:val="007A0EFA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140C7"/>
    <w:rsid w:val="00825163"/>
    <w:rsid w:val="008416E2"/>
    <w:rsid w:val="00870AF4"/>
    <w:rsid w:val="008840F9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7949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4504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7B5C"/>
    <w:rsid w:val="009E2B0D"/>
    <w:rsid w:val="009E7301"/>
    <w:rsid w:val="009F72A5"/>
    <w:rsid w:val="00A07D35"/>
    <w:rsid w:val="00A15FCF"/>
    <w:rsid w:val="00A16C71"/>
    <w:rsid w:val="00A200F1"/>
    <w:rsid w:val="00A22C99"/>
    <w:rsid w:val="00A23228"/>
    <w:rsid w:val="00A30630"/>
    <w:rsid w:val="00A349A0"/>
    <w:rsid w:val="00A50307"/>
    <w:rsid w:val="00A51EC4"/>
    <w:rsid w:val="00A52035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C463C"/>
    <w:rsid w:val="00AD204B"/>
    <w:rsid w:val="00AE451E"/>
    <w:rsid w:val="00AF1707"/>
    <w:rsid w:val="00AF57E0"/>
    <w:rsid w:val="00B079CF"/>
    <w:rsid w:val="00B1155D"/>
    <w:rsid w:val="00B1561D"/>
    <w:rsid w:val="00B20FD2"/>
    <w:rsid w:val="00B25B9F"/>
    <w:rsid w:val="00B26B16"/>
    <w:rsid w:val="00B272C3"/>
    <w:rsid w:val="00B32A5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E78B1"/>
    <w:rsid w:val="00BF12D7"/>
    <w:rsid w:val="00BF33FF"/>
    <w:rsid w:val="00BF45A5"/>
    <w:rsid w:val="00C050D4"/>
    <w:rsid w:val="00C0566C"/>
    <w:rsid w:val="00C22696"/>
    <w:rsid w:val="00C22EB5"/>
    <w:rsid w:val="00C4494B"/>
    <w:rsid w:val="00C5176D"/>
    <w:rsid w:val="00C711C1"/>
    <w:rsid w:val="00C73251"/>
    <w:rsid w:val="00C77120"/>
    <w:rsid w:val="00C80E9B"/>
    <w:rsid w:val="00C858E6"/>
    <w:rsid w:val="00C9174E"/>
    <w:rsid w:val="00C926FE"/>
    <w:rsid w:val="00C92F4C"/>
    <w:rsid w:val="00CA1ED9"/>
    <w:rsid w:val="00CA6B81"/>
    <w:rsid w:val="00CC0AAF"/>
    <w:rsid w:val="00CC5734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130E2"/>
    <w:rsid w:val="00E2033D"/>
    <w:rsid w:val="00E27B2F"/>
    <w:rsid w:val="00E337F7"/>
    <w:rsid w:val="00E34EC0"/>
    <w:rsid w:val="00E3657C"/>
    <w:rsid w:val="00E435F2"/>
    <w:rsid w:val="00E5486F"/>
    <w:rsid w:val="00E6172C"/>
    <w:rsid w:val="00E61DDD"/>
    <w:rsid w:val="00E71E98"/>
    <w:rsid w:val="00E72911"/>
    <w:rsid w:val="00E875B4"/>
    <w:rsid w:val="00EA2B0C"/>
    <w:rsid w:val="00EB3C59"/>
    <w:rsid w:val="00EB64E2"/>
    <w:rsid w:val="00EC364D"/>
    <w:rsid w:val="00ED1D5C"/>
    <w:rsid w:val="00ED2C90"/>
    <w:rsid w:val="00EE04C1"/>
    <w:rsid w:val="00EE74E7"/>
    <w:rsid w:val="00EF0EBB"/>
    <w:rsid w:val="00EF6434"/>
    <w:rsid w:val="00EF6877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344913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33014B"/>
    <w:rsid w:val="00344913"/>
    <w:rsid w:val="005C5B5F"/>
    <w:rsid w:val="00731A31"/>
    <w:rsid w:val="00AE7FA2"/>
    <w:rsid w:val="00B36B81"/>
    <w:rsid w:val="00B719A6"/>
    <w:rsid w:val="00BD40BA"/>
    <w:rsid w:val="00BE0D54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014B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Props1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3</cp:revision>
  <cp:lastPrinted>2021-10-15T09:28:00Z</cp:lastPrinted>
  <dcterms:created xsi:type="dcterms:W3CDTF">2022-07-01T05:23:00Z</dcterms:created>
  <dcterms:modified xsi:type="dcterms:W3CDTF">2022-07-01T05:25:00Z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