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5409C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5409C8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5409C8">
        <w:tc>
          <w:tcPr>
            <w:tcW w:w="2660" w:type="dxa"/>
          </w:tcPr>
          <w:p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:rsidR="00733993" w:rsidRPr="00B21306" w:rsidRDefault="002C754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355609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:rsidR="00355609" w:rsidRDefault="00355609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9D5027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751 22  Osek</w:t>
            </w:r>
            <w:proofErr w:type="gramEnd"/>
            <w:r>
              <w:rPr>
                <w:rFonts w:ascii="Calibri" w:hAnsi="Calibri" w:cs="Calibri"/>
              </w:rPr>
              <w:t xml:space="preserve">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9D5027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2B618A" w:rsidRDefault="00355609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neplátce DPH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B21306" w:rsidRDefault="00AD3F9D" w:rsidP="00DE6D5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D76FC7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D76FC7"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EE3D22">
              <w:rPr>
                <w:rFonts w:asciiTheme="minorHAnsi" w:hAnsiTheme="minorHAnsi" w:cs="Calibri"/>
              </w:rPr>
              <w:t>27-1092030227/0100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>
        <w:rPr>
          <w:rFonts w:asciiTheme="minorHAnsi" w:hAnsiTheme="minorHAnsi" w:cs="Arial"/>
        </w:rPr>
        <w:t xml:space="preserve">opravu </w:t>
      </w:r>
      <w:r w:rsidR="00AA46D9">
        <w:rPr>
          <w:rFonts w:asciiTheme="minorHAnsi" w:hAnsiTheme="minorHAnsi" w:cs="Arial"/>
        </w:rPr>
        <w:t>35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ks vestavných skříní v př</w:t>
      </w:r>
      <w:r w:rsidR="00324E4D">
        <w:rPr>
          <w:rFonts w:asciiTheme="minorHAnsi" w:hAnsiTheme="minorHAnsi" w:cs="Arial"/>
        </w:rPr>
        <w:t xml:space="preserve">edsíňkách </w:t>
      </w:r>
      <w:r w:rsidR="00AA46D9">
        <w:rPr>
          <w:rFonts w:asciiTheme="minorHAnsi" w:hAnsiTheme="minorHAnsi" w:cs="Arial"/>
        </w:rPr>
        <w:t>7</w:t>
      </w:r>
      <w:r w:rsidR="00324E4D">
        <w:rPr>
          <w:rFonts w:asciiTheme="minorHAnsi" w:hAnsiTheme="minorHAnsi" w:cs="Arial"/>
        </w:rPr>
        <w:t xml:space="preserve"> buněk domova mládeže</w:t>
      </w:r>
      <w:r w:rsidR="00AA46D9">
        <w:rPr>
          <w:rFonts w:asciiTheme="minorHAnsi" w:hAnsiTheme="minorHAnsi" w:cs="Arial"/>
        </w:rPr>
        <w:t xml:space="preserve"> (buňky č. 302, č. 303, č. 402, č. 403, č. 501, č. 502, č. 503)</w:t>
      </w:r>
      <w:r w:rsidRPr="00C6615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Náhrady vadných desek (mimo zad skříněk) budou provedeny z lamina v dekoru buk 381 opatřené hranou ABS 2 mm, poškozené části zad skříněk budou nahrazeny bílými MDF deskami, maximální výška nahrazovaných desek bude 195 cm, poškozené zámky budou vyměněné za rozvorové zámky.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>budova domova mládeže U Sportovní haly 1.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lastRenderedPageBreak/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AA46D9">
        <w:rPr>
          <w:rFonts w:ascii="Calibri" w:hAnsi="Calibri" w:cs="Calibri"/>
          <w:snapToGrid w:val="0"/>
        </w:rPr>
        <w:t>1</w:t>
      </w:r>
      <w:r w:rsidR="00324E4D">
        <w:rPr>
          <w:rFonts w:ascii="Calibri" w:hAnsi="Calibri" w:cs="Calibri"/>
          <w:snapToGrid w:val="0"/>
        </w:rPr>
        <w:t xml:space="preserve">. </w:t>
      </w:r>
      <w:r w:rsidR="00AA46D9">
        <w:rPr>
          <w:rFonts w:ascii="Calibri" w:hAnsi="Calibri" w:cs="Calibri"/>
          <w:snapToGrid w:val="0"/>
        </w:rPr>
        <w:t>8. 2017</w:t>
      </w:r>
      <w:r w:rsidR="00203C6E" w:rsidRPr="00E16C80">
        <w:rPr>
          <w:rFonts w:ascii="Calibri" w:hAnsi="Calibri" w:cs="Calibri"/>
          <w:snapToGrid w:val="0"/>
        </w:rPr>
        <w:t xml:space="preserve"> od 9:00 hod.</w:t>
      </w:r>
    </w:p>
    <w:p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AA46D9">
        <w:rPr>
          <w:rFonts w:ascii="Calibri" w:hAnsi="Calibri" w:cs="Calibri"/>
          <w:snapToGrid w:val="0"/>
        </w:rPr>
        <w:t>1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AA46D9">
        <w:rPr>
          <w:rFonts w:ascii="Calibri" w:hAnsi="Calibri" w:cs="Calibri"/>
          <w:snapToGrid w:val="0"/>
        </w:rPr>
        <w:t>8</w:t>
      </w:r>
      <w:r w:rsidR="001A6FBE" w:rsidRPr="00E16C80">
        <w:rPr>
          <w:rFonts w:ascii="Calibri" w:hAnsi="Calibri" w:cs="Calibri"/>
          <w:snapToGrid w:val="0"/>
        </w:rPr>
        <w:t>. 201</w:t>
      </w:r>
      <w:r w:rsidR="00AA46D9">
        <w:rPr>
          <w:rFonts w:ascii="Calibri" w:hAnsi="Calibri" w:cs="Calibri"/>
          <w:snapToGrid w:val="0"/>
        </w:rPr>
        <w:t>7</w:t>
      </w:r>
      <w:r w:rsidR="001A6FBE" w:rsidRPr="00E16C80">
        <w:rPr>
          <w:rFonts w:ascii="Calibri" w:hAnsi="Calibri" w:cs="Calibri"/>
          <w:snapToGrid w:val="0"/>
        </w:rPr>
        <w:t xml:space="preserve"> do </w:t>
      </w:r>
      <w:r w:rsidR="00324E4D">
        <w:rPr>
          <w:rFonts w:ascii="Calibri" w:hAnsi="Calibri" w:cs="Calibri"/>
          <w:snapToGrid w:val="0"/>
        </w:rPr>
        <w:t>3</w:t>
      </w:r>
      <w:r w:rsidR="00AA46D9">
        <w:rPr>
          <w:rFonts w:ascii="Calibri" w:hAnsi="Calibri" w:cs="Calibri"/>
          <w:snapToGrid w:val="0"/>
        </w:rPr>
        <w:t>1</w:t>
      </w:r>
      <w:r w:rsidR="00324E4D">
        <w:rPr>
          <w:rFonts w:ascii="Calibri" w:hAnsi="Calibri" w:cs="Calibri"/>
          <w:snapToGrid w:val="0"/>
        </w:rPr>
        <w:t xml:space="preserve">. </w:t>
      </w:r>
      <w:r w:rsidR="00AA46D9">
        <w:rPr>
          <w:rFonts w:ascii="Calibri" w:hAnsi="Calibri" w:cs="Calibri"/>
          <w:snapToGrid w:val="0"/>
        </w:rPr>
        <w:t>8. 2017</w:t>
      </w:r>
      <w:r w:rsidR="00881944" w:rsidRPr="00E16C80">
        <w:rPr>
          <w:rFonts w:asciiTheme="minorHAnsi" w:hAnsiTheme="minorHAnsi"/>
          <w:b/>
          <w:bCs/>
        </w:rPr>
        <w:t>.</w:t>
      </w:r>
    </w:p>
    <w:p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203C6E" w:rsidRPr="00E16C80">
        <w:rPr>
          <w:rFonts w:ascii="Calibri" w:hAnsi="Calibri" w:cs="Calibri"/>
          <w:snapToGrid w:val="0"/>
        </w:rPr>
        <w:t>d</w:t>
      </w:r>
      <w:r w:rsidR="001A6FBE" w:rsidRPr="00E16C80">
        <w:rPr>
          <w:rFonts w:ascii="Calibri" w:hAnsi="Calibri" w:cs="Calibri"/>
          <w:snapToGrid w:val="0"/>
        </w:rPr>
        <w:t xml:space="preserve">o </w:t>
      </w:r>
      <w:r w:rsidR="00AA46D9">
        <w:rPr>
          <w:rFonts w:ascii="Calibri" w:hAnsi="Calibri" w:cs="Calibri"/>
          <w:snapToGrid w:val="0"/>
        </w:rPr>
        <w:t>1. 9. 2017</w:t>
      </w:r>
      <w:r w:rsidR="00A43C22" w:rsidRPr="00E16C80">
        <w:rPr>
          <w:rFonts w:ascii="Calibri" w:hAnsi="Calibri" w:cs="Calibri"/>
          <w:snapToGrid w:val="0"/>
        </w:rPr>
        <w:t xml:space="preserve">. </w:t>
      </w:r>
      <w:r w:rsidR="0055339A" w:rsidRPr="00E16C80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</w:t>
      </w:r>
      <w:r w:rsidR="00AB38BB">
        <w:rPr>
          <w:rFonts w:ascii="Calibri" w:hAnsi="Calibri" w:cs="Calibri"/>
          <w:b w:val="0"/>
          <w:color w:val="000000"/>
          <w:sz w:val="24"/>
          <w:szCs w:val="24"/>
        </w:rPr>
        <w:t>…………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……………………………………………………………….        </w:t>
      </w:r>
      <w:r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8F6BD9">
        <w:rPr>
          <w:rFonts w:ascii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 w:rsidR="00AA46D9">
        <w:rPr>
          <w:rFonts w:ascii="Calibri" w:hAnsi="Calibri" w:cs="Calibri"/>
          <w:b w:val="0"/>
          <w:color w:val="000000"/>
          <w:sz w:val="24"/>
          <w:szCs w:val="24"/>
        </w:rPr>
        <w:t>199 500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:rsidR="00AB38BB" w:rsidRDefault="00AB38BB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B38BB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AB38BB">
        <w:rPr>
          <w:rStyle w:val="standardtext"/>
          <w:rFonts w:cs="Calibri"/>
          <w:sz w:val="24"/>
          <w:szCs w:val="24"/>
        </w:rPr>
        <w:t>14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</w:t>
      </w:r>
      <w:r w:rsidR="00444DD5" w:rsidRPr="00571521">
        <w:rPr>
          <w:rFonts w:cs="Arial"/>
          <w:sz w:val="24"/>
          <w:szCs w:val="24"/>
        </w:rPr>
        <w:lastRenderedPageBreak/>
        <w:t>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C5BCD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účetnictví a </w:t>
      </w:r>
      <w:r w:rsidR="008E76A6">
        <w:rPr>
          <w:rStyle w:val="standardtext"/>
          <w:rFonts w:ascii="Calibri" w:hAnsi="Calibri" w:cs="Calibri"/>
        </w:rPr>
        <w:t>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AB38BB">
        <w:rPr>
          <w:rStyle w:val="standardtext"/>
          <w:rFonts w:ascii="Calibri" w:hAnsi="Calibri" w:cs="Calibri"/>
        </w:rPr>
        <w:t>30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7C5BCD" w:rsidRDefault="00FC2725" w:rsidP="007C5B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7C5BCD">
        <w:rPr>
          <w:rStyle w:val="standardtext"/>
          <w:rFonts w:cs="Calibri"/>
          <w:sz w:val="24"/>
          <w:szCs w:val="24"/>
        </w:rPr>
        <w:t>Záruční doba běží počínaje</w:t>
      </w:r>
      <w:r w:rsidR="00E52F60" w:rsidRPr="007C5BCD">
        <w:rPr>
          <w:rStyle w:val="standardtext"/>
          <w:rFonts w:cs="Calibri"/>
          <w:sz w:val="24"/>
          <w:szCs w:val="24"/>
        </w:rPr>
        <w:t xml:space="preserve"> </w:t>
      </w:r>
      <w:r w:rsidR="007C0A89" w:rsidRPr="007C5BCD">
        <w:rPr>
          <w:rStyle w:val="standardtext"/>
          <w:rFonts w:cs="Calibri"/>
          <w:sz w:val="24"/>
          <w:szCs w:val="24"/>
        </w:rPr>
        <w:t>převzetím díla Objednatelem</w:t>
      </w:r>
      <w:r w:rsidRPr="007C5BCD">
        <w:rPr>
          <w:rStyle w:val="standardtext"/>
          <w:rFonts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94137C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</w:t>
      </w:r>
      <w:r w:rsidR="00AB38BB">
        <w:rPr>
          <w:rStyle w:val="standardtext"/>
          <w:rFonts w:asciiTheme="minorHAnsi" w:hAnsiTheme="minorHAnsi" w:cs="Calibri"/>
          <w:sz w:val="24"/>
          <w:szCs w:val="24"/>
        </w:rPr>
        <w:t>120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7C5BCD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7C5BCD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7C5BCD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76FC7" w:rsidRDefault="00D76FC7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 xml:space="preserve">náleží </w:t>
      </w:r>
      <w:r w:rsidR="007C5BCD">
        <w:rPr>
          <w:rFonts w:cs="Calibri"/>
          <w:sz w:val="24"/>
          <w:szCs w:val="24"/>
        </w:rPr>
        <w:t>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 xml:space="preserve">árok na smluvní pokutu ve výši </w:t>
      </w:r>
      <w:r w:rsidR="006A0367">
        <w:rPr>
          <w:rFonts w:cs="Calibri"/>
          <w:sz w:val="24"/>
          <w:szCs w:val="24"/>
        </w:rPr>
        <w:t>500</w:t>
      </w:r>
      <w:r w:rsidR="00EC3C02">
        <w:rPr>
          <w:rFonts w:cs="Calibri"/>
          <w:sz w:val="24"/>
          <w:szCs w:val="24"/>
        </w:rPr>
        <w:t xml:space="preserve"> </w:t>
      </w:r>
      <w:r w:rsidR="00165800">
        <w:rPr>
          <w:rFonts w:cs="Calibri"/>
          <w:sz w:val="24"/>
          <w:szCs w:val="24"/>
        </w:rPr>
        <w:t xml:space="preserve">Kč/24 hodin prodlení s odstraňování vady. </w:t>
      </w:r>
      <w:r w:rsidR="007C5BCD">
        <w:rPr>
          <w:rFonts w:cs="Calibri"/>
          <w:sz w:val="24"/>
          <w:szCs w:val="24"/>
        </w:rPr>
        <w:t xml:space="preserve">Zhotovitel </w:t>
      </w:r>
      <w:r w:rsidR="00165800">
        <w:rPr>
          <w:rFonts w:cs="Calibri"/>
          <w:sz w:val="24"/>
          <w:szCs w:val="24"/>
        </w:rPr>
        <w:t>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</w:t>
      </w:r>
      <w:r w:rsidR="00AB38BB">
        <w:rPr>
          <w:rFonts w:cs="Calibri"/>
          <w:sz w:val="24"/>
          <w:szCs w:val="24"/>
        </w:rPr>
        <w:t>168</w:t>
      </w:r>
      <w:r>
        <w:rPr>
          <w:rFonts w:cs="Calibri"/>
          <w:sz w:val="24"/>
          <w:szCs w:val="24"/>
        </w:rPr>
        <w:t xml:space="preserve"> hodin od nahlášení vady Objednatelem, je Objednatel oprávněn objednat odstranění vady jménem Zhotovitele u jiného dodavatele. Zhotovitel uhradí </w:t>
      </w:r>
      <w:r w:rsidR="007C5BCD">
        <w:rPr>
          <w:rFonts w:cs="Calibri"/>
          <w:sz w:val="24"/>
          <w:szCs w:val="24"/>
        </w:rPr>
        <w:t xml:space="preserve">jinému </w:t>
      </w:r>
      <w:r>
        <w:rPr>
          <w:rFonts w:cs="Calibri"/>
          <w:sz w:val="24"/>
          <w:szCs w:val="24"/>
        </w:rPr>
        <w:t xml:space="preserve">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7C5BCD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7C5BCD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</w:t>
      </w:r>
      <w:r w:rsidR="007C5BC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C5BCD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C5BCD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AA46D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28. 4. </w:t>
      </w:r>
      <w:proofErr w:type="gramStart"/>
      <w:r w:rsidR="00AA46D9">
        <w:rPr>
          <w:rFonts w:ascii="Calibri" w:hAnsi="Calibri" w:cs="Calibri"/>
          <w:b w:val="0"/>
          <w:bCs w:val="0"/>
          <w:color w:val="auto"/>
          <w:sz w:val="24"/>
          <w:szCs w:val="24"/>
        </w:rPr>
        <w:t>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</w:t>
      </w:r>
      <w:r w:rsidR="0094137C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proofErr w:type="gramEnd"/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94137C">
        <w:rPr>
          <w:rFonts w:ascii="Calibri" w:hAnsi="Calibri" w:cs="Calibri"/>
          <w:b w:val="0"/>
          <w:bCs w:val="0"/>
          <w:color w:val="auto"/>
          <w:sz w:val="24"/>
          <w:szCs w:val="24"/>
        </w:rPr>
        <w:t>28. 4. 2017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73" w:rsidRDefault="005F0173" w:rsidP="00F21921">
      <w:r>
        <w:separator/>
      </w:r>
    </w:p>
  </w:endnote>
  <w:endnote w:type="continuationSeparator" w:id="0">
    <w:p w:rsidR="005F0173" w:rsidRDefault="005F0173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94137C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73" w:rsidRDefault="005F0173" w:rsidP="00F21921">
      <w:r>
        <w:separator/>
      </w:r>
    </w:p>
  </w:footnote>
  <w:footnote w:type="continuationSeparator" w:id="0">
    <w:p w:rsidR="005F0173" w:rsidRDefault="005F0173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13B3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536FC"/>
    <w:rsid w:val="00261DFB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409C8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0173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4137C"/>
    <w:rsid w:val="0096265B"/>
    <w:rsid w:val="009657F7"/>
    <w:rsid w:val="0097496A"/>
    <w:rsid w:val="009D05FB"/>
    <w:rsid w:val="009D5027"/>
    <w:rsid w:val="009D5C31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323F4"/>
    <w:rsid w:val="00C336BD"/>
    <w:rsid w:val="00C53F9F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010EA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89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2017-04-28T10:59:00Z</cp:lastPrinted>
  <dcterms:created xsi:type="dcterms:W3CDTF">2017-05-02T11:43:00Z</dcterms:created>
  <dcterms:modified xsi:type="dcterms:W3CDTF">2017-05-02T11:44:00Z</dcterms:modified>
</cp:coreProperties>
</file>