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96291">
        <w:rPr>
          <w:rFonts w:ascii="Segoe UI" w:hAnsi="Segoe UI" w:cs="Segoe UI"/>
          <w:color w:val="808080" w:themeColor="background1" w:themeShade="80"/>
          <w:sz w:val="32"/>
          <w:szCs w:val="32"/>
        </w:rPr>
        <w:t>390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D0D6F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obec </w:t>
      </w:r>
      <w:r w:rsidR="00196291">
        <w:rPr>
          <w:rFonts w:ascii="Segoe UI" w:hAnsi="Segoe UI" w:cs="Segoe UI"/>
          <w:b/>
          <w:color w:val="000000" w:themeColor="text1"/>
          <w:sz w:val="20"/>
        </w:rPr>
        <w:t>Lažiště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 xml:space="preserve">Obecní úřad </w:t>
      </w:r>
      <w:r w:rsidR="00196291">
        <w:rPr>
          <w:rFonts w:ascii="Segoe UI" w:hAnsi="Segoe UI" w:cs="Segoe UI"/>
          <w:color w:val="000000" w:themeColor="text1"/>
          <w:sz w:val="20"/>
        </w:rPr>
        <w:t>Lažiště, Lažiště 24, 384 32 Lažiště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8755CE">
        <w:rPr>
          <w:rFonts w:ascii="Segoe UI" w:hAnsi="Segoe UI" w:cs="Segoe UI"/>
          <w:color w:val="000000" w:themeColor="text1"/>
          <w:sz w:val="20"/>
        </w:rPr>
        <w:t>25</w:t>
      </w:r>
      <w:r w:rsidR="00196291">
        <w:rPr>
          <w:rFonts w:ascii="Segoe UI" w:hAnsi="Segoe UI" w:cs="Segoe UI"/>
          <w:color w:val="000000" w:themeColor="text1"/>
          <w:sz w:val="20"/>
        </w:rPr>
        <w:t>0520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D0D6F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196291">
        <w:rPr>
          <w:rFonts w:ascii="Segoe UI" w:hAnsi="Segoe UI" w:cs="Segoe UI"/>
          <w:color w:val="000000" w:themeColor="text1"/>
          <w:sz w:val="20"/>
        </w:rPr>
        <w:t>Janem P ě s t o u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Česká národní banka</w:t>
      </w:r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196291" w:rsidRPr="00196291">
        <w:rPr>
          <w:rFonts w:ascii="Segoe UI" w:hAnsi="Segoe UI" w:cs="Segoe UI"/>
          <w:bCs/>
          <w:color w:val="auto"/>
          <w:sz w:val="20"/>
        </w:rPr>
        <w:t>94-1311281/0710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196291">
        <w:rPr>
          <w:rFonts w:ascii="Segoe UI" w:hAnsi="Segoe UI" w:cs="Segoe UI"/>
          <w:color w:val="000000" w:themeColor="text1"/>
          <w:sz w:val="20"/>
        </w:rPr>
        <w:t>390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304CC0">
        <w:rPr>
          <w:rFonts w:ascii="Segoe UI" w:hAnsi="Segoe UI" w:cs="Segoe UI"/>
          <w:color w:val="000000" w:themeColor="text1"/>
          <w:sz w:val="20"/>
        </w:rPr>
        <w:t>24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304CC0">
        <w:rPr>
          <w:rFonts w:ascii="Segoe UI" w:hAnsi="Segoe UI" w:cs="Segoe UI"/>
          <w:color w:val="000000" w:themeColor="text1"/>
          <w:sz w:val="20"/>
        </w:rPr>
        <w:t>5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</w:t>
      </w:r>
      <w:r w:rsidR="00B31A90">
        <w:rPr>
          <w:rFonts w:ascii="Segoe UI" w:hAnsi="Segoe UI" w:cs="Segoe UI"/>
          <w:color w:val="000000" w:themeColor="text1"/>
          <w:sz w:val="20"/>
        </w:rPr>
        <w:t>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210F69">
        <w:rPr>
          <w:rFonts w:ascii="Segoe UI" w:hAnsi="Segoe UI" w:cs="Segoe UI"/>
          <w:b/>
          <w:color w:val="000000" w:themeColor="text1"/>
          <w:sz w:val="20"/>
        </w:rPr>
        <w:t>„</w:t>
      </w:r>
      <w:r w:rsidR="00196291" w:rsidRPr="00196291">
        <w:rPr>
          <w:rFonts w:ascii="Segoe UI" w:hAnsi="Segoe UI" w:cs="Segoe UI"/>
          <w:b/>
          <w:bCs/>
          <w:color w:val="auto"/>
          <w:sz w:val="20"/>
        </w:rPr>
        <w:t>Lažiště – vrt HJ-4, napojení vrtu na nový vodojem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196291">
        <w:rPr>
          <w:rFonts w:ascii="Segoe UI" w:hAnsi="Segoe UI" w:cs="Segoe UI"/>
          <w:color w:val="000000" w:themeColor="text1"/>
          <w:sz w:val="20"/>
        </w:rPr>
        <w:t>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93484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325383">
        <w:rPr>
          <w:rFonts w:ascii="Segoe UI" w:hAnsi="Segoe UI" w:cs="Segoe UI"/>
          <w:b/>
          <w:color w:val="000000" w:themeColor="text1"/>
          <w:sz w:val="20"/>
        </w:rPr>
        <w:t>2</w:t>
      </w:r>
      <w:r w:rsidR="00304CC0">
        <w:rPr>
          <w:rFonts w:ascii="Segoe UI" w:hAnsi="Segoe UI" w:cs="Segoe UI"/>
          <w:b/>
          <w:color w:val="000000" w:themeColor="text1"/>
          <w:sz w:val="20"/>
        </w:rPr>
        <w:t> </w:t>
      </w:r>
      <w:r w:rsidR="00196291">
        <w:rPr>
          <w:rFonts w:ascii="Segoe UI" w:hAnsi="Segoe UI" w:cs="Segoe UI"/>
          <w:b/>
          <w:color w:val="000000" w:themeColor="text1"/>
          <w:sz w:val="20"/>
        </w:rPr>
        <w:t>929</w:t>
      </w:r>
      <w:r w:rsidR="00304CC0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196291">
        <w:rPr>
          <w:rFonts w:ascii="Segoe UI" w:hAnsi="Segoe UI" w:cs="Segoe UI"/>
          <w:b/>
          <w:color w:val="000000" w:themeColor="text1"/>
          <w:sz w:val="20"/>
        </w:rPr>
        <w:t>550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325383">
        <w:rPr>
          <w:rFonts w:ascii="Segoe UI" w:hAnsi="Segoe UI" w:cs="Segoe UI"/>
          <w:color w:val="000000" w:themeColor="text1"/>
          <w:sz w:val="20"/>
        </w:rPr>
        <w:t xml:space="preserve">dva miliony </w:t>
      </w:r>
      <w:r w:rsidR="00196291">
        <w:rPr>
          <w:rFonts w:ascii="Segoe UI" w:hAnsi="Segoe UI" w:cs="Segoe UI"/>
          <w:color w:val="000000" w:themeColor="text1"/>
          <w:sz w:val="20"/>
        </w:rPr>
        <w:t>devět set dvacet devět</w:t>
      </w:r>
      <w:r w:rsidR="00904210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0F0804">
        <w:rPr>
          <w:rFonts w:ascii="Segoe UI" w:hAnsi="Segoe UI" w:cs="Segoe UI"/>
          <w:color w:val="000000" w:themeColor="text1"/>
          <w:sz w:val="20"/>
        </w:rPr>
        <w:t>pět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</w:t>
      </w:r>
      <w:r w:rsidR="00196291">
        <w:rPr>
          <w:rFonts w:ascii="Segoe UI" w:hAnsi="Segoe UI" w:cs="Segoe UI"/>
          <w:color w:val="000000" w:themeColor="text1"/>
          <w:sz w:val="20"/>
        </w:rPr>
        <w:t xml:space="preserve">set padesát </w:t>
      </w:r>
      <w:r w:rsidR="00843461">
        <w:rPr>
          <w:rFonts w:ascii="Segoe UI" w:hAnsi="Segoe UI" w:cs="Segoe UI"/>
          <w:color w:val="000000" w:themeColor="text1"/>
          <w:sz w:val="20"/>
        </w:rPr>
        <w:t>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304CC0">
        <w:rPr>
          <w:rFonts w:ascii="Segoe UI" w:hAnsi="Segoe UI" w:cs="Segoe UI"/>
          <w:color w:val="000000" w:themeColor="text1"/>
          <w:sz w:val="20"/>
        </w:rPr>
        <w:t>3</w:t>
      </w:r>
      <w:r w:rsidR="00196291">
        <w:rPr>
          <w:rFonts w:ascii="Segoe UI" w:hAnsi="Segoe UI" w:cs="Segoe UI"/>
          <w:color w:val="000000" w:themeColor="text1"/>
          <w:sz w:val="20"/>
        </w:rPr>
        <w:t> 661 938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196291">
        <w:rPr>
          <w:rFonts w:ascii="Segoe UI" w:hAnsi="Segoe UI" w:cs="Segoe UI"/>
          <w:color w:val="000000" w:themeColor="text1"/>
          <w:sz w:val="20"/>
        </w:rPr>
        <w:t>8</w:t>
      </w:r>
      <w:r w:rsidR="00904210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904210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304CC0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E66B7">
        <w:rPr>
          <w:rFonts w:ascii="Segoe UI" w:hAnsi="Segoe UI" w:cs="Segoe UI"/>
          <w:color w:val="000000" w:themeColor="text1"/>
          <w:sz w:val="20"/>
        </w:rPr>
        <w:t>2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196291" w:rsidRPr="00196291">
        <w:rPr>
          <w:rFonts w:ascii="Segoe UI" w:hAnsi="Segoe UI" w:cs="Segoe UI"/>
          <w:color w:val="000000" w:themeColor="text1"/>
          <w:sz w:val="20"/>
        </w:rPr>
        <w:t>2 929 550</w:t>
      </w:r>
      <w:r w:rsidR="001962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19629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196291">
        <w:rPr>
          <w:rFonts w:ascii="Segoe UI" w:hAnsi="Segoe UI" w:cs="Segoe UI"/>
          <w:color w:val="000000" w:themeColor="text1"/>
          <w:sz w:val="20"/>
        </w:rPr>
        <w:t>1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93484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196291">
        <w:rPr>
          <w:rFonts w:ascii="Segoe UI" w:hAnsi="Segoe UI" w:cs="Segoe UI"/>
          <w:color w:val="000000" w:themeColor="text1"/>
          <w:sz w:val="20"/>
        </w:rPr>
        <w:t>732 388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641850" w:rsidRDefault="000E25E0" w:rsidP="0072639A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41850">
        <w:rPr>
          <w:rFonts w:ascii="Segoe UI" w:hAnsi="Segoe UI" w:cs="Segoe UI"/>
          <w:color w:val="auto"/>
          <w:sz w:val="20"/>
        </w:rPr>
        <w:t>akce bude provedena podle</w:t>
      </w:r>
      <w:r w:rsidR="00F42144" w:rsidRPr="00641850">
        <w:rPr>
          <w:rFonts w:ascii="Segoe UI" w:hAnsi="Segoe UI" w:cs="Segoe UI"/>
          <w:color w:val="auto"/>
          <w:sz w:val="20"/>
        </w:rPr>
        <w:t xml:space="preserve"> </w:t>
      </w:r>
      <w:r w:rsidR="00F42144" w:rsidRPr="00641850">
        <w:rPr>
          <w:rFonts w:ascii="Segoe UI" w:hAnsi="Segoe UI" w:cs="Segoe UI"/>
          <w:bCs/>
          <w:color w:val="auto"/>
          <w:sz w:val="20"/>
        </w:rPr>
        <w:t>Fondem odsouhlasen</w:t>
      </w:r>
      <w:r w:rsidR="00304CC0" w:rsidRPr="00641850">
        <w:rPr>
          <w:rFonts w:ascii="Segoe UI" w:hAnsi="Segoe UI" w:cs="Segoe UI"/>
          <w:bCs/>
          <w:color w:val="auto"/>
          <w:sz w:val="20"/>
        </w:rPr>
        <w:t>ých</w:t>
      </w:r>
      <w:r w:rsidR="00F42144" w:rsidRPr="00641850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304CC0" w:rsidRPr="00641850">
        <w:rPr>
          <w:rFonts w:ascii="Segoe UI" w:hAnsi="Segoe UI" w:cs="Segoe UI"/>
          <w:bCs/>
          <w:color w:val="auto"/>
          <w:sz w:val="20"/>
        </w:rPr>
        <w:t>ých</w:t>
      </w:r>
      <w:r w:rsidR="00F42144" w:rsidRPr="00641850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304CC0" w:rsidRPr="00641850">
        <w:rPr>
          <w:rFonts w:ascii="Segoe UI" w:hAnsi="Segoe UI" w:cs="Segoe UI"/>
          <w:bCs/>
          <w:color w:val="auto"/>
          <w:sz w:val="20"/>
        </w:rPr>
        <w:t>í</w:t>
      </w:r>
      <w:r w:rsidR="00F42144" w:rsidRPr="00641850">
        <w:rPr>
          <w:rFonts w:ascii="Segoe UI" w:hAnsi="Segoe UI" w:cs="Segoe UI"/>
          <w:bCs/>
          <w:color w:val="auto"/>
          <w:sz w:val="20"/>
        </w:rPr>
        <w:t xml:space="preserve"> „</w:t>
      </w:r>
      <w:r w:rsidR="00641850" w:rsidRPr="00641850">
        <w:rPr>
          <w:rFonts w:ascii="Segoe UI" w:hAnsi="Segoe UI" w:cs="Segoe UI"/>
          <w:bCs/>
          <w:color w:val="auto"/>
          <w:sz w:val="20"/>
        </w:rPr>
        <w:t>Hydrogeologický průzkumný vrt HJ-4 v katastru obce Švihov u Lažišť</w:t>
      </w:r>
      <w:r w:rsidR="00F42144" w:rsidRPr="00641850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641850">
        <w:rPr>
          <w:rFonts w:ascii="Segoe UI" w:hAnsi="Segoe UI" w:cs="Segoe UI"/>
          <w:bCs/>
          <w:color w:val="auto"/>
          <w:sz w:val="20"/>
        </w:rPr>
        <w:t>vy</w:t>
      </w:r>
      <w:r w:rsidR="00F42144" w:rsidRPr="00641850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641850" w:rsidRPr="00641850">
        <w:rPr>
          <w:rFonts w:ascii="Segoe UI" w:hAnsi="Segoe UI" w:cs="Segoe UI"/>
          <w:bCs/>
          <w:color w:val="auto"/>
          <w:sz w:val="20"/>
        </w:rPr>
        <w:t xml:space="preserve">RNDr. Vítem Holečkem </w:t>
      </w:r>
      <w:r w:rsidR="005C1355" w:rsidRPr="00641850">
        <w:rPr>
          <w:rFonts w:ascii="Segoe UI" w:hAnsi="Segoe UI" w:cs="Segoe UI"/>
          <w:bCs/>
          <w:color w:val="auto"/>
          <w:sz w:val="20"/>
        </w:rPr>
        <w:t>v </w:t>
      </w:r>
      <w:r w:rsidR="00304CC0" w:rsidRPr="00641850">
        <w:rPr>
          <w:rFonts w:ascii="Segoe UI" w:hAnsi="Segoe UI" w:cs="Segoe UI"/>
          <w:bCs/>
          <w:color w:val="auto"/>
          <w:sz w:val="20"/>
        </w:rPr>
        <w:t>11</w:t>
      </w:r>
      <w:r w:rsidR="005C1355" w:rsidRPr="00641850">
        <w:rPr>
          <w:rFonts w:ascii="Segoe UI" w:hAnsi="Segoe UI" w:cs="Segoe UI"/>
          <w:bCs/>
          <w:color w:val="auto"/>
          <w:sz w:val="20"/>
        </w:rPr>
        <w:t>/20</w:t>
      </w:r>
      <w:r w:rsidR="00904210" w:rsidRPr="00641850">
        <w:rPr>
          <w:rFonts w:ascii="Segoe UI" w:hAnsi="Segoe UI" w:cs="Segoe UI"/>
          <w:bCs/>
          <w:color w:val="auto"/>
          <w:sz w:val="20"/>
        </w:rPr>
        <w:t>2</w:t>
      </w:r>
      <w:r w:rsidR="00325383" w:rsidRPr="00641850">
        <w:rPr>
          <w:rFonts w:ascii="Segoe UI" w:hAnsi="Segoe UI" w:cs="Segoe UI"/>
          <w:bCs/>
          <w:color w:val="auto"/>
          <w:sz w:val="20"/>
        </w:rPr>
        <w:t>0</w:t>
      </w:r>
      <w:r w:rsidR="00304CC0" w:rsidRPr="00641850">
        <w:rPr>
          <w:rFonts w:ascii="Segoe UI" w:hAnsi="Segoe UI" w:cs="Segoe UI"/>
          <w:bCs/>
          <w:color w:val="auto"/>
          <w:sz w:val="20"/>
        </w:rPr>
        <w:t xml:space="preserve"> a „</w:t>
      </w:r>
      <w:r w:rsidR="00641850" w:rsidRPr="00641850">
        <w:rPr>
          <w:rFonts w:ascii="Segoe UI" w:hAnsi="Segoe UI" w:cs="Segoe UI"/>
          <w:bCs/>
          <w:color w:val="auto"/>
          <w:sz w:val="20"/>
        </w:rPr>
        <w:t>Posílení vodních zdrojů v obci Lažiště</w:t>
      </w:r>
      <w:r w:rsidR="00304CC0" w:rsidRPr="00641850">
        <w:rPr>
          <w:rFonts w:ascii="Segoe UI" w:hAnsi="Segoe UI" w:cs="Segoe UI"/>
          <w:bCs/>
          <w:color w:val="auto"/>
          <w:sz w:val="20"/>
        </w:rPr>
        <w:t xml:space="preserve">“, vypracované Ing. </w:t>
      </w:r>
      <w:r w:rsidR="00641850" w:rsidRPr="00641850">
        <w:rPr>
          <w:rFonts w:ascii="Segoe UI" w:hAnsi="Segoe UI" w:cs="Segoe UI"/>
          <w:bCs/>
          <w:color w:val="auto"/>
          <w:sz w:val="20"/>
        </w:rPr>
        <w:t xml:space="preserve">Janou Pinkeovou </w:t>
      </w:r>
      <w:r w:rsidR="00304CC0" w:rsidRPr="00641850">
        <w:rPr>
          <w:rFonts w:ascii="Segoe UI" w:hAnsi="Segoe UI" w:cs="Segoe UI"/>
          <w:bCs/>
          <w:color w:val="auto"/>
          <w:sz w:val="20"/>
        </w:rPr>
        <w:t>v </w:t>
      </w:r>
      <w:r w:rsidR="00641850" w:rsidRPr="00641850">
        <w:rPr>
          <w:rFonts w:ascii="Segoe UI" w:hAnsi="Segoe UI" w:cs="Segoe UI"/>
          <w:bCs/>
          <w:color w:val="auto"/>
          <w:sz w:val="20"/>
        </w:rPr>
        <w:t>11</w:t>
      </w:r>
      <w:r w:rsidR="00304CC0" w:rsidRPr="00641850">
        <w:rPr>
          <w:rFonts w:ascii="Segoe UI" w:hAnsi="Segoe UI" w:cs="Segoe UI"/>
          <w:bCs/>
          <w:color w:val="auto"/>
          <w:sz w:val="20"/>
        </w:rPr>
        <w:t>/2020</w:t>
      </w:r>
      <w:r w:rsidR="00AC22B7" w:rsidRPr="00641850">
        <w:rPr>
          <w:rFonts w:ascii="Segoe UI" w:hAnsi="Segoe UI" w:cs="Segoe UI"/>
          <w:bCs/>
          <w:color w:val="auto"/>
          <w:sz w:val="20"/>
        </w:rPr>
        <w:t xml:space="preserve">, </w:t>
      </w:r>
      <w:r w:rsidR="00993484" w:rsidRPr="00641850">
        <w:rPr>
          <w:rFonts w:ascii="Segoe UI" w:hAnsi="Segoe UI" w:cs="Segoe UI"/>
          <w:bCs/>
          <w:color w:val="auto"/>
          <w:sz w:val="20"/>
        </w:rPr>
        <w:t>kter</w:t>
      </w:r>
      <w:r w:rsidR="00304CC0" w:rsidRPr="00641850">
        <w:rPr>
          <w:rFonts w:ascii="Segoe UI" w:hAnsi="Segoe UI" w:cs="Segoe UI"/>
          <w:bCs/>
          <w:color w:val="auto"/>
          <w:sz w:val="20"/>
        </w:rPr>
        <w:t>é</w:t>
      </w:r>
      <w:r w:rsidR="00993484" w:rsidRPr="00641850">
        <w:rPr>
          <w:rFonts w:ascii="Segoe UI" w:hAnsi="Segoe UI" w:cs="Segoe UI"/>
          <w:bCs/>
          <w:color w:val="auto"/>
          <w:sz w:val="20"/>
        </w:rPr>
        <w:t xml:space="preserve"> j</w:t>
      </w:r>
      <w:r w:rsidR="00304CC0" w:rsidRPr="00641850">
        <w:rPr>
          <w:rFonts w:ascii="Segoe UI" w:hAnsi="Segoe UI" w:cs="Segoe UI"/>
          <w:bCs/>
          <w:color w:val="auto"/>
          <w:sz w:val="20"/>
        </w:rPr>
        <w:t>sou</w:t>
      </w:r>
      <w:r w:rsidR="00993484" w:rsidRPr="00641850">
        <w:rPr>
          <w:rFonts w:ascii="Segoe UI" w:hAnsi="Segoe UI" w:cs="Segoe UI"/>
          <w:bCs/>
          <w:color w:val="auto"/>
          <w:sz w:val="20"/>
        </w:rPr>
        <w:t xml:space="preserve"> součástí </w:t>
      </w:r>
      <w:r w:rsidR="00904210" w:rsidRPr="00641850">
        <w:rPr>
          <w:rFonts w:ascii="Segoe UI" w:hAnsi="Segoe UI" w:cs="Segoe UI"/>
          <w:bCs/>
          <w:color w:val="auto"/>
          <w:sz w:val="20"/>
        </w:rPr>
        <w:t>ž</w:t>
      </w:r>
      <w:r w:rsidR="00036D9B" w:rsidRPr="00641850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641850">
        <w:rPr>
          <w:rFonts w:ascii="Segoe UI" w:hAnsi="Segoe UI" w:cs="Segoe UI"/>
          <w:bCs/>
          <w:color w:val="auto"/>
          <w:sz w:val="20"/>
        </w:rPr>
        <w:t xml:space="preserve"> </w:t>
      </w:r>
      <w:r w:rsidR="00641850" w:rsidRPr="00641850">
        <w:rPr>
          <w:rFonts w:ascii="Segoe UI" w:hAnsi="Segoe UI" w:cs="Segoe UI"/>
          <w:bCs/>
          <w:color w:val="auto"/>
          <w:sz w:val="20"/>
        </w:rPr>
        <w:t>4</w:t>
      </w:r>
      <w:r w:rsidR="00036D9B" w:rsidRPr="00641850">
        <w:rPr>
          <w:rFonts w:ascii="Segoe UI" w:hAnsi="Segoe UI" w:cs="Segoe UI"/>
          <w:bCs/>
          <w:color w:val="auto"/>
          <w:sz w:val="20"/>
        </w:rPr>
        <w:t xml:space="preserve">. </w:t>
      </w:r>
      <w:r w:rsidR="008755CE" w:rsidRPr="00641850">
        <w:rPr>
          <w:rFonts w:ascii="Segoe UI" w:hAnsi="Segoe UI" w:cs="Segoe UI"/>
          <w:bCs/>
          <w:color w:val="auto"/>
          <w:sz w:val="20"/>
        </w:rPr>
        <w:t>1</w:t>
      </w:r>
      <w:r w:rsidR="00036D9B" w:rsidRPr="00641850">
        <w:rPr>
          <w:rFonts w:ascii="Segoe UI" w:hAnsi="Segoe UI" w:cs="Segoe UI"/>
          <w:bCs/>
          <w:color w:val="auto"/>
          <w:sz w:val="20"/>
        </w:rPr>
        <w:t>. 20</w:t>
      </w:r>
      <w:r w:rsidR="005C1355" w:rsidRPr="00641850">
        <w:rPr>
          <w:rFonts w:ascii="Segoe UI" w:hAnsi="Segoe UI" w:cs="Segoe UI"/>
          <w:bCs/>
          <w:color w:val="auto"/>
          <w:sz w:val="20"/>
        </w:rPr>
        <w:t>2</w:t>
      </w:r>
      <w:r w:rsidR="00641850" w:rsidRPr="00641850">
        <w:rPr>
          <w:rFonts w:ascii="Segoe UI" w:hAnsi="Segoe UI" w:cs="Segoe UI"/>
          <w:bCs/>
          <w:color w:val="auto"/>
          <w:sz w:val="20"/>
        </w:rPr>
        <w:t>1</w:t>
      </w:r>
      <w:r w:rsidR="00036D9B" w:rsidRPr="00641850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993484" w:rsidRPr="00641850">
        <w:rPr>
          <w:rFonts w:ascii="Segoe UI" w:hAnsi="Segoe UI" w:cs="Segoe UI"/>
          <w:bCs/>
          <w:color w:val="auto"/>
          <w:sz w:val="20"/>
        </w:rPr>
        <w:t>1</w:t>
      </w:r>
      <w:r w:rsidR="00641850" w:rsidRPr="00641850">
        <w:rPr>
          <w:rFonts w:ascii="Segoe UI" w:hAnsi="Segoe UI" w:cs="Segoe UI"/>
          <w:bCs/>
          <w:color w:val="auto"/>
          <w:sz w:val="20"/>
        </w:rPr>
        <w:t>3</w:t>
      </w:r>
      <w:r w:rsidR="00036D9B" w:rsidRPr="00641850">
        <w:rPr>
          <w:rFonts w:ascii="Segoe UI" w:hAnsi="Segoe UI" w:cs="Segoe UI"/>
          <w:bCs/>
          <w:color w:val="auto"/>
          <w:sz w:val="20"/>
        </w:rPr>
        <w:t>.</w:t>
      </w:r>
      <w:r w:rsidR="003606A7" w:rsidRPr="00641850">
        <w:rPr>
          <w:rFonts w:ascii="Segoe UI" w:hAnsi="Segoe UI" w:cs="Segoe UI"/>
          <w:bCs/>
          <w:color w:val="auto"/>
          <w:sz w:val="20"/>
        </w:rPr>
        <w:t xml:space="preserve"> </w:t>
      </w:r>
      <w:r w:rsidR="00641850" w:rsidRPr="00641850">
        <w:rPr>
          <w:rFonts w:ascii="Segoe UI" w:hAnsi="Segoe UI" w:cs="Segoe UI"/>
          <w:bCs/>
          <w:color w:val="auto"/>
          <w:sz w:val="20"/>
        </w:rPr>
        <w:t>6</w:t>
      </w:r>
      <w:r w:rsidR="00036D9B" w:rsidRPr="00641850">
        <w:rPr>
          <w:rFonts w:ascii="Segoe UI" w:hAnsi="Segoe UI" w:cs="Segoe UI"/>
          <w:bCs/>
          <w:color w:val="auto"/>
          <w:sz w:val="20"/>
        </w:rPr>
        <w:t>. 20</w:t>
      </w:r>
      <w:r w:rsidR="00776F45" w:rsidRPr="00641850">
        <w:rPr>
          <w:rFonts w:ascii="Segoe UI" w:hAnsi="Segoe UI" w:cs="Segoe UI"/>
          <w:bCs/>
          <w:color w:val="auto"/>
          <w:sz w:val="20"/>
        </w:rPr>
        <w:t>2</w:t>
      </w:r>
      <w:r w:rsidR="00993484" w:rsidRPr="00641850">
        <w:rPr>
          <w:rFonts w:ascii="Segoe UI" w:hAnsi="Segoe UI" w:cs="Segoe UI"/>
          <w:bCs/>
          <w:color w:val="auto"/>
          <w:sz w:val="20"/>
        </w:rPr>
        <w:t>2</w:t>
      </w:r>
      <w:r w:rsidR="00CC67C1" w:rsidRPr="00641850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641850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641850">
        <w:rPr>
          <w:rFonts w:ascii="Segoe UI" w:hAnsi="Segoe UI" w:cs="Segoe UI"/>
          <w:bCs/>
          <w:color w:val="auto"/>
          <w:sz w:val="20"/>
        </w:rPr>
        <w:t xml:space="preserve">tj. </w:t>
      </w:r>
      <w:r w:rsidR="00641850" w:rsidRPr="00641850">
        <w:rPr>
          <w:rFonts w:ascii="Segoe UI" w:hAnsi="Segoe UI" w:cs="Segoe UI"/>
          <w:bCs/>
          <w:color w:val="auto"/>
          <w:sz w:val="20"/>
        </w:rPr>
        <w:t>bude vybudována jedna vrtaná studna, realizováno připojení v délce 28 m a výstavba jednoho nového vodojemu včetně napojení do stávající vodovodní soustavy obce</w:t>
      </w:r>
      <w:r w:rsidR="0072639A" w:rsidRPr="00641850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3963B1" w:rsidRDefault="00C416AC" w:rsidP="00C416AC">
      <w:pPr>
        <w:pStyle w:val="Zkladntext"/>
        <w:numPr>
          <w:ilvl w:val="0"/>
          <w:numId w:val="1"/>
        </w:numPr>
        <w:tabs>
          <w:tab w:val="clear" w:pos="36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</w:t>
      </w:r>
      <w:r w:rsidR="00196291">
        <w:rPr>
          <w:rFonts w:ascii="Segoe UI" w:hAnsi="Segoe UI" w:cs="Segoe UI"/>
          <w:bCs/>
          <w:sz w:val="20"/>
        </w:rPr>
        <w:t>ku</w:t>
      </w:r>
      <w:r w:rsidRPr="003963B1">
        <w:rPr>
          <w:rFonts w:ascii="Segoe UI" w:hAnsi="Segoe UI" w:cs="Segoe UI"/>
          <w:bCs/>
          <w:sz w:val="20"/>
        </w:rPr>
        <w:t xml:space="preserve"> ve vlastnictví příjemce podpory,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944667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235A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A82ACC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44667">
        <w:rPr>
          <w:rFonts w:ascii="Segoe UI" w:hAnsi="Segoe UI" w:cs="Segoe UI"/>
          <w:color w:val="000000" w:themeColor="text1"/>
          <w:sz w:val="20"/>
        </w:rPr>
        <w:t>7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944667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944667">
        <w:rPr>
          <w:rFonts w:ascii="Segoe UI" w:hAnsi="Segoe UI" w:cs="Segoe UI"/>
          <w:color w:val="000000" w:themeColor="text1"/>
          <w:sz w:val="20"/>
        </w:rPr>
        <w:t>7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44667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161E9E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13" w:rsidRDefault="00355C13">
      <w:r>
        <w:separator/>
      </w:r>
    </w:p>
  </w:endnote>
  <w:endnote w:type="continuationSeparator" w:id="0">
    <w:p w:rsidR="00355C13" w:rsidRDefault="0035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7A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7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13" w:rsidRDefault="00355C13">
      <w:r>
        <w:separator/>
      </w:r>
    </w:p>
  </w:footnote>
  <w:footnote w:type="continuationSeparator" w:id="0">
    <w:p w:rsidR="00355C13" w:rsidRDefault="0035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8CF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0804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29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0F69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4EB2"/>
    <w:rsid w:val="00277804"/>
    <w:rsid w:val="002817F9"/>
    <w:rsid w:val="00281F5C"/>
    <w:rsid w:val="00282727"/>
    <w:rsid w:val="0028486F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4CC0"/>
    <w:rsid w:val="00306618"/>
    <w:rsid w:val="0030762D"/>
    <w:rsid w:val="00311F91"/>
    <w:rsid w:val="003124D2"/>
    <w:rsid w:val="0031533F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56A0"/>
    <w:rsid w:val="00355C13"/>
    <w:rsid w:val="00356A58"/>
    <w:rsid w:val="003606A7"/>
    <w:rsid w:val="0036167A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1850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40A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5A1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667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3484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5CFC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2ACC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4D16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6BF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217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17"/>
    <w:rsid w:val="00E53750"/>
    <w:rsid w:val="00E55813"/>
    <w:rsid w:val="00E55B7C"/>
    <w:rsid w:val="00E55C4B"/>
    <w:rsid w:val="00E55E93"/>
    <w:rsid w:val="00E56B1C"/>
    <w:rsid w:val="00E60C39"/>
    <w:rsid w:val="00E6207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1152-1618-4D28-AF0B-8239CA88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2758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18800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2022-06-17T10:08:00Z</cp:lastPrinted>
  <dcterms:created xsi:type="dcterms:W3CDTF">2022-06-30T07:34:00Z</dcterms:created>
  <dcterms:modified xsi:type="dcterms:W3CDTF">2022-06-30T07:34:00Z</dcterms:modified>
</cp:coreProperties>
</file>