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F6" w:rsidRPr="001032F6" w:rsidRDefault="004F3D33" w:rsidP="001032F6">
      <w:pPr>
        <w:pStyle w:val="nadpis-bod"/>
        <w:spacing w:before="0" w:after="0"/>
        <w:rPr>
          <w:rFonts w:asciiTheme="minorHAnsi" w:hAnsiTheme="minorHAnsi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FF0985D" wp14:editId="1C11D1F9">
            <wp:simplePos x="0" y="0"/>
            <wp:positionH relativeFrom="page">
              <wp:align>center</wp:align>
            </wp:positionH>
            <wp:positionV relativeFrom="paragraph">
              <wp:posOffset>67310</wp:posOffset>
            </wp:positionV>
            <wp:extent cx="6246000" cy="1065600"/>
            <wp:effectExtent l="0" t="0" r="0" b="0"/>
            <wp:wrapSquare wrapText="bothSides"/>
            <wp:docPr id="2" name="Obrázek 2" descr="C:\Users\Václav\AppData\Local\Microsoft\Windows\INetCache\Content.Word\logolink zakladni_BW(1)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Václav\AppData\Local\Microsoft\Windows\INetCache\Content.Word\logolink zakladni_BW(1)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067" w:rsidRDefault="00240067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</w:p>
    <w:p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:rsidR="00AF7AD9" w:rsidRDefault="00801E86" w:rsidP="00801E86">
      <w:pPr>
        <w:jc w:val="center"/>
      </w:pPr>
      <w:r w:rsidRPr="00BC613E">
        <w:t xml:space="preserve"> </w:t>
      </w:r>
    </w:p>
    <w:p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:rsidR="00801E86" w:rsidRDefault="00801E86" w:rsidP="00801E86">
      <w:pPr>
        <w:jc w:val="center"/>
        <w:rPr>
          <w:rFonts w:cs="Arial"/>
        </w:rPr>
      </w:pPr>
    </w:p>
    <w:p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646DC7" w:rsidRPr="00BC613E" w:rsidTr="008A65C5">
        <w:tc>
          <w:tcPr>
            <w:tcW w:w="9354" w:type="dxa"/>
            <w:gridSpan w:val="4"/>
          </w:tcPr>
          <w:p w:rsidR="00646DC7" w:rsidRPr="0073193E" w:rsidRDefault="004F3D33" w:rsidP="00B96695">
            <w:pPr>
              <w:spacing w:line="276" w:lineRule="auto"/>
              <w:rPr>
                <w:rFonts w:cs="Arial"/>
                <w:b/>
              </w:rPr>
            </w:pPr>
            <w:r w:rsidRPr="00B63659">
              <w:rPr>
                <w:rFonts w:eastAsia="Times New Roman" w:cstheme="minorHAnsi"/>
                <w:b/>
                <w:bCs/>
                <w:lang w:eastAsia="cs-CZ"/>
              </w:rPr>
              <w:t>Základní škola Kunratice, Praha 4, Předškolní 420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801E86" w:rsidRPr="004F3D33" w:rsidRDefault="004F3D33" w:rsidP="00B96695">
            <w:pPr>
              <w:spacing w:line="276" w:lineRule="auto"/>
              <w:rPr>
                <w:rFonts w:cstheme="minorHAnsi"/>
              </w:rPr>
            </w:pPr>
            <w:r w:rsidRPr="00EE6F65">
              <w:rPr>
                <w:rFonts w:cstheme="minorHAnsi"/>
                <w:highlight w:val="black"/>
              </w:rPr>
              <w:t>Předškolní 420/5, 148 00 Praha 4 - Kunratice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801E86" w:rsidRPr="004F3D33" w:rsidRDefault="004F3D33" w:rsidP="00E17613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EE6F65">
              <w:rPr>
                <w:rFonts w:asciiTheme="minorHAnsi" w:hAnsiTheme="minorHAnsi" w:cstheme="minorHAnsi"/>
                <w:highlight w:val="black"/>
              </w:rPr>
              <w:t>Mgr. Ing. Vít Beran, ředitel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  <w:gridSpan w:val="2"/>
          </w:tcPr>
          <w:p w:rsidR="00801E86" w:rsidRPr="004F3D33" w:rsidRDefault="004F3D33" w:rsidP="00B96695">
            <w:pPr>
              <w:spacing w:line="276" w:lineRule="auto"/>
              <w:rPr>
                <w:rFonts w:cstheme="minorHAnsi"/>
              </w:rPr>
            </w:pPr>
            <w:r w:rsidRPr="00EE6F65">
              <w:rPr>
                <w:rFonts w:cstheme="minorHAnsi"/>
                <w:highlight w:val="black"/>
              </w:rPr>
              <w:t>62931377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  <w:gridSpan w:val="2"/>
          </w:tcPr>
          <w:p w:rsidR="00801E86" w:rsidRPr="004F3D33" w:rsidRDefault="004F3D33" w:rsidP="00B96695">
            <w:pPr>
              <w:spacing w:line="276" w:lineRule="auto"/>
              <w:rPr>
                <w:rFonts w:cstheme="minorHAnsi"/>
              </w:rPr>
            </w:pPr>
            <w:r w:rsidRPr="00EE6F65">
              <w:rPr>
                <w:rFonts w:cstheme="minorHAnsi"/>
                <w:highlight w:val="black"/>
              </w:rPr>
              <w:t>CZ62931377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Pr="00BC613E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  <w:r w:rsidR="007319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5C096F" w:rsidRPr="004F3D33" w:rsidRDefault="004F3D33" w:rsidP="00B96695">
            <w:pPr>
              <w:spacing w:line="276" w:lineRule="auto"/>
              <w:rPr>
                <w:rFonts w:cstheme="minorHAnsi"/>
                <w:i/>
              </w:rPr>
            </w:pPr>
            <w:r w:rsidRPr="00EE6F65">
              <w:rPr>
                <w:rStyle w:val="Zvraznn"/>
                <w:rFonts w:cstheme="minorHAnsi"/>
                <w:i w:val="0"/>
                <w:highlight w:val="black"/>
              </w:rPr>
              <w:t>PPF banka</w:t>
            </w:r>
            <w:r w:rsidRPr="00EE6F65">
              <w:rPr>
                <w:rFonts w:cstheme="minorHAnsi"/>
                <w:i/>
                <w:highlight w:val="black"/>
              </w:rPr>
              <w:t xml:space="preserve"> </w:t>
            </w:r>
            <w:r w:rsidRPr="00EE6F65">
              <w:rPr>
                <w:rFonts w:cstheme="minorHAnsi"/>
                <w:highlight w:val="black"/>
              </w:rPr>
              <w:t>a.s</w:t>
            </w:r>
            <w:r w:rsidRPr="004F3D33">
              <w:rPr>
                <w:rFonts w:cstheme="minorHAnsi"/>
              </w:rPr>
              <w:t>.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  <w:r w:rsidR="007319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5C096F" w:rsidRPr="004F3D33" w:rsidRDefault="004F3D33" w:rsidP="00B96695">
            <w:pPr>
              <w:spacing w:line="276" w:lineRule="auto"/>
              <w:rPr>
                <w:rFonts w:cstheme="minorHAnsi"/>
              </w:rPr>
            </w:pPr>
            <w:r w:rsidRPr="00EE6F65">
              <w:rPr>
                <w:rFonts w:cstheme="minorHAnsi"/>
                <w:highlight w:val="black"/>
              </w:rPr>
              <w:t>2016970000/6000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5C096F" w:rsidP="00AF7AD9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AF7AD9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801E86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801E86" w:rsidRPr="00BC613E" w:rsidRDefault="004F3D33" w:rsidP="00B96695">
            <w:pPr>
              <w:spacing w:line="276" w:lineRule="auto"/>
              <w:rPr>
                <w:rFonts w:cs="Arial"/>
              </w:rPr>
            </w:pPr>
            <w:r w:rsidRPr="00EE6F65">
              <w:rPr>
                <w:rFonts w:ascii="Calibri" w:hAnsi="Calibri" w:cs="Calibri"/>
                <w:highlight w:val="black"/>
              </w:rPr>
              <w:t>Mgr. Ing. Vít Beran, ředitel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AF7AD9" w:rsidRDefault="000D328E" w:rsidP="00AF0833">
            <w:pPr>
              <w:spacing w:line="276" w:lineRule="auto"/>
              <w:rPr>
                <w:rFonts w:cs="Arial"/>
              </w:rPr>
            </w:pPr>
            <w:r w:rsidRPr="00EE6F65">
              <w:rPr>
                <w:rFonts w:cstheme="minorHAnsi"/>
                <w:highlight w:val="black"/>
                <w:lang w:eastAsia="cs-CZ"/>
              </w:rPr>
              <w:t>+</w:t>
            </w:r>
            <w:r w:rsidR="004F3D33" w:rsidRPr="00EE6F65">
              <w:rPr>
                <w:rFonts w:cstheme="minorHAnsi"/>
                <w:highlight w:val="black"/>
                <w:lang w:eastAsia="cs-CZ"/>
              </w:rPr>
              <w:t xml:space="preserve">420 </w:t>
            </w:r>
            <w:hyperlink r:id="rId9" w:history="1">
              <w:r w:rsidR="004F3D33" w:rsidRPr="00EE6F65">
                <w:rPr>
                  <w:rStyle w:val="Hypertextovodkaz"/>
                  <w:color w:val="auto"/>
                  <w:highlight w:val="black"/>
                  <w:u w:val="none"/>
                </w:rPr>
                <w:t>724 370 813</w:t>
              </w:r>
            </w:hyperlink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Pr="004F3D33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 w:rsidRPr="004F3D33"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AF7AD9" w:rsidRPr="004F3D33" w:rsidRDefault="001426C3" w:rsidP="00646DC7">
            <w:pPr>
              <w:rPr>
                <w:rFonts w:cs="Arial"/>
              </w:rPr>
            </w:pPr>
            <w:hyperlink r:id="rId10" w:history="1">
              <w:r w:rsidR="004F3D33" w:rsidRPr="00EE6F65">
                <w:rPr>
                  <w:rStyle w:val="Hypertextovodkaz"/>
                  <w:color w:val="auto"/>
                  <w:highlight w:val="black"/>
                  <w:u w:val="none"/>
                </w:rPr>
                <w:t>vit.beran@zskunratice.cz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5C096F">
      <w:pPr>
        <w:rPr>
          <w:rFonts w:cs="Arial"/>
        </w:rPr>
      </w:pPr>
    </w:p>
    <w:p w:rsidR="00801E86" w:rsidRDefault="00AF7AD9" w:rsidP="005C096F">
      <w:pPr>
        <w:rPr>
          <w:rFonts w:cs="Arial"/>
        </w:rPr>
      </w:pPr>
      <w:r>
        <w:rPr>
          <w:rFonts w:cs="Arial"/>
        </w:rPr>
        <w:t>a</w:t>
      </w:r>
    </w:p>
    <w:p w:rsidR="00AF7AD9" w:rsidRPr="00BC613E" w:rsidRDefault="00AF7AD9" w:rsidP="005C096F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801E86" w:rsidRPr="00BC613E" w:rsidTr="00AF7AD9">
        <w:tc>
          <w:tcPr>
            <w:tcW w:w="3794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D477AE">
              <w:rPr>
                <w:rFonts w:cs="Arial"/>
                <w:b/>
              </w:rPr>
              <w:t>:</w:t>
            </w:r>
          </w:p>
        </w:tc>
        <w:tc>
          <w:tcPr>
            <w:tcW w:w="5418" w:type="dxa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</w:rPr>
            </w:pP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240067" w:rsidP="002D1D8C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SANTAL spol. s r.o.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646DC7" w:rsidRPr="00BC613E" w:rsidRDefault="00240067" w:rsidP="00240067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Jiráskova 738/II, 379 01 Třeboň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646DC7" w:rsidRPr="00BC613E" w:rsidRDefault="00240067" w:rsidP="002D1D8C">
            <w:pPr>
              <w:pStyle w:val="pole"/>
              <w:spacing w:line="276" w:lineRule="auto"/>
              <w:rPr>
                <w:rFonts w:asciiTheme="minorHAnsi" w:hAnsiTheme="minorHAnsi" w:cs="Arial"/>
              </w:rPr>
            </w:pPr>
            <w:r w:rsidRPr="00EE6F65">
              <w:rPr>
                <w:rFonts w:asciiTheme="minorHAnsi" w:hAnsiTheme="minorHAnsi" w:cs="Arial"/>
                <w:highlight w:val="black"/>
              </w:rPr>
              <w:t>Ing. Jiří Škopek, jednatel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:rsidR="00646DC7" w:rsidRPr="00BC613E" w:rsidRDefault="00240067" w:rsidP="002D1D8C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42408121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:rsidR="00646DC7" w:rsidRPr="00BC613E" w:rsidRDefault="00240067" w:rsidP="002D1D8C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CZ42408121</w:t>
            </w:r>
          </w:p>
        </w:tc>
      </w:tr>
      <w:tr w:rsidR="005C096F" w:rsidRPr="00BC613E" w:rsidTr="00AF7AD9">
        <w:tc>
          <w:tcPr>
            <w:tcW w:w="3794" w:type="dxa"/>
          </w:tcPr>
          <w:p w:rsidR="005C096F" w:rsidRPr="00BC613E" w:rsidRDefault="005C096F" w:rsidP="008301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  <w:r w:rsidR="007319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5C096F" w:rsidRPr="00BC613E" w:rsidRDefault="00240067" w:rsidP="008301C7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Komerční banka, a.s.</w:t>
            </w:r>
          </w:p>
        </w:tc>
      </w:tr>
      <w:tr w:rsidR="005C096F" w:rsidRPr="00BC613E" w:rsidTr="00AF7AD9">
        <w:tc>
          <w:tcPr>
            <w:tcW w:w="3794" w:type="dxa"/>
          </w:tcPr>
          <w:p w:rsidR="005C096F" w:rsidRDefault="005C096F" w:rsidP="008301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  <w:r w:rsidR="007319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5C096F" w:rsidRPr="00BC613E" w:rsidRDefault="00240067" w:rsidP="008301C7">
            <w:pPr>
              <w:pStyle w:val="pole"/>
              <w:spacing w:line="276" w:lineRule="auto"/>
              <w:rPr>
                <w:rFonts w:asciiTheme="minorHAnsi" w:hAnsiTheme="minorHAnsi" w:cs="Arial"/>
              </w:rPr>
            </w:pPr>
            <w:r w:rsidRPr="00EE6F65">
              <w:rPr>
                <w:rFonts w:asciiTheme="minorHAnsi" w:hAnsiTheme="minorHAnsi" w:cs="Arial"/>
                <w:highlight w:val="black"/>
              </w:rPr>
              <w:t>214948-251/0100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5C096F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646DC7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646DC7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646DC7" w:rsidRPr="00BC613E" w:rsidRDefault="00240067" w:rsidP="002D1D8C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Jiří Škopek ml.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Default="00646DC7" w:rsidP="002D1D8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646DC7" w:rsidRDefault="00240067" w:rsidP="002D1D8C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+420 774 441 778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Default="00646DC7" w:rsidP="002D1D8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646DC7" w:rsidRDefault="00240067" w:rsidP="002D1D8C">
            <w:pPr>
              <w:spacing w:line="276" w:lineRule="auto"/>
              <w:rPr>
                <w:rFonts w:cs="Arial"/>
              </w:rPr>
            </w:pPr>
            <w:r w:rsidRPr="00EE6F65">
              <w:rPr>
                <w:rFonts w:cs="Arial"/>
                <w:highlight w:val="black"/>
              </w:rPr>
              <w:t>jiri.skopek@santal.cz</w:t>
            </w:r>
          </w:p>
        </w:tc>
      </w:tr>
      <w:tr w:rsidR="00801E86" w:rsidRPr="00BC613E" w:rsidTr="00B96695">
        <w:tc>
          <w:tcPr>
            <w:tcW w:w="9212" w:type="dxa"/>
            <w:gridSpan w:val="2"/>
          </w:tcPr>
          <w:p w:rsidR="00801E86" w:rsidRPr="005F5B64" w:rsidRDefault="00801E86" w:rsidP="00646DC7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EE6F65">
              <w:rPr>
                <w:rFonts w:asciiTheme="minorHAnsi" w:hAnsiTheme="minorHAnsi" w:cstheme="minorHAnsi"/>
                <w:highlight w:val="black"/>
              </w:rPr>
              <w:t xml:space="preserve">zapsán v obchodním rejstříku u </w:t>
            </w:r>
            <w:r w:rsidR="00240067" w:rsidRPr="00EE6F65">
              <w:rPr>
                <w:rFonts w:asciiTheme="minorHAnsi" w:hAnsiTheme="minorHAnsi" w:cstheme="minorHAnsi"/>
                <w:highlight w:val="black"/>
              </w:rPr>
              <w:t>Krajského soudu v Českých Budějovicích</w:t>
            </w:r>
            <w:r w:rsidR="00646DC7" w:rsidRPr="00EE6F65">
              <w:rPr>
                <w:rFonts w:asciiTheme="minorHAnsi" w:hAnsiTheme="minorHAnsi" w:cstheme="minorHAnsi"/>
                <w:highlight w:val="black"/>
              </w:rPr>
              <w:t xml:space="preserve">, oddíl </w:t>
            </w:r>
            <w:r w:rsidR="00240067" w:rsidRPr="00EE6F65">
              <w:rPr>
                <w:rFonts w:asciiTheme="minorHAnsi" w:hAnsiTheme="minorHAnsi" w:cstheme="minorHAnsi"/>
                <w:highlight w:val="black"/>
              </w:rPr>
              <w:t>C</w:t>
            </w:r>
            <w:r w:rsidRPr="00EE6F65">
              <w:rPr>
                <w:rFonts w:asciiTheme="minorHAnsi" w:hAnsiTheme="minorHAnsi" w:cstheme="minorHAnsi"/>
                <w:highlight w:val="black"/>
              </w:rPr>
              <w:t xml:space="preserve">, vložka </w:t>
            </w:r>
            <w:r w:rsidR="00240067" w:rsidRPr="00EE6F65">
              <w:rPr>
                <w:rFonts w:asciiTheme="minorHAnsi" w:hAnsiTheme="minorHAnsi" w:cstheme="minorHAnsi"/>
                <w:highlight w:val="black"/>
              </w:rPr>
              <w:t>482</w:t>
            </w:r>
            <w:r w:rsidRPr="00EE6F65">
              <w:rPr>
                <w:rFonts w:asciiTheme="minorHAnsi" w:hAnsiTheme="minorHAnsi" w:cstheme="minorHAnsi"/>
                <w:highlight w:val="black"/>
              </w:rPr>
              <w:t xml:space="preserve">  </w:t>
            </w:r>
          </w:p>
        </w:tc>
      </w:tr>
      <w:tr w:rsidR="002E2600" w:rsidRPr="00BC613E" w:rsidTr="00BD1D4B">
        <w:tc>
          <w:tcPr>
            <w:tcW w:w="9212" w:type="dxa"/>
            <w:gridSpan w:val="2"/>
          </w:tcPr>
          <w:p w:rsidR="002E2600" w:rsidRPr="002E2600" w:rsidRDefault="002E2600" w:rsidP="00B96695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:rsidR="00AF7AD9" w:rsidRDefault="00AF7AD9" w:rsidP="00AF7AD9">
      <w:pPr>
        <w:jc w:val="center"/>
        <w:rPr>
          <w:rFonts w:cs="Arial"/>
        </w:rPr>
      </w:pPr>
    </w:p>
    <w:p w:rsidR="005C096F" w:rsidRDefault="005C096F" w:rsidP="00AF7AD9">
      <w:pPr>
        <w:jc w:val="center"/>
        <w:rPr>
          <w:rFonts w:cs="Arial"/>
        </w:rPr>
      </w:pPr>
    </w:p>
    <w:p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:rsidR="005C096F" w:rsidRDefault="005C096F" w:rsidP="00AF7AD9">
      <w:pPr>
        <w:jc w:val="center"/>
        <w:rPr>
          <w:rFonts w:cs="Arial"/>
        </w:rPr>
      </w:pPr>
    </w:p>
    <w:p w:rsidR="00801E86" w:rsidRPr="005C096F" w:rsidRDefault="002E2600" w:rsidP="00801E86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:rsidR="004F3D33" w:rsidRDefault="004F3D33" w:rsidP="005C096F">
      <w:pPr>
        <w:jc w:val="center"/>
        <w:rPr>
          <w:rFonts w:cs="Arial"/>
          <w:b/>
        </w:rPr>
      </w:pPr>
    </w:p>
    <w:p w:rsidR="00801E86" w:rsidRDefault="00AF7AD9" w:rsidP="005C096F">
      <w:pPr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801E86" w:rsidRPr="00BC613E">
        <w:rPr>
          <w:rFonts w:cs="Arial"/>
          <w:b/>
        </w:rPr>
        <w:t>I.</w:t>
      </w:r>
      <w:r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73193E">
        <w:rPr>
          <w:rFonts w:cstheme="minorHAnsi"/>
        </w:rPr>
        <w:t>výběrové</w:t>
      </w:r>
      <w:r>
        <w:rPr>
          <w:rFonts w:cs="Arial"/>
          <w:iCs/>
        </w:rPr>
        <w:t>ho řízení v souvislosti s realizovaným projektem kupujícího</w:t>
      </w:r>
      <w:r w:rsidR="009E0858">
        <w:rPr>
          <w:rFonts w:cs="Arial"/>
          <w:iCs/>
        </w:rPr>
        <w:t>:</w:t>
      </w:r>
    </w:p>
    <w:p w:rsidR="009E0858" w:rsidRPr="006E39DB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4F3D33" w:rsidRPr="00553093">
        <w:rPr>
          <w:rStyle w:val="datalabel"/>
          <w:rFonts w:cstheme="minorHAnsi"/>
        </w:rPr>
        <w:t>Modernizace odborných učeben historické budovy školy</w:t>
      </w:r>
    </w:p>
    <w:p w:rsidR="002E2600" w:rsidRPr="0073193E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4F3D33" w:rsidRPr="00553093">
        <w:rPr>
          <w:rStyle w:val="datalabel"/>
          <w:rFonts w:cstheme="minorHAnsi"/>
        </w:rPr>
        <w:t>CZ.07.4.67/0.0/0.0/19_073/0002249</w:t>
      </w:r>
    </w:p>
    <w:p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 xml:space="preserve">: </w:t>
      </w:r>
      <w:r w:rsidR="004F3D33">
        <w:rPr>
          <w:color w:val="000000"/>
        </w:rPr>
        <w:t>OP Praha - pól růstu ČR</w:t>
      </w:r>
    </w:p>
    <w:p w:rsidR="00E17613" w:rsidRPr="00E17613" w:rsidRDefault="00E17613" w:rsidP="006E39DB">
      <w:pPr>
        <w:ind w:left="567"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Číslo výzvy </w:t>
      </w:r>
      <w:r w:rsidR="004F3D33">
        <w:rPr>
          <w:rFonts w:cs="Arial"/>
          <w:b/>
          <w:i/>
          <w:iCs/>
        </w:rPr>
        <w:t>OP PPR</w:t>
      </w:r>
      <w:r w:rsidRPr="00C1007A">
        <w:rPr>
          <w:rFonts w:cs="Arial"/>
          <w:b/>
          <w:i/>
          <w:iCs/>
        </w:rPr>
        <w:t>:</w:t>
      </w:r>
      <w:r w:rsidRPr="00E17613">
        <w:rPr>
          <w:rFonts w:cs="Arial"/>
          <w:iCs/>
        </w:rPr>
        <w:t xml:space="preserve"> </w:t>
      </w:r>
      <w:r w:rsidR="004F3D33">
        <w:rPr>
          <w:rFonts w:cs="Arial"/>
          <w:iCs/>
        </w:rPr>
        <w:t>48</w:t>
      </w:r>
    </w:p>
    <w:p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4F3D33">
        <w:rPr>
          <w:rFonts w:cstheme="minorHAnsi"/>
        </w:rPr>
        <w:t xml:space="preserve">, instalaci </w:t>
      </w:r>
      <w:r w:rsidR="00065E86">
        <w:rPr>
          <w:rFonts w:cstheme="minorHAnsi"/>
        </w:rPr>
        <w:t>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:rsidR="00305F8A" w:rsidRDefault="000F42E9" w:rsidP="00305F8A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Kvantitativní a kvalitativní aspekty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jsou uvedeny v přílohách této smlouvy a plně odpovídají zadávacím podkladům </w:t>
      </w:r>
      <w:r w:rsidR="0073193E">
        <w:rPr>
          <w:rFonts w:cstheme="minorHAnsi"/>
        </w:rPr>
        <w:t>výběrovéh</w:t>
      </w:r>
      <w:r w:rsidRPr="000F42E9">
        <w:rPr>
          <w:rFonts w:cstheme="minorHAnsi"/>
        </w:rPr>
        <w:t xml:space="preserve">o řízení provedeného ohledně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v rámci zakázky malého rozsahu kupujícího</w:t>
      </w:r>
      <w:r w:rsidR="007A0890">
        <w:rPr>
          <w:rFonts w:cstheme="minorHAnsi"/>
        </w:rPr>
        <w:t xml:space="preserve"> a nabídce prodávajícího, coby účastníka</w:t>
      </w:r>
      <w:r w:rsidRPr="000F42E9">
        <w:rPr>
          <w:rFonts w:cstheme="minorHAnsi"/>
        </w:rPr>
        <w:t xml:space="preserve"> v uvedeném </w:t>
      </w:r>
      <w:r w:rsidR="0073193E">
        <w:rPr>
          <w:rFonts w:cstheme="minorHAnsi"/>
        </w:rPr>
        <w:t>výběrové</w:t>
      </w:r>
      <w:r w:rsidRPr="000F42E9">
        <w:rPr>
          <w:rFonts w:cstheme="minorHAnsi"/>
        </w:rPr>
        <w:t xml:space="preserve">m řízení. </w:t>
      </w:r>
      <w:r w:rsidR="007A0890" w:rsidRPr="000F42E9">
        <w:rPr>
          <w:rFonts w:cstheme="minorHAnsi"/>
        </w:rPr>
        <w:t xml:space="preserve">Pro potřeby detailní specifikace předmětu </w:t>
      </w:r>
      <w:r w:rsidR="007A0890">
        <w:rPr>
          <w:rFonts w:cstheme="minorHAnsi"/>
        </w:rPr>
        <w:t>plnění zakázky</w:t>
      </w:r>
      <w:r w:rsidR="007A0890" w:rsidRPr="000F42E9">
        <w:rPr>
          <w:rFonts w:cstheme="minorHAnsi"/>
        </w:rPr>
        <w:t xml:space="preserve"> je ke smlouvě přiložena příslušná část zadávacích podkladů (</w:t>
      </w:r>
      <w:r w:rsidR="007A0890">
        <w:rPr>
          <w:rFonts w:cstheme="minorHAnsi"/>
        </w:rPr>
        <w:t xml:space="preserve">tj. oceněný výkaz výměr, resp. položkový rozpočet), která obsahuje podrobnou specifikaci předmětu plnění a </w:t>
      </w:r>
      <w:r w:rsidR="007A0890" w:rsidRPr="000F42E9">
        <w:rPr>
          <w:rFonts w:cstheme="minorHAnsi"/>
        </w:rPr>
        <w:t>je nedílnou součástí smlouvy.</w:t>
      </w:r>
    </w:p>
    <w:p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:rsidR="000F42E9" w:rsidRPr="00305F8A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 xml:space="preserve">Prodávající prohlašuje, že prověřil veškeré požadavky kupujícího, které obdržel do dne uzavření této smlouvy (vč. požadavků uvedených v zadávacích podmínkách k  </w:t>
      </w:r>
      <w:r w:rsidR="0073193E">
        <w:rPr>
          <w:rFonts w:cstheme="minorHAnsi"/>
        </w:rPr>
        <w:t>výběrové</w:t>
      </w:r>
      <w:r w:rsidRPr="000F42E9">
        <w:rPr>
          <w:rFonts w:cstheme="minorHAnsi"/>
          <w:snapToGrid w:val="0"/>
          <w:color w:val="000000"/>
        </w:rPr>
        <w:t>mu řízení) a shledal je vhodnými, že sjednaná cena a způsob plnění včetně doby trvání smlouvy obsahuje a zohledňuje všechny výše uvedené podmínky a okolnosti.</w:t>
      </w:r>
    </w:p>
    <w:p w:rsidR="00305F8A" w:rsidRDefault="00305F8A" w:rsidP="00305F8A">
      <w:pPr>
        <w:ind w:left="283"/>
        <w:contextualSpacing/>
        <w:jc w:val="both"/>
        <w:rPr>
          <w:rFonts w:cs="Arial"/>
          <w:color w:val="0000FF"/>
        </w:rPr>
      </w:pPr>
    </w:p>
    <w:p w:rsidR="007A0890" w:rsidRPr="005C29C5" w:rsidRDefault="007A0890" w:rsidP="00305F8A">
      <w:pPr>
        <w:ind w:left="283"/>
        <w:contextualSpacing/>
        <w:jc w:val="both"/>
        <w:rPr>
          <w:rFonts w:cs="Arial"/>
          <w:color w:val="0000FF"/>
        </w:rPr>
      </w:pPr>
    </w:p>
    <w:p w:rsidR="00801E86" w:rsidRDefault="00801E86" w:rsidP="00B767EF">
      <w:pPr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1701"/>
        <w:gridCol w:w="1701"/>
      </w:tblGrid>
      <w:tr w:rsidR="00C1007A" w:rsidRPr="00F33CF0" w:rsidTr="0016595D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DB523A" w:rsidRPr="006E29B1" w:rsidTr="006347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6347D9" w:rsidRDefault="004F3D33" w:rsidP="00A05E87">
            <w:pPr>
              <w:jc w:val="center"/>
              <w:rPr>
                <w:b/>
              </w:rPr>
            </w:pPr>
            <w:r>
              <w:rPr>
                <w:rFonts w:eastAsia="Times New Roman"/>
                <w:szCs w:val="24"/>
              </w:rPr>
              <w:t>Dodávka mobiliáře učeben</w:t>
            </w:r>
          </w:p>
          <w:p w:rsidR="00DB523A" w:rsidRPr="006E29B1" w:rsidRDefault="00DB523A" w:rsidP="00A05E87">
            <w:pPr>
              <w:jc w:val="center"/>
            </w:pPr>
            <w:r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B523A" w:rsidRPr="00240067" w:rsidRDefault="00240067" w:rsidP="006347D9">
            <w:pPr>
              <w:jc w:val="center"/>
              <w:rPr>
                <w:b/>
                <w:color w:val="000000"/>
              </w:rPr>
            </w:pPr>
            <w:r w:rsidRPr="00240067">
              <w:rPr>
                <w:b/>
                <w:color w:val="000000"/>
              </w:rPr>
              <w:t>926 812,00,-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B523A" w:rsidRPr="00240067" w:rsidRDefault="00DB523A" w:rsidP="006347D9">
            <w:pPr>
              <w:jc w:val="center"/>
              <w:rPr>
                <w:b/>
                <w:color w:val="000000"/>
              </w:rPr>
            </w:pPr>
            <w:r w:rsidRPr="00240067">
              <w:rPr>
                <w:b/>
                <w:color w:val="000000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B523A" w:rsidRPr="00240067" w:rsidRDefault="00240067" w:rsidP="006347D9">
            <w:pPr>
              <w:jc w:val="center"/>
              <w:rPr>
                <w:b/>
                <w:color w:val="000000"/>
              </w:rPr>
            </w:pPr>
            <w:r w:rsidRPr="00240067">
              <w:rPr>
                <w:b/>
                <w:color w:val="000000"/>
              </w:rPr>
              <w:t>194 630,52,-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B523A" w:rsidRPr="00240067" w:rsidRDefault="00240067" w:rsidP="006347D9">
            <w:pPr>
              <w:jc w:val="center"/>
              <w:rPr>
                <w:b/>
                <w:color w:val="000000"/>
              </w:rPr>
            </w:pPr>
            <w:r w:rsidRPr="00240067">
              <w:rPr>
                <w:b/>
                <w:color w:val="000000"/>
              </w:rPr>
              <w:t>1 121 442,52,-</w:t>
            </w:r>
          </w:p>
        </w:tc>
      </w:tr>
    </w:tbl>
    <w:p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 xml:space="preserve">, jeho instalace a uvedení do provozu, vč. provedení souvisejících </w:t>
      </w:r>
      <w:r w:rsidR="005F5B64">
        <w:t>instalační</w:t>
      </w:r>
      <w:r w:rsidR="00916C92">
        <w:t>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:rsidR="005C29C5" w:rsidRPr="005C29C5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A27DEA">
        <w:rPr>
          <w:rFonts w:cstheme="minorHAnsi"/>
        </w:rPr>
        <w:t>Platba bude realizována jed</w:t>
      </w:r>
      <w:r>
        <w:rPr>
          <w:rFonts w:cstheme="minorHAnsi"/>
        </w:rPr>
        <w:t>i</w:t>
      </w:r>
      <w:r w:rsidRPr="00A27DEA">
        <w:rPr>
          <w:rFonts w:cstheme="minorHAnsi"/>
        </w:rPr>
        <w:t xml:space="preserve">nou platbou na základě jediné konečné faktury po </w:t>
      </w:r>
      <w:r w:rsidR="00B93D5C">
        <w:rPr>
          <w:rFonts w:cstheme="minorHAnsi"/>
        </w:rPr>
        <w:t>dokončení a protokolárním předání celého předmětu plnění zakázky</w:t>
      </w:r>
      <w:r w:rsidRPr="00A27DEA">
        <w:rPr>
          <w:rFonts w:cstheme="minorHAnsi"/>
        </w:rPr>
        <w:t>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Faktura musí splňovat náležitosti daňového dokladu dle platné le</w:t>
      </w:r>
      <w:r w:rsidR="00B93D5C">
        <w:rPr>
          <w:rFonts w:cstheme="minorHAnsi"/>
          <w:szCs w:val="20"/>
        </w:rPr>
        <w:t xml:space="preserve">gislativy. Splatnost </w:t>
      </w:r>
      <w:r>
        <w:rPr>
          <w:rFonts w:cstheme="minorHAnsi"/>
          <w:szCs w:val="20"/>
        </w:rPr>
        <w:t>faktury</w:t>
      </w:r>
      <w:r w:rsidR="00B93D5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je</w:t>
      </w:r>
      <w:r w:rsidR="00B93D5C">
        <w:rPr>
          <w:rFonts w:cstheme="minorHAnsi"/>
          <w:szCs w:val="20"/>
        </w:rPr>
        <w:t xml:space="preserve"> 3</w:t>
      </w:r>
      <w:r w:rsidRPr="00EB45A1">
        <w:rPr>
          <w:rFonts w:cstheme="minorHAnsi"/>
          <w:szCs w:val="20"/>
        </w:rPr>
        <w:t>0 dní ode dne jejího vystavení.</w:t>
      </w:r>
      <w:r w:rsidR="009B3C5F">
        <w:rPr>
          <w:rFonts w:cstheme="minorHAnsi"/>
          <w:szCs w:val="20"/>
        </w:rPr>
        <w:t xml:space="preserve"> Faktura bude označena názvem proj</w:t>
      </w:r>
      <w:r w:rsidR="005F5B64">
        <w:rPr>
          <w:rFonts w:cstheme="minorHAnsi"/>
          <w:szCs w:val="20"/>
        </w:rPr>
        <w:t>ektu a registračním číslem (viz</w:t>
      </w:r>
      <w:r w:rsidR="009B3C5F">
        <w:rPr>
          <w:rFonts w:cstheme="minorHAnsi"/>
          <w:szCs w:val="20"/>
        </w:rPr>
        <w:t xml:space="preserve"> čl. II.1).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5F5B64">
        <w:rPr>
          <w:rFonts w:cstheme="minorHAnsi"/>
          <w:szCs w:val="20"/>
        </w:rPr>
        <w:t>uložit smluvní pokutu ve výši 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účtovat sml</w:t>
      </w:r>
      <w:r w:rsidR="005F5B64">
        <w:rPr>
          <w:rFonts w:cstheme="minorHAnsi"/>
          <w:szCs w:val="20"/>
        </w:rPr>
        <w:t>uvní pokutu ve výši 5</w:t>
      </w:r>
      <w:r>
        <w:rPr>
          <w:rFonts w:cstheme="minorHAnsi"/>
          <w:szCs w:val="20"/>
        </w:rPr>
        <w:t>.000,- Kč za každý započatý den prodlení.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:rsidR="00305F8A" w:rsidRDefault="00305F8A" w:rsidP="00801E86">
      <w:pPr>
        <w:jc w:val="center"/>
        <w:rPr>
          <w:rFonts w:cs="Arial"/>
          <w:b/>
        </w:rPr>
      </w:pPr>
    </w:p>
    <w:p w:rsidR="007A0890" w:rsidRDefault="007A0890" w:rsidP="00801E86">
      <w:pPr>
        <w:jc w:val="center"/>
        <w:rPr>
          <w:rFonts w:cs="Arial"/>
          <w:b/>
        </w:rPr>
      </w:pPr>
    </w:p>
    <w:p w:rsidR="00801E86" w:rsidRDefault="00801E86" w:rsidP="00801E86">
      <w:pPr>
        <w:jc w:val="center"/>
        <w:rPr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:rsidR="004508B6" w:rsidRPr="00E71D41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dle této smlouvy nejpozději</w:t>
      </w:r>
      <w:r w:rsidR="00B93D5C" w:rsidRPr="00E71D41">
        <w:rPr>
          <w:rFonts w:cstheme="minorHAnsi"/>
          <w:szCs w:val="20"/>
        </w:rPr>
        <w:t xml:space="preserve"> </w:t>
      </w:r>
      <w:r w:rsidR="004F3D33">
        <w:rPr>
          <w:rFonts w:cstheme="minorHAnsi"/>
          <w:szCs w:val="20"/>
        </w:rPr>
        <w:t>do 90</w:t>
      </w:r>
      <w:r w:rsidR="00A45CCF">
        <w:rPr>
          <w:rFonts w:cstheme="minorHAnsi"/>
          <w:szCs w:val="20"/>
        </w:rPr>
        <w:t xml:space="preserve"> </w:t>
      </w:r>
      <w:r w:rsidRPr="00462548">
        <w:rPr>
          <w:rFonts w:cstheme="minorHAnsi"/>
          <w:szCs w:val="20"/>
        </w:rPr>
        <w:t>ti</w:t>
      </w:r>
      <w:r w:rsidRPr="00B51ED7">
        <w:rPr>
          <w:rFonts w:cstheme="minorHAnsi"/>
          <w:szCs w:val="20"/>
        </w:rPr>
        <w:t xml:space="preserve"> kalendářních</w:t>
      </w:r>
      <w:r w:rsidR="005C29C5">
        <w:rPr>
          <w:rFonts w:cstheme="minorHAnsi"/>
          <w:szCs w:val="20"/>
        </w:rPr>
        <w:t xml:space="preserve"> dní od uzavření této smlouvy.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Místem předání a převzetí předmětu </w:t>
      </w:r>
      <w:r w:rsidR="00814A37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je </w:t>
      </w:r>
      <w:r w:rsidR="004F2847">
        <w:rPr>
          <w:rFonts w:cstheme="minorHAnsi"/>
        </w:rPr>
        <w:t>sídlo</w:t>
      </w:r>
      <w:r w:rsidR="00E71D41">
        <w:rPr>
          <w:rFonts w:cstheme="minorHAnsi"/>
        </w:rPr>
        <w:t xml:space="preserve"> kupujícího (resp. </w:t>
      </w:r>
      <w:r w:rsidR="004F3D33" w:rsidRPr="004F3D33">
        <w:rPr>
          <w:rFonts w:eastAsia="Times New Roman" w:cstheme="minorHAnsi"/>
          <w:bCs/>
          <w:lang w:eastAsia="cs-CZ"/>
        </w:rPr>
        <w:t xml:space="preserve">Základní škola Kunratice, Praha 4, Předškolní 420, </w:t>
      </w:r>
      <w:r w:rsidR="004F3D33" w:rsidRPr="00EE6F65">
        <w:rPr>
          <w:rFonts w:cstheme="minorHAnsi"/>
          <w:highlight w:val="black"/>
        </w:rPr>
        <w:t>Předškolní 420/5, 148 00 Praha 4 - Kunratice</w:t>
      </w:r>
      <w:r w:rsidR="00E71D41">
        <w:rPr>
          <w:rFonts w:cstheme="minorHAnsi"/>
        </w:rPr>
        <w:t>)</w:t>
      </w:r>
      <w:r w:rsidRPr="00EB45A1">
        <w:rPr>
          <w:rFonts w:cstheme="minorHAnsi"/>
          <w:szCs w:val="20"/>
        </w:rPr>
        <w:t>, náklady na dopr</w:t>
      </w:r>
      <w:r>
        <w:rPr>
          <w:rFonts w:cstheme="minorHAnsi"/>
          <w:szCs w:val="20"/>
        </w:rPr>
        <w:t>avu a předání nese prodávající.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>. Následně bude</w:t>
      </w:r>
      <w:r w:rsidRPr="00EB45A1">
        <w:rPr>
          <w:rFonts w:cstheme="minorHAnsi"/>
          <w:szCs w:val="20"/>
        </w:rPr>
        <w:t xml:space="preserve"> po vzájemné dohodě smluven konkrétní termín předání </w:t>
      </w:r>
      <w:r w:rsidR="00B93D5C">
        <w:rPr>
          <w:rFonts w:cstheme="minorHAnsi"/>
          <w:szCs w:val="20"/>
        </w:rPr>
        <w:t>předmětu plnění zakázky</w:t>
      </w:r>
      <w:r w:rsidRPr="00EB45A1">
        <w:rPr>
          <w:rFonts w:cstheme="minorHAnsi"/>
          <w:szCs w:val="20"/>
        </w:rPr>
        <w:t>.</w:t>
      </w:r>
    </w:p>
    <w:p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protokol, podepsaný oběma stranami. 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:rsidR="004508B6" w:rsidRDefault="004508B6" w:rsidP="004508B6">
      <w:pPr>
        <w:rPr>
          <w:rFonts w:cs="Arial"/>
        </w:rPr>
      </w:pPr>
    </w:p>
    <w:p w:rsidR="007A0890" w:rsidRDefault="007A0890" w:rsidP="004508B6">
      <w:pPr>
        <w:rPr>
          <w:rFonts w:cs="Arial"/>
        </w:rPr>
      </w:pPr>
    </w:p>
    <w:p w:rsidR="00801E86" w:rsidRDefault="00103F74" w:rsidP="00BE76E8">
      <w:pPr>
        <w:jc w:val="center"/>
        <w:rPr>
          <w:b/>
        </w:rPr>
      </w:pPr>
      <w:r>
        <w:rPr>
          <w:rFonts w:cs="Arial"/>
          <w:b/>
        </w:rPr>
        <w:t>V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a kupující se výslovně dohodli na tom, že od okamžiku uzavření této smlouvy do úplného zaplacení kupní ceny, 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:rsidR="00DE4681" w:rsidRPr="00305F8A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 w:rsidR="00E71D41">
        <w:rPr>
          <w:rFonts w:cstheme="minorHAnsi"/>
        </w:rPr>
        <w:t>24 měsíců</w:t>
      </w:r>
      <w:r w:rsidRPr="001F09DB">
        <w:rPr>
          <w:rFonts w:cstheme="minorHAnsi"/>
        </w:rPr>
        <w:t xml:space="preserve"> od bezvadného předání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emailu (v případě zjištění a vzniku vady v průběhu záruční doby) uvedeného v záhlaví této smlouvy, s popisem vady. Prodávající je povinen potvrdit přijetí reklamace obratem a vyřídit</w:t>
      </w:r>
      <w:r w:rsidR="005C29C5">
        <w:rPr>
          <w:rFonts w:cstheme="minorHAnsi"/>
        </w:rPr>
        <w:t xml:space="preserve"> jí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Pr="001F09DB">
        <w:rPr>
          <w:rFonts w:cstheme="minorHAnsi"/>
        </w:rPr>
        <w:t xml:space="preserve"> do 2 pracovních dní.</w:t>
      </w:r>
      <w:r w:rsidR="007A0890">
        <w:rPr>
          <w:rFonts w:cstheme="minorHAnsi"/>
        </w:rPr>
        <w:t xml:space="preserve"> Reklamace pak bude prodávajícím vyřízena do 10 pracovních dní od jejího uplatnění.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V případě nutnosti delšího vypořádání reklamace, poskytne </w:t>
      </w:r>
      <w:r w:rsidR="00814A37">
        <w:rPr>
          <w:rFonts w:cstheme="minorHAnsi"/>
        </w:rPr>
        <w:t xml:space="preserve">po vzájemné dohodě </w:t>
      </w:r>
      <w:r w:rsidRPr="001F09DB">
        <w:rPr>
          <w:rFonts w:cstheme="minorHAnsi"/>
        </w:rPr>
        <w:t>prodávající kupujícímu po dobu vyřizování reklamace náhradní plnění v obdobném rozsahu, a to bez nároku na úhradu jakéhokoliv protiplnění a až do do</w:t>
      </w:r>
      <w:r w:rsidR="001F09DB" w:rsidRPr="001F09DB">
        <w:rPr>
          <w:rFonts w:cstheme="minorHAnsi"/>
        </w:rPr>
        <w:t>by vyřízení reklamace a uvedení</w:t>
      </w:r>
      <w:r w:rsidRPr="001F09DB">
        <w:rPr>
          <w:rFonts w:cstheme="minorHAnsi"/>
        </w:rPr>
        <w:t xml:space="preserve"> opraveného </w:t>
      </w:r>
      <w:r w:rsidR="001F09DB" w:rsidRPr="001F09DB">
        <w:rPr>
          <w:rFonts w:cstheme="minorHAnsi"/>
        </w:rPr>
        <w:t>zařízení</w:t>
      </w:r>
      <w:r w:rsidRPr="001F09DB">
        <w:rPr>
          <w:rFonts w:cstheme="minorHAnsi"/>
        </w:rPr>
        <w:t xml:space="preserve"> zpět do provozu v</w:t>
      </w:r>
      <w:r w:rsidR="001F09DB" w:rsidRPr="001F09DB">
        <w:rPr>
          <w:rFonts w:cstheme="minorHAnsi"/>
        </w:rPr>
        <w:t> místě provozu</w:t>
      </w:r>
      <w:r w:rsidRPr="001F09DB">
        <w:rPr>
          <w:rFonts w:cstheme="minorHAnsi"/>
        </w:rPr>
        <w:t xml:space="preserve"> (</w:t>
      </w:r>
      <w:r w:rsidR="00E71D41">
        <w:rPr>
          <w:rFonts w:cstheme="minorHAnsi"/>
        </w:rPr>
        <w:t xml:space="preserve">tj. </w:t>
      </w:r>
      <w:r w:rsidR="004F3D33" w:rsidRPr="004F3D33">
        <w:rPr>
          <w:rFonts w:eastAsia="Times New Roman" w:cstheme="minorHAnsi"/>
          <w:bCs/>
          <w:lang w:eastAsia="cs-CZ"/>
        </w:rPr>
        <w:t xml:space="preserve">Základní škola Kunratice, Praha 4, Předškolní 420, </w:t>
      </w:r>
      <w:r w:rsidR="004F3D33" w:rsidRPr="00EE6F65">
        <w:rPr>
          <w:rFonts w:cstheme="minorHAnsi"/>
          <w:highlight w:val="black"/>
        </w:rPr>
        <w:t>Předškolní 420/5, 148 00 Praha 4 - Kunratice</w:t>
      </w:r>
      <w:r w:rsidR="00E71D41">
        <w:rPr>
          <w:rFonts w:cstheme="minorHAnsi"/>
        </w:rPr>
        <w:t>)</w:t>
      </w:r>
      <w:r w:rsidR="001F09DB" w:rsidRPr="001F09DB">
        <w:rPr>
          <w:rFonts w:cstheme="minorHAnsi"/>
        </w:rPr>
        <w:t>. 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>Prodávající se zavazuje mít po celou dobu trvání této smlouvy uzavřenou pojistnou smlouvu, jejímž předmětem je pojištění odpovědnosti za škody způsobené třetím osobám v souvislosti 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</w:t>
      </w:r>
      <w:r w:rsidR="007A0890" w:rsidRPr="005C29C5">
        <w:rPr>
          <w:rFonts w:cstheme="minorHAnsi"/>
          <w:color w:val="000000"/>
        </w:rPr>
        <w:t xml:space="preserve">Porušení této povinnosti zakládá právo </w:t>
      </w:r>
      <w:r w:rsidR="007A0890">
        <w:rPr>
          <w:rFonts w:cstheme="minorHAnsi"/>
          <w:color w:val="000000"/>
        </w:rPr>
        <w:t xml:space="preserve">kupujícího účtovat prodávajícímu smluvní pokutu ve výši </w:t>
      </w:r>
      <w:r w:rsidR="007A0890">
        <w:rPr>
          <w:rFonts w:cstheme="minorHAnsi"/>
          <w:szCs w:val="20"/>
        </w:rPr>
        <w:t>50.0</w:t>
      </w:r>
      <w:r w:rsidR="007A0890" w:rsidRPr="004508B6">
        <w:rPr>
          <w:rFonts w:cstheme="minorHAnsi"/>
          <w:szCs w:val="20"/>
        </w:rPr>
        <w:t>00,- Kč</w:t>
      </w:r>
      <w:r w:rsidR="007A0890" w:rsidRPr="005C29C5">
        <w:rPr>
          <w:rFonts w:cstheme="minorHAnsi"/>
          <w:color w:val="000000"/>
        </w:rPr>
        <w:t>.</w:t>
      </w:r>
    </w:p>
    <w:p w:rsidR="0078568E" w:rsidRDefault="001F09DB" w:rsidP="0078568E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7A0890">
        <w:t>, minimálně však do 31. 12. 2032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:rsidR="00065E86" w:rsidRDefault="00065E86">
      <w:pPr>
        <w:rPr>
          <w:b/>
        </w:rPr>
      </w:pPr>
    </w:p>
    <w:p w:rsidR="007A0890" w:rsidRDefault="007A0890">
      <w:pPr>
        <w:rPr>
          <w:b/>
        </w:rPr>
      </w:pPr>
    </w:p>
    <w:p w:rsidR="00B47DAB" w:rsidRDefault="00B47DAB" w:rsidP="00B47DAB">
      <w:pPr>
        <w:jc w:val="center"/>
        <w:rPr>
          <w:b/>
        </w:rPr>
      </w:pPr>
      <w:r w:rsidRPr="00B47DAB">
        <w:rPr>
          <w:b/>
        </w:rPr>
        <w:t xml:space="preserve">VI. </w:t>
      </w:r>
      <w:r w:rsidR="001F09DB">
        <w:rPr>
          <w:b/>
        </w:rPr>
        <w:t>Závěrečná ustanovení</w:t>
      </w:r>
    </w:p>
    <w:p w:rsid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Tato smlouva byla vyhotovena ve dvou stejnopisech, přičemž každá ze smluvních stran obdrží po jednom stejnopisu.</w:t>
      </w:r>
    </w:p>
    <w:p w:rsidR="00D617C7" w:rsidRPr="004F3D33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vč. všech příloh není obchodním tajemstvím a podléhá zákonu č. 106/1999 Sb. o svobodném přístupu k informacím, v platném znění, a </w:t>
      </w:r>
      <w:r w:rsidR="003F042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5C29C5">
        <w:rPr>
          <w:rFonts w:asciiTheme="minorHAnsi" w:hAnsiTheme="minorHAnsi" w:cstheme="minorHAnsi"/>
          <w:sz w:val="22"/>
          <w:szCs w:val="22"/>
        </w:rPr>
        <w:t xml:space="preserve">na </w:t>
      </w:r>
      <w:r w:rsidR="008607FD">
        <w:rPr>
          <w:rFonts w:asciiTheme="minorHAnsi" w:hAnsiTheme="minorHAnsi" w:cstheme="minorHAnsi"/>
          <w:sz w:val="22"/>
          <w:szCs w:val="22"/>
        </w:rPr>
        <w:t>p</w:t>
      </w:r>
      <w:r w:rsidR="005C29C5">
        <w:rPr>
          <w:rFonts w:asciiTheme="minorHAnsi" w:hAnsiTheme="minorHAnsi" w:cstheme="minorHAnsi"/>
          <w:sz w:val="22"/>
          <w:szCs w:val="22"/>
        </w:rPr>
        <w:t xml:space="preserve">rofilu zadavatele </w:t>
      </w:r>
      <w:r w:rsidR="005C29C5" w:rsidRPr="004F3D33">
        <w:rPr>
          <w:rFonts w:asciiTheme="minorHAnsi" w:hAnsiTheme="minorHAnsi" w:cstheme="minorHAnsi"/>
          <w:sz w:val="22"/>
          <w:szCs w:val="22"/>
        </w:rPr>
        <w:t>kupujícího</w:t>
      </w:r>
      <w:r w:rsidR="008607FD" w:rsidRPr="004F3D33">
        <w:rPr>
          <w:rFonts w:asciiTheme="minorHAnsi" w:hAnsiTheme="minorHAnsi" w:cstheme="minorHAnsi"/>
          <w:sz w:val="22"/>
          <w:szCs w:val="22"/>
        </w:rPr>
        <w:t>.</w:t>
      </w:r>
      <w:r w:rsidR="007A0890" w:rsidRPr="004F3D33">
        <w:rPr>
          <w:rFonts w:asciiTheme="minorHAnsi" w:hAnsiTheme="minorHAnsi" w:cstheme="minorHAnsi"/>
          <w:sz w:val="22"/>
          <w:szCs w:val="22"/>
        </w:rPr>
        <w:t xml:space="preserve"> Příslušné uveřejnění zajistí kupující.</w:t>
      </w:r>
    </w:p>
    <w:p w:rsidR="008607FD" w:rsidRPr="004F3D33" w:rsidRDefault="004F3D33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3D33">
        <w:rPr>
          <w:rFonts w:asciiTheme="minorHAnsi" w:hAnsiTheme="minorHAnsi" w:cstheme="minorHAnsi"/>
          <w:color w:val="000000"/>
          <w:sz w:val="22"/>
          <w:szCs w:val="22"/>
        </w:rPr>
        <w:t xml:space="preserve">Tato smlouva nabývá platnosti dnem jejího podpisu </w:t>
      </w:r>
      <w:r w:rsidRPr="004F3D33">
        <w:rPr>
          <w:rFonts w:asciiTheme="minorHAnsi" w:hAnsiTheme="minorHAnsi" w:cstheme="minorHAnsi"/>
          <w:sz w:val="22"/>
          <w:szCs w:val="22"/>
        </w:rPr>
        <w:t xml:space="preserve">oprávněnými zástupci obou smluvních stran a </w:t>
      </w:r>
      <w:r w:rsidRPr="004F3D33">
        <w:rPr>
          <w:rFonts w:asciiTheme="minorHAnsi" w:hAnsiTheme="minorHAnsi" w:cstheme="minorHAnsi"/>
          <w:color w:val="000000"/>
          <w:sz w:val="22"/>
          <w:szCs w:val="22"/>
        </w:rPr>
        <w:t xml:space="preserve">účinnosti </w:t>
      </w:r>
      <w:r w:rsidRPr="004F3D33">
        <w:rPr>
          <w:rFonts w:asciiTheme="minorHAnsi" w:hAnsiTheme="minorHAnsi" w:cstheme="minorHAnsi"/>
          <w:sz w:val="22"/>
          <w:szCs w:val="22"/>
        </w:rPr>
        <w:t>jejím uveřejněním podle zákona č. 340/2015 Sb., o registru smluv, v platném znění.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3D33">
        <w:rPr>
          <w:rFonts w:asciiTheme="minorHAnsi" w:hAnsiTheme="minorHAnsi" w:cstheme="minorHAnsi"/>
          <w:sz w:val="22"/>
          <w:szCs w:val="22"/>
        </w:rPr>
        <w:t>V ostatním se řídí</w:t>
      </w:r>
      <w:r w:rsidRPr="00C3207C">
        <w:rPr>
          <w:rFonts w:asciiTheme="minorHAnsi" w:hAnsiTheme="minorHAnsi" w:cstheme="minorHAnsi"/>
          <w:sz w:val="22"/>
          <w:szCs w:val="22"/>
        </w:rPr>
        <w:t xml:space="preserve"> práva a povinnosti smluvních stran příslušnými ustanoveními občanského zákoníku (zák. č. 89/2012 Sb.).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č.320/2001 Sb. o finanční kontrole ve veřejné správě je prodávající osobou povinnou spolupůsobit při výkonu finanční kontroly.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Obě smluvní strany jsou vázány podmínkami uveden</w:t>
      </w:r>
      <w:r w:rsidR="0073193E">
        <w:rPr>
          <w:rFonts w:asciiTheme="minorHAnsi" w:hAnsiTheme="minorHAnsi" w:cstheme="minorHAnsi"/>
          <w:sz w:val="22"/>
          <w:szCs w:val="22"/>
        </w:rPr>
        <w:t xml:space="preserve">ými v zadávacích podkladech </w:t>
      </w:r>
      <w:r w:rsidR="008607FD">
        <w:rPr>
          <w:rFonts w:asciiTheme="minorHAnsi" w:hAnsiTheme="minorHAnsi" w:cstheme="minorHAnsi"/>
          <w:sz w:val="22"/>
          <w:szCs w:val="22"/>
        </w:rPr>
        <w:t>veřejnou zakázk</w:t>
      </w:r>
      <w:r w:rsidR="0016595D">
        <w:rPr>
          <w:rFonts w:asciiTheme="minorHAnsi" w:hAnsiTheme="minorHAnsi" w:cstheme="minorHAnsi"/>
          <w:sz w:val="22"/>
          <w:szCs w:val="22"/>
        </w:rPr>
        <w:t>o</w:t>
      </w:r>
      <w:r w:rsidR="008607FD">
        <w:rPr>
          <w:rFonts w:asciiTheme="minorHAnsi" w:hAnsiTheme="minorHAnsi" w:cstheme="minorHAnsi"/>
          <w:sz w:val="22"/>
          <w:szCs w:val="22"/>
        </w:rPr>
        <w:t>u</w:t>
      </w:r>
      <w:r w:rsidRPr="00C3207C">
        <w:rPr>
          <w:rFonts w:asciiTheme="minorHAnsi" w:hAnsiTheme="minorHAnsi" w:cstheme="minorHAnsi"/>
          <w:sz w:val="22"/>
          <w:szCs w:val="22"/>
        </w:rPr>
        <w:t>, ze které vzešla tato smlouva.</w:t>
      </w:r>
    </w:p>
    <w:p w:rsidR="00C3207C" w:rsidRPr="00C3207C" w:rsidRDefault="00305F8A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této smlouvy (vč.</w:t>
      </w:r>
      <w:r w:rsidR="007A0890">
        <w:rPr>
          <w:rFonts w:asciiTheme="minorHAnsi" w:hAnsiTheme="minorHAnsi" w:cstheme="minorHAnsi"/>
          <w:sz w:val="22"/>
          <w:szCs w:val="22"/>
        </w:rPr>
        <w:t xml:space="preserve"> jejích</w:t>
      </w:r>
      <w:r w:rsidR="00C3207C" w:rsidRPr="00C3207C">
        <w:rPr>
          <w:rFonts w:asciiTheme="minorHAnsi" w:hAnsiTheme="minorHAnsi" w:cstheme="minorHAnsi"/>
          <w:sz w:val="22"/>
          <w:szCs w:val="22"/>
        </w:rPr>
        <w:t xml:space="preserve"> příloh) je možná pouze na základě písemné dohody smluvních stran.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:rsidR="004001A7" w:rsidRDefault="004001A7" w:rsidP="00801E86">
      <w:pPr>
        <w:ind w:left="66"/>
        <w:rPr>
          <w:rFonts w:cs="Arial"/>
        </w:rPr>
      </w:pPr>
    </w:p>
    <w:p w:rsidR="007A0890" w:rsidRPr="00BC613E" w:rsidRDefault="007A0890" w:rsidP="00801E86">
      <w:pPr>
        <w:ind w:left="66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7A0890">
              <w:rPr>
                <w:rFonts w:cs="Arial"/>
              </w:rPr>
              <w:t> </w:t>
            </w:r>
            <w:r w:rsidR="004F3D33">
              <w:rPr>
                <w:rFonts w:cs="Arial"/>
              </w:rPr>
              <w:t>Praze</w:t>
            </w:r>
            <w:r w:rsidR="007A0890">
              <w:rPr>
                <w:rFonts w:cs="Arial"/>
              </w:rPr>
              <w:t xml:space="preserve"> </w:t>
            </w:r>
            <w:r w:rsidRPr="00BC613E">
              <w:rPr>
                <w:rFonts w:cs="Arial"/>
              </w:rPr>
              <w:t xml:space="preserve">dne </w:t>
            </w:r>
            <w:r w:rsidR="00967502">
              <w:rPr>
                <w:rFonts w:cs="Arial"/>
              </w:rPr>
              <w:t>30. 6. 2022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3207C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7A0890" w:rsidRPr="00BC613E" w:rsidRDefault="007A0890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01E86" w:rsidRPr="00EE6F65" w:rsidRDefault="004F3D3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highlight w:val="black"/>
              </w:rPr>
            </w:pPr>
            <w:bookmarkStart w:id="0" w:name="_GoBack"/>
            <w:bookmarkEnd w:id="0"/>
            <w:r w:rsidRPr="00EE6F65">
              <w:rPr>
                <w:rFonts w:cstheme="minorHAnsi"/>
                <w:b/>
                <w:highlight w:val="black"/>
              </w:rPr>
              <w:t>Mgr. Ing. Vít Beran</w:t>
            </w:r>
          </w:p>
          <w:p w:rsidR="00103F74" w:rsidRPr="00826E83" w:rsidRDefault="004F3D33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</w:t>
            </w:r>
            <w:r w:rsidR="007A0890">
              <w:rPr>
                <w:rFonts w:ascii="Calibri" w:hAnsi="Calibri" w:cs="Arial"/>
                <w:szCs w:val="20"/>
              </w:rPr>
              <w:t xml:space="preserve"> školy</w:t>
            </w:r>
          </w:p>
        </w:tc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801E86" w:rsidRPr="00EE6F65" w:rsidRDefault="00240067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highlight w:val="black"/>
              </w:rPr>
            </w:pPr>
            <w:r w:rsidRPr="00EE6F65">
              <w:rPr>
                <w:rFonts w:cs="Arial"/>
                <w:b/>
                <w:highlight w:val="black"/>
              </w:rPr>
              <w:t>Ing. Jiří Škopek</w:t>
            </w:r>
          </w:p>
          <w:p w:rsidR="00801E86" w:rsidRPr="00BC613E" w:rsidRDefault="00240067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</w:tbl>
    <w:p w:rsidR="0016595D" w:rsidRDefault="0016595D" w:rsidP="00185A7D">
      <w:pPr>
        <w:tabs>
          <w:tab w:val="left" w:pos="1282"/>
        </w:tabs>
        <w:rPr>
          <w:rFonts w:cstheme="minorHAnsi"/>
          <w:b/>
          <w:szCs w:val="20"/>
        </w:rPr>
      </w:pPr>
    </w:p>
    <w:p w:rsidR="007A0890" w:rsidRDefault="007A0890" w:rsidP="00185A7D">
      <w:pPr>
        <w:tabs>
          <w:tab w:val="left" w:pos="1282"/>
        </w:tabs>
        <w:rPr>
          <w:rFonts w:cstheme="minorHAnsi"/>
          <w:b/>
          <w:szCs w:val="20"/>
        </w:rPr>
      </w:pPr>
    </w:p>
    <w:p w:rsidR="007A0890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:rsidR="00185A7D" w:rsidRPr="00EB45A1" w:rsidRDefault="0016595D" w:rsidP="00185A7D">
      <w:pPr>
        <w:tabs>
          <w:tab w:val="left" w:pos="1282"/>
        </w:tabs>
        <w:rPr>
          <w:rFonts w:cstheme="minorHAnsi"/>
          <w:szCs w:val="20"/>
        </w:rPr>
      </w:pPr>
      <w:r>
        <w:rPr>
          <w:rFonts w:cstheme="minorHAnsi"/>
          <w:szCs w:val="20"/>
        </w:rPr>
        <w:t>Příloha č. 1 -</w:t>
      </w:r>
      <w:r w:rsidR="00185A7D" w:rsidRPr="00EB45A1">
        <w:rPr>
          <w:rFonts w:cstheme="minorHAnsi"/>
          <w:szCs w:val="20"/>
        </w:rPr>
        <w:t xml:space="preserve"> </w:t>
      </w:r>
      <w:r w:rsidR="00E17613">
        <w:rPr>
          <w:rFonts w:cstheme="minorHAnsi"/>
          <w:szCs w:val="20"/>
        </w:rPr>
        <w:t>Položkový rozpočet</w:t>
      </w:r>
    </w:p>
    <w:sectPr w:rsidR="00185A7D" w:rsidRPr="00EB45A1" w:rsidSect="0016595D">
      <w:headerReference w:type="default" r:id="rId11"/>
      <w:footerReference w:type="default" r:id="rId12"/>
      <w:pgSz w:w="11906" w:h="16838"/>
      <w:pgMar w:top="805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C3" w:rsidRDefault="001426C3" w:rsidP="00994BF2">
      <w:r>
        <w:separator/>
      </w:r>
    </w:p>
  </w:endnote>
  <w:endnote w:type="continuationSeparator" w:id="0">
    <w:p w:rsidR="001426C3" w:rsidRDefault="001426C3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96138"/>
      <w:docPartObj>
        <w:docPartGallery w:val="Page Numbers (Bottom of Page)"/>
        <w:docPartUnique/>
      </w:docPartObj>
    </w:sdtPr>
    <w:sdtEndPr/>
    <w:sdtContent>
      <w:p w:rsidR="00994BF2" w:rsidRDefault="00D477AE" w:rsidP="0016595D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1426C3">
          <w:rPr>
            <w:noProof/>
          </w:rPr>
          <w:t>1</w:t>
        </w:r>
        <w:r w:rsidR="002E663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C3" w:rsidRDefault="001426C3" w:rsidP="00994BF2">
      <w:r>
        <w:separator/>
      </w:r>
    </w:p>
  </w:footnote>
  <w:footnote w:type="continuationSeparator" w:id="0">
    <w:p w:rsidR="001426C3" w:rsidRDefault="001426C3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6D" w:rsidRDefault="0057156D" w:rsidP="00113472">
    <w:pPr>
      <w:pStyle w:val="Zhlav"/>
      <w:tabs>
        <w:tab w:val="clear" w:pos="4536"/>
        <w:tab w:val="clear" w:pos="9072"/>
        <w:tab w:val="left" w:pos="12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EA091A"/>
    <w:multiLevelType w:val="hybridMultilevel"/>
    <w:tmpl w:val="927C3C66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31C1B"/>
    <w:multiLevelType w:val="hybridMultilevel"/>
    <w:tmpl w:val="F34C2DDA"/>
    <w:lvl w:ilvl="0" w:tplc="0405000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18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27"/>
  </w:num>
  <w:num w:numId="11">
    <w:abstractNumId w:val="15"/>
  </w:num>
  <w:num w:numId="12">
    <w:abstractNumId w:val="3"/>
  </w:num>
  <w:num w:numId="13">
    <w:abstractNumId w:val="19"/>
  </w:num>
  <w:num w:numId="14">
    <w:abstractNumId w:val="12"/>
  </w:num>
  <w:num w:numId="15">
    <w:abstractNumId w:val="0"/>
  </w:num>
  <w:num w:numId="16">
    <w:abstractNumId w:val="7"/>
  </w:num>
  <w:num w:numId="17">
    <w:abstractNumId w:val="21"/>
  </w:num>
  <w:num w:numId="18">
    <w:abstractNumId w:val="26"/>
  </w:num>
  <w:num w:numId="19">
    <w:abstractNumId w:val="1"/>
  </w:num>
  <w:num w:numId="20">
    <w:abstractNumId w:val="23"/>
  </w:num>
  <w:num w:numId="21">
    <w:abstractNumId w:val="13"/>
  </w:num>
  <w:num w:numId="22">
    <w:abstractNumId w:val="10"/>
  </w:num>
  <w:num w:numId="23">
    <w:abstractNumId w:val="22"/>
  </w:num>
  <w:num w:numId="24">
    <w:abstractNumId w:val="16"/>
  </w:num>
  <w:num w:numId="25">
    <w:abstractNumId w:val="25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943"/>
    <w:rsid w:val="00061747"/>
    <w:rsid w:val="00065E86"/>
    <w:rsid w:val="00081A75"/>
    <w:rsid w:val="00093309"/>
    <w:rsid w:val="000A77CE"/>
    <w:rsid w:val="000C4098"/>
    <w:rsid w:val="000D328E"/>
    <w:rsid w:val="000E02D9"/>
    <w:rsid w:val="000F42E9"/>
    <w:rsid w:val="001032F6"/>
    <w:rsid w:val="00103F74"/>
    <w:rsid w:val="00113472"/>
    <w:rsid w:val="00115C67"/>
    <w:rsid w:val="0014009F"/>
    <w:rsid w:val="001426C3"/>
    <w:rsid w:val="001449D5"/>
    <w:rsid w:val="00145369"/>
    <w:rsid w:val="0016595D"/>
    <w:rsid w:val="00167845"/>
    <w:rsid w:val="00183DE3"/>
    <w:rsid w:val="00185A7D"/>
    <w:rsid w:val="001A693C"/>
    <w:rsid w:val="001B0D22"/>
    <w:rsid w:val="001F09DB"/>
    <w:rsid w:val="001F7132"/>
    <w:rsid w:val="00240067"/>
    <w:rsid w:val="00240FF0"/>
    <w:rsid w:val="00263945"/>
    <w:rsid w:val="00275981"/>
    <w:rsid w:val="002B63CB"/>
    <w:rsid w:val="002C34C2"/>
    <w:rsid w:val="002D1E80"/>
    <w:rsid w:val="002E2600"/>
    <w:rsid w:val="002E663A"/>
    <w:rsid w:val="00305F8A"/>
    <w:rsid w:val="003100F6"/>
    <w:rsid w:val="003279FB"/>
    <w:rsid w:val="00332E5E"/>
    <w:rsid w:val="003552A6"/>
    <w:rsid w:val="00375389"/>
    <w:rsid w:val="00375DAD"/>
    <w:rsid w:val="00394DFC"/>
    <w:rsid w:val="003B18DC"/>
    <w:rsid w:val="003E3DC4"/>
    <w:rsid w:val="003F0421"/>
    <w:rsid w:val="004001A7"/>
    <w:rsid w:val="00402CA9"/>
    <w:rsid w:val="00407566"/>
    <w:rsid w:val="00426535"/>
    <w:rsid w:val="004459A4"/>
    <w:rsid w:val="004508B6"/>
    <w:rsid w:val="00462548"/>
    <w:rsid w:val="00496E29"/>
    <w:rsid w:val="004A17C9"/>
    <w:rsid w:val="004F2847"/>
    <w:rsid w:val="004F30A0"/>
    <w:rsid w:val="004F3D33"/>
    <w:rsid w:val="00505F84"/>
    <w:rsid w:val="00516B42"/>
    <w:rsid w:val="005211EE"/>
    <w:rsid w:val="00542B40"/>
    <w:rsid w:val="00544A71"/>
    <w:rsid w:val="00564236"/>
    <w:rsid w:val="0057156D"/>
    <w:rsid w:val="00582D1F"/>
    <w:rsid w:val="005B0EDE"/>
    <w:rsid w:val="005C096F"/>
    <w:rsid w:val="005C29C5"/>
    <w:rsid w:val="005D57A9"/>
    <w:rsid w:val="005E35E8"/>
    <w:rsid w:val="005F04AC"/>
    <w:rsid w:val="005F24CB"/>
    <w:rsid w:val="005F5B64"/>
    <w:rsid w:val="00601FDD"/>
    <w:rsid w:val="00603B4B"/>
    <w:rsid w:val="006347D9"/>
    <w:rsid w:val="00640DCD"/>
    <w:rsid w:val="00642B49"/>
    <w:rsid w:val="00646DC7"/>
    <w:rsid w:val="00650E7D"/>
    <w:rsid w:val="0066562F"/>
    <w:rsid w:val="006676EE"/>
    <w:rsid w:val="006A38C6"/>
    <w:rsid w:val="006B3B59"/>
    <w:rsid w:val="006B505D"/>
    <w:rsid w:val="006C3E77"/>
    <w:rsid w:val="006C46BD"/>
    <w:rsid w:val="006D78FF"/>
    <w:rsid w:val="006E39DB"/>
    <w:rsid w:val="00721F79"/>
    <w:rsid w:val="0073193E"/>
    <w:rsid w:val="00784B44"/>
    <w:rsid w:val="0078568E"/>
    <w:rsid w:val="00795B63"/>
    <w:rsid w:val="007A0890"/>
    <w:rsid w:val="007A186E"/>
    <w:rsid w:val="007C3873"/>
    <w:rsid w:val="007D7BBF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42EA"/>
    <w:rsid w:val="00887B1E"/>
    <w:rsid w:val="00891DDC"/>
    <w:rsid w:val="008A33B6"/>
    <w:rsid w:val="008A54A6"/>
    <w:rsid w:val="008C5D8E"/>
    <w:rsid w:val="00902E1E"/>
    <w:rsid w:val="00916C92"/>
    <w:rsid w:val="009452D1"/>
    <w:rsid w:val="00952B40"/>
    <w:rsid w:val="00967502"/>
    <w:rsid w:val="00980E70"/>
    <w:rsid w:val="00986EA6"/>
    <w:rsid w:val="00994BF2"/>
    <w:rsid w:val="009B3C5F"/>
    <w:rsid w:val="009E0858"/>
    <w:rsid w:val="009F1C7C"/>
    <w:rsid w:val="00A0277E"/>
    <w:rsid w:val="00A41A19"/>
    <w:rsid w:val="00A45CCF"/>
    <w:rsid w:val="00A61675"/>
    <w:rsid w:val="00A84E8F"/>
    <w:rsid w:val="00A92BEF"/>
    <w:rsid w:val="00AA5969"/>
    <w:rsid w:val="00AA6695"/>
    <w:rsid w:val="00AF0833"/>
    <w:rsid w:val="00AF7AD9"/>
    <w:rsid w:val="00B376F3"/>
    <w:rsid w:val="00B47DAB"/>
    <w:rsid w:val="00B51ED7"/>
    <w:rsid w:val="00B767EF"/>
    <w:rsid w:val="00B93D5C"/>
    <w:rsid w:val="00B97460"/>
    <w:rsid w:val="00BC613E"/>
    <w:rsid w:val="00BE0A4F"/>
    <w:rsid w:val="00BE76E8"/>
    <w:rsid w:val="00BF0079"/>
    <w:rsid w:val="00C06DCB"/>
    <w:rsid w:val="00C1007A"/>
    <w:rsid w:val="00C3207C"/>
    <w:rsid w:val="00C46749"/>
    <w:rsid w:val="00C56D11"/>
    <w:rsid w:val="00C613B5"/>
    <w:rsid w:val="00CA545F"/>
    <w:rsid w:val="00CF16E8"/>
    <w:rsid w:val="00CF2693"/>
    <w:rsid w:val="00CF77F0"/>
    <w:rsid w:val="00D477AE"/>
    <w:rsid w:val="00D617C7"/>
    <w:rsid w:val="00D67C16"/>
    <w:rsid w:val="00D7357F"/>
    <w:rsid w:val="00D802CA"/>
    <w:rsid w:val="00DB523A"/>
    <w:rsid w:val="00DD184E"/>
    <w:rsid w:val="00DE4681"/>
    <w:rsid w:val="00DE66FD"/>
    <w:rsid w:val="00DF1E42"/>
    <w:rsid w:val="00DF731D"/>
    <w:rsid w:val="00E17613"/>
    <w:rsid w:val="00E3474C"/>
    <w:rsid w:val="00E533C1"/>
    <w:rsid w:val="00E71D41"/>
    <w:rsid w:val="00EA2AF4"/>
    <w:rsid w:val="00EA7F41"/>
    <w:rsid w:val="00EB1156"/>
    <w:rsid w:val="00EE6F50"/>
    <w:rsid w:val="00EE6F65"/>
    <w:rsid w:val="00F032DD"/>
    <w:rsid w:val="00F05C83"/>
    <w:rsid w:val="00F17DEE"/>
    <w:rsid w:val="00F17F8F"/>
    <w:rsid w:val="00F55402"/>
    <w:rsid w:val="00F66025"/>
    <w:rsid w:val="00F707A5"/>
    <w:rsid w:val="00F836C6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listitems-text">
    <w:name w:val="znlistitems-text"/>
    <w:basedOn w:val="Standardnpsmoodstavce"/>
    <w:rsid w:val="00EA2AF4"/>
  </w:style>
  <w:style w:type="character" w:customStyle="1" w:styleId="servicesboxlist-text">
    <w:name w:val="services_box__list-text"/>
    <w:basedOn w:val="Standardnpsmoodstavce"/>
    <w:rsid w:val="00EA2AF4"/>
  </w:style>
  <w:style w:type="character" w:styleId="Zvraznn">
    <w:name w:val="Emphasis"/>
    <w:basedOn w:val="Standardnpsmoodstavce"/>
    <w:uiPriority w:val="20"/>
    <w:qFormat/>
    <w:rsid w:val="004F3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t.beran@zskunra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+4207243708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1547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Tomáš Kočí</cp:lastModifiedBy>
  <cp:revision>93</cp:revision>
  <cp:lastPrinted>2022-06-13T12:08:00Z</cp:lastPrinted>
  <dcterms:created xsi:type="dcterms:W3CDTF">2015-01-12T08:48:00Z</dcterms:created>
  <dcterms:modified xsi:type="dcterms:W3CDTF">2022-06-30T06:44:00Z</dcterms:modified>
</cp:coreProperties>
</file>