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CDE" w:rsidRDefault="002C42F0">
      <w:pPr>
        <w:pStyle w:val="Zkladntext1"/>
        <w:framePr w:w="2155" w:h="235" w:wrap="none" w:hAnchor="page" w:x="981" w:y="1"/>
        <w:spacing w:after="0" w:line="240" w:lineRule="auto"/>
      </w:pPr>
      <w:r>
        <w:t>Evidenční číslo: 957998</w:t>
      </w:r>
    </w:p>
    <w:p w:rsidR="00B34CDE" w:rsidRDefault="00B34CDE">
      <w:pPr>
        <w:spacing w:after="234" w:line="1" w:lineRule="exact"/>
      </w:pPr>
    </w:p>
    <w:p w:rsidR="00B34CDE" w:rsidRDefault="00B34CDE">
      <w:pPr>
        <w:spacing w:line="1" w:lineRule="exact"/>
        <w:sectPr w:rsidR="00B34CDE">
          <w:footerReference w:type="default" r:id="rId7"/>
          <w:pgSz w:w="11900" w:h="16840"/>
          <w:pgMar w:top="2626" w:right="1138" w:bottom="1484" w:left="980" w:header="2198" w:footer="3" w:gutter="0"/>
          <w:pgNumType w:start="1"/>
          <w:cols w:space="720"/>
          <w:noEndnote/>
          <w:docGrid w:linePitch="360"/>
        </w:sectPr>
      </w:pPr>
    </w:p>
    <w:p w:rsidR="00B34CDE" w:rsidRDefault="00B34CDE">
      <w:pPr>
        <w:spacing w:before="59" w:after="59" w:line="240" w:lineRule="exact"/>
        <w:rPr>
          <w:sz w:val="19"/>
          <w:szCs w:val="19"/>
        </w:rPr>
      </w:pPr>
    </w:p>
    <w:p w:rsidR="00B34CDE" w:rsidRDefault="00B34CDE">
      <w:pPr>
        <w:spacing w:line="1" w:lineRule="exact"/>
        <w:sectPr w:rsidR="00B34CDE">
          <w:type w:val="continuous"/>
          <w:pgSz w:w="11900" w:h="16840"/>
          <w:pgMar w:top="2626" w:right="0" w:bottom="1831" w:left="0" w:header="0" w:footer="3" w:gutter="0"/>
          <w:cols w:space="720"/>
          <w:noEndnote/>
          <w:docGrid w:linePitch="360"/>
        </w:sectPr>
      </w:pPr>
    </w:p>
    <w:p w:rsidR="00B34CDE" w:rsidRDefault="002C42F0">
      <w:pPr>
        <w:pStyle w:val="Nadpis10"/>
        <w:keepNext/>
        <w:keepLines/>
        <w:rPr>
          <w:sz w:val="19"/>
          <w:szCs w:val="19"/>
        </w:rPr>
        <w:sectPr w:rsidR="00B34CDE">
          <w:type w:val="continuous"/>
          <w:pgSz w:w="11900" w:h="16840"/>
          <w:pgMar w:top="2626" w:right="1138" w:bottom="1831" w:left="980" w:header="0" w:footer="3" w:gutter="0"/>
          <w:cols w:space="720"/>
          <w:noEndnote/>
          <w:docGrid w:linePitch="360"/>
        </w:sectPr>
      </w:pPr>
      <w:bookmarkStart w:id="0" w:name="bookmark0"/>
      <w:r>
        <w:lastRenderedPageBreak/>
        <w:t>Dodatek č. 1 k Rámcové dohodě</w:t>
      </w:r>
      <w:r>
        <w:br/>
        <w:t>číslo 020P/860403</w:t>
      </w:r>
      <w:r>
        <w:br/>
      </w:r>
      <w:r>
        <w:rPr>
          <w:sz w:val="19"/>
          <w:szCs w:val="19"/>
        </w:rPr>
        <w:t xml:space="preserve">Uzavřené </w:t>
      </w:r>
      <w:r>
        <w:rPr>
          <w:sz w:val="19"/>
          <w:szCs w:val="19"/>
        </w:rPr>
        <w:t>dne 15. 6. 2020 mezi</w:t>
      </w:r>
      <w:bookmarkEnd w:id="0"/>
    </w:p>
    <w:p w:rsidR="00B34CDE" w:rsidRDefault="00B34CDE">
      <w:pPr>
        <w:spacing w:line="167" w:lineRule="exact"/>
        <w:rPr>
          <w:sz w:val="13"/>
          <w:szCs w:val="13"/>
        </w:rPr>
      </w:pPr>
    </w:p>
    <w:p w:rsidR="00B34CDE" w:rsidRDefault="00B34CDE">
      <w:pPr>
        <w:spacing w:line="1" w:lineRule="exact"/>
        <w:sectPr w:rsidR="00B34CDE">
          <w:type w:val="continuous"/>
          <w:pgSz w:w="11900" w:h="16840"/>
          <w:pgMar w:top="2626" w:right="0" w:bottom="1831" w:left="0" w:header="0" w:footer="3" w:gutter="0"/>
          <w:cols w:space="720"/>
          <w:noEndnote/>
          <w:docGrid w:linePitch="360"/>
        </w:sectPr>
      </w:pPr>
    </w:p>
    <w:p w:rsidR="00B34CDE" w:rsidRDefault="002C42F0">
      <w:pPr>
        <w:pStyle w:val="Nadpis30"/>
        <w:keepNext/>
        <w:keepLines/>
        <w:spacing w:line="252" w:lineRule="auto"/>
        <w:jc w:val="both"/>
      </w:pPr>
      <w:bookmarkStart w:id="1" w:name="bookmark2"/>
      <w:r>
        <w:lastRenderedPageBreak/>
        <w:t>Mělnické kulturní centrum, o.p.s.</w:t>
      </w:r>
      <w:bookmarkEnd w:id="1"/>
    </w:p>
    <w:p w:rsidR="00B34CDE" w:rsidRDefault="002C42F0">
      <w:pPr>
        <w:pStyle w:val="Zkladntext1"/>
        <w:spacing w:after="0"/>
        <w:jc w:val="both"/>
      </w:pPr>
      <w:r>
        <w:t>U Sadů 323</w:t>
      </w:r>
    </w:p>
    <w:p w:rsidR="00B34CDE" w:rsidRDefault="002C42F0">
      <w:pPr>
        <w:pStyle w:val="Zkladntext1"/>
        <w:spacing w:after="0"/>
        <w:jc w:val="both"/>
      </w:pPr>
      <w:r>
        <w:t>276 01 Mělník</w:t>
      </w:r>
    </w:p>
    <w:p w:rsidR="00B34CDE" w:rsidRDefault="002C42F0">
      <w:pPr>
        <w:pStyle w:val="Zkladntext1"/>
        <w:spacing w:after="0"/>
        <w:jc w:val="both"/>
      </w:pPr>
      <w:r>
        <w:t>IČO: 24210137</w:t>
      </w:r>
    </w:p>
    <w:p w:rsidR="00B34CDE" w:rsidRDefault="002C42F0">
      <w:pPr>
        <w:pStyle w:val="Zkladntext1"/>
        <w:spacing w:after="0"/>
        <w:jc w:val="both"/>
      </w:pPr>
      <w:r>
        <w:t>DIČ: CZ24210137</w:t>
      </w:r>
    </w:p>
    <w:p w:rsidR="00B34CDE" w:rsidRDefault="002C42F0">
      <w:pPr>
        <w:pStyle w:val="Zkladntext1"/>
        <w:spacing w:after="240"/>
      </w:pPr>
      <w:r>
        <w:t xml:space="preserve">spisová značka, pod kterou je společnost zapsána u příslušného rejstříkového soudu: O 874 vedená u Městského soudu v </w:t>
      </w:r>
      <w:r>
        <w:t>Praze</w:t>
      </w:r>
    </w:p>
    <w:p w:rsidR="00B34CDE" w:rsidRDefault="002C42F0">
      <w:pPr>
        <w:pStyle w:val="Zkladntext1"/>
        <w:spacing w:after="0"/>
        <w:jc w:val="both"/>
      </w:pPr>
      <w:r>
        <w:t>zastoupená:</w:t>
      </w:r>
    </w:p>
    <w:p w:rsidR="00B34CDE" w:rsidRDefault="002C42F0">
      <w:pPr>
        <w:pStyle w:val="Zkladntext1"/>
        <w:spacing w:after="0"/>
        <w:jc w:val="both"/>
      </w:pPr>
      <w:r>
        <w:t>Ing. RADKA KAREISOVÁ</w:t>
      </w:r>
    </w:p>
    <w:p w:rsidR="00B34CDE" w:rsidRDefault="002C42F0">
      <w:pPr>
        <w:pStyle w:val="Zkladntext1"/>
        <w:spacing w:after="0"/>
      </w:pPr>
      <w:r>
        <w:t>ředitel</w:t>
      </w:r>
    </w:p>
    <w:p w:rsidR="00B34CDE" w:rsidRDefault="002C42F0">
      <w:pPr>
        <w:pStyle w:val="Zkladntext1"/>
        <w:spacing w:after="0"/>
        <w:jc w:val="both"/>
      </w:pPr>
      <w:r>
        <w:t xml:space="preserve">(dále jen </w:t>
      </w:r>
      <w:r>
        <w:rPr>
          <w:b/>
          <w:bCs/>
        </w:rPr>
        <w:t xml:space="preserve">„Účastník“) </w:t>
      </w:r>
      <w:r>
        <w:t>a</w:t>
      </w:r>
    </w:p>
    <w:p w:rsidR="00B34CDE" w:rsidRDefault="002C42F0">
      <w:pPr>
        <w:pStyle w:val="Nadpis30"/>
        <w:keepNext/>
        <w:keepLines/>
        <w:spacing w:line="259" w:lineRule="auto"/>
        <w:jc w:val="both"/>
      </w:pPr>
      <w:bookmarkStart w:id="2" w:name="bookmark4"/>
      <w:r>
        <w:lastRenderedPageBreak/>
        <w:t xml:space="preserve">02 </w:t>
      </w:r>
      <w:r>
        <w:rPr>
          <w:lang w:val="en-US" w:eastAsia="en-US" w:bidi="en-US"/>
        </w:rPr>
        <w:t xml:space="preserve">Czech Republic a. </w:t>
      </w:r>
      <w:r>
        <w:t>s.</w:t>
      </w:r>
      <w:bookmarkEnd w:id="2"/>
    </w:p>
    <w:p w:rsidR="00B34CDE" w:rsidRDefault="002C42F0">
      <w:pPr>
        <w:pStyle w:val="Zkladntext1"/>
        <w:spacing w:after="0" w:line="259" w:lineRule="auto"/>
        <w:jc w:val="both"/>
      </w:pPr>
      <w:r>
        <w:t xml:space="preserve">Za </w:t>
      </w:r>
      <w:proofErr w:type="spellStart"/>
      <w:r>
        <w:t>Brumlovkou</w:t>
      </w:r>
      <w:proofErr w:type="spellEnd"/>
      <w:r>
        <w:t xml:space="preserve"> 266/2</w:t>
      </w:r>
    </w:p>
    <w:p w:rsidR="00B34CDE" w:rsidRDefault="002C42F0">
      <w:pPr>
        <w:pStyle w:val="Zkladntext1"/>
        <w:spacing w:after="0" w:line="259" w:lineRule="auto"/>
        <w:jc w:val="both"/>
      </w:pPr>
      <w:r>
        <w:t>140 22 Praha 4 - Michle</w:t>
      </w:r>
    </w:p>
    <w:p w:rsidR="00B34CDE" w:rsidRDefault="002C42F0">
      <w:pPr>
        <w:pStyle w:val="Zkladntext1"/>
        <w:spacing w:after="0" w:line="259" w:lineRule="auto"/>
      </w:pPr>
      <w:r>
        <w:t>IČO: 60193336</w:t>
      </w:r>
    </w:p>
    <w:p w:rsidR="00B34CDE" w:rsidRDefault="002C42F0">
      <w:pPr>
        <w:pStyle w:val="Zkladntext1"/>
        <w:spacing w:after="0" w:line="259" w:lineRule="auto"/>
        <w:jc w:val="both"/>
      </w:pPr>
      <w:r>
        <w:t>DIČ: CZ60193336</w:t>
      </w:r>
    </w:p>
    <w:p w:rsidR="00B34CDE" w:rsidRDefault="002C42F0">
      <w:pPr>
        <w:pStyle w:val="Zkladntext1"/>
        <w:spacing w:after="0" w:line="259" w:lineRule="auto"/>
      </w:pPr>
      <w:r>
        <w:t>spisová značka, pod kterou je společnost zapsána u příslušného rejstříkového soudu:</w:t>
      </w:r>
    </w:p>
    <w:p w:rsidR="00B34CDE" w:rsidRDefault="002C42F0">
      <w:pPr>
        <w:pStyle w:val="Zkladntext1"/>
        <w:spacing w:after="240" w:line="259" w:lineRule="auto"/>
      </w:pPr>
      <w:r>
        <w:t xml:space="preserve">B </w:t>
      </w:r>
      <w:r>
        <w:t>2322 vedená u Městského soudu v Praze</w:t>
      </w:r>
    </w:p>
    <w:p w:rsidR="00B34CDE" w:rsidRDefault="002C42F0">
      <w:pPr>
        <w:pStyle w:val="Zkladntext1"/>
        <w:spacing w:after="0" w:line="259" w:lineRule="auto"/>
        <w:jc w:val="both"/>
      </w:pPr>
      <w:r>
        <w:t>zastoupená:</w:t>
      </w:r>
    </w:p>
    <w:p w:rsidR="00B34CDE" w:rsidRDefault="00B34CDE">
      <w:pPr>
        <w:pStyle w:val="Zkladntext1"/>
        <w:spacing w:after="0" w:line="259" w:lineRule="auto"/>
        <w:jc w:val="both"/>
      </w:pPr>
    </w:p>
    <w:p w:rsidR="00B34CDE" w:rsidRDefault="002C42F0">
      <w:pPr>
        <w:pStyle w:val="Zkladntext1"/>
        <w:spacing w:after="0" w:line="259" w:lineRule="auto"/>
        <w:jc w:val="both"/>
      </w:pPr>
      <w:r>
        <w:t>Manažer pro prodej</w:t>
      </w:r>
    </w:p>
    <w:p w:rsidR="00B34CDE" w:rsidRDefault="002C42F0">
      <w:pPr>
        <w:pStyle w:val="Zkladntext1"/>
        <w:spacing w:after="0" w:line="259" w:lineRule="auto"/>
        <w:jc w:val="both"/>
        <w:sectPr w:rsidR="00B34CDE">
          <w:type w:val="continuous"/>
          <w:pgSz w:w="11900" w:h="16840"/>
          <w:pgMar w:top="2626" w:right="1992" w:bottom="1831" w:left="1080" w:header="0" w:footer="3" w:gutter="0"/>
          <w:cols w:num="2" w:space="878"/>
          <w:noEndnote/>
          <w:docGrid w:linePitch="360"/>
        </w:sectPr>
      </w:pPr>
      <w:r>
        <w:t>(dále jen „02“)</w:t>
      </w:r>
    </w:p>
    <w:p w:rsidR="00B34CDE" w:rsidRDefault="00B34CDE">
      <w:pPr>
        <w:spacing w:before="64" w:after="64" w:line="240" w:lineRule="exact"/>
        <w:rPr>
          <w:sz w:val="19"/>
          <w:szCs w:val="19"/>
        </w:rPr>
      </w:pPr>
    </w:p>
    <w:p w:rsidR="00B34CDE" w:rsidRDefault="00B34CDE">
      <w:pPr>
        <w:spacing w:line="1" w:lineRule="exact"/>
        <w:sectPr w:rsidR="00B34CDE">
          <w:type w:val="continuous"/>
          <w:pgSz w:w="11900" w:h="16840"/>
          <w:pgMar w:top="2377" w:right="0" w:bottom="2081" w:left="0" w:header="0" w:footer="3" w:gutter="0"/>
          <w:cols w:space="720"/>
          <w:noEndnote/>
          <w:docGrid w:linePitch="360"/>
        </w:sectPr>
      </w:pPr>
    </w:p>
    <w:p w:rsidR="00B34CDE" w:rsidRDefault="002C42F0">
      <w:pPr>
        <w:pStyle w:val="Zkladntext1"/>
        <w:spacing w:after="340"/>
      </w:pPr>
      <w:r>
        <w:lastRenderedPageBreak/>
        <w:t>02 a Účastník se dohodli na následujících změnách výše uvedené Rámcové dohody:</w:t>
      </w:r>
    </w:p>
    <w:p w:rsidR="00B34CDE" w:rsidRDefault="002C42F0">
      <w:pPr>
        <w:pStyle w:val="Zkladntext1"/>
        <w:numPr>
          <w:ilvl w:val="0"/>
          <w:numId w:val="1"/>
        </w:numPr>
        <w:tabs>
          <w:tab w:val="left" w:pos="446"/>
        </w:tabs>
        <w:spacing w:line="259" w:lineRule="auto"/>
        <w:ind w:left="440" w:hanging="440"/>
        <w:jc w:val="both"/>
      </w:pPr>
      <w:r>
        <w:t xml:space="preserve">02 a Účastník </w:t>
      </w:r>
      <w:r>
        <w:t xml:space="preserve">se dohodli na prodloužení výše uvedené Rámcové dohody o 24 měsíců oproti současnému stavu smluvního závazku, tzn. do </w:t>
      </w:r>
      <w:proofErr w:type="gramStart"/>
      <w:r>
        <w:t>15.6.2024</w:t>
      </w:r>
      <w:proofErr w:type="gramEnd"/>
      <w:r>
        <w:t>.</w:t>
      </w:r>
    </w:p>
    <w:p w:rsidR="00B34CDE" w:rsidRDefault="002C42F0">
      <w:pPr>
        <w:pStyle w:val="Zkladntext1"/>
        <w:numPr>
          <w:ilvl w:val="0"/>
          <w:numId w:val="1"/>
        </w:numPr>
        <w:tabs>
          <w:tab w:val="left" w:pos="446"/>
        </w:tabs>
        <w:spacing w:line="264" w:lineRule="auto"/>
        <w:ind w:left="440" w:hanging="440"/>
        <w:jc w:val="both"/>
      </w:pPr>
      <w:r>
        <w:t>02 a Účastník se dohodli, že ustanovení odst. 5.1 o automatickém prodlužování doby trvání Rámcové dohody se ruší.</w:t>
      </w:r>
    </w:p>
    <w:p w:rsidR="00B34CDE" w:rsidRDefault="002C42F0">
      <w:pPr>
        <w:pStyle w:val="Zkladntext1"/>
        <w:numPr>
          <w:ilvl w:val="0"/>
          <w:numId w:val="1"/>
        </w:numPr>
        <w:tabs>
          <w:tab w:val="left" w:pos="446"/>
        </w:tabs>
      </w:pPr>
      <w:r>
        <w:t xml:space="preserve">02 a Účastník </w:t>
      </w:r>
      <w:r>
        <w:t>se dohodli na změně této Rámcové dohody v následujícím ustanovení:</w:t>
      </w:r>
    </w:p>
    <w:p w:rsidR="00B34CDE" w:rsidRDefault="002C42F0">
      <w:pPr>
        <w:pStyle w:val="Zkladntext1"/>
        <w:ind w:left="440" w:hanging="440"/>
        <w:jc w:val="both"/>
      </w:pPr>
      <w:r>
        <w:t>4.10 Smluvní strany se dohodly na tom, že Účastník, spolu s Dalšími účastníky, je oprávněn pod zvýhodněné obchodní podmínky této Rámcové dohody zařadit maximálně 20 služeb přístupu k síti (</w:t>
      </w:r>
      <w:r>
        <w:t>Volání z pevné) nebo internetových služeb (Internet v pevném místě) a pronajmout/koupit maximálně 20 kusů koncových zařízení. Zároveň platí, že pokud je Další účastník fyzickou osobou, je oprávněn v rámci tohoto maximálního počtu služeb přístupu k síti (Vo</w:t>
      </w:r>
      <w:r>
        <w:t>lání z pevné) nebo internetových služeb (Internet v pevném místě) pod zvýhodněné obchodní podmínky této Rámcové dohody zařadit maximálně 5 služeb přístupu k síti (Volání z pevné) nebo internetových služeb (Internet v pevném místě) a pronajmout/koupit maxim</w:t>
      </w:r>
      <w:r>
        <w:t>álně 5 kusů koncových zařízení. To znamená, že bude-li mít Účastník, spolu s Dalšími účastníky (či sám Další účastník pokud je fyzickou osobou), aktivních více služeb přístupu k síti nebo internetových služeb nebo si pronajme/koupí více koncových zařízení,</w:t>
      </w:r>
      <w:r>
        <w:t xml:space="preserve"> než je uvedeno v tomto článku, bude 02 Účastníkovi (popř. Dalšímu účastníkovi) účtovat za služby odebírané prostřednictvím služeb k přístupu k síti nebo prostřednictvím internetové služby nebo za koncová zařízení nad limit stanovený tímto článkem v standa</w:t>
      </w:r>
      <w:r>
        <w:t>rdních cenách stanovených příslušným ceníkem služeb/koncových zařízení (nikoli v cenách sjednaných touto Rámcovou dohodou). Limit služeb/limit pro počet koncových zařízení lze navýšit pouze na základě písemné dohody uzavřené mezi Účastníkem a společností 0</w:t>
      </w:r>
      <w:r>
        <w:t>2.</w:t>
      </w:r>
    </w:p>
    <w:p w:rsidR="00B34CDE" w:rsidRDefault="002C42F0">
      <w:pPr>
        <w:pStyle w:val="Zkladntext1"/>
        <w:numPr>
          <w:ilvl w:val="0"/>
          <w:numId w:val="1"/>
        </w:numPr>
        <w:tabs>
          <w:tab w:val="left" w:pos="446"/>
        </w:tabs>
        <w:ind w:left="440" w:hanging="440"/>
        <w:jc w:val="both"/>
      </w:pPr>
      <w:r>
        <w:t>02 a Účastník se dohodli na změně přílohy č. 2 Rámcové dohody, jejíž znění se ruší a nahrazuje se novým zněním uvedeným v příloze č. 1 tohoto dodatku.</w:t>
      </w:r>
    </w:p>
    <w:p w:rsidR="00B34CDE" w:rsidRDefault="002C42F0">
      <w:pPr>
        <w:pStyle w:val="Zkladntext1"/>
        <w:numPr>
          <w:ilvl w:val="0"/>
          <w:numId w:val="1"/>
        </w:numPr>
        <w:tabs>
          <w:tab w:val="left" w:pos="446"/>
        </w:tabs>
        <w:spacing w:after="60" w:line="240" w:lineRule="auto"/>
        <w:ind w:left="440" w:hanging="440"/>
        <w:jc w:val="both"/>
      </w:pPr>
      <w:r>
        <w:t>Náleží-li Účastník do okruhu subjektů uvedených v ustanovení § 2 odst. 1 zákona č. 340/2015 Sb., o zvl</w:t>
      </w:r>
      <w:r>
        <w:t>áštních podmínkách účinnosti některých smluv, uveřejňování těchto smluv a o registru smluv, zavazuje</w:t>
      </w:r>
      <w:r>
        <w:br w:type="page"/>
      </w:r>
      <w:r>
        <w:lastRenderedPageBreak/>
        <w:t>se uveřejnit Rámcovou dohodu ve znění všech jejích dodatků (včetně tohoto dodatku), případně jednotlivé Účastnické smlouvy v registru smluv v souladu s tím</w:t>
      </w:r>
      <w:r>
        <w:t>to zákonem.</w:t>
      </w:r>
    </w:p>
    <w:p w:rsidR="00B34CDE" w:rsidRDefault="002C42F0">
      <w:pPr>
        <w:pStyle w:val="Zkladntext1"/>
        <w:numPr>
          <w:ilvl w:val="0"/>
          <w:numId w:val="1"/>
        </w:numPr>
        <w:tabs>
          <w:tab w:val="left" w:pos="446"/>
        </w:tabs>
        <w:spacing w:after="700"/>
        <w:ind w:left="440" w:hanging="44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838200</wp:posOffset>
                </wp:positionV>
                <wp:extent cx="1935480" cy="25590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255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4CDE" w:rsidRDefault="002C42F0">
                            <w:pPr>
                              <w:pStyle w:val="Titulekobrzku0"/>
                              <w:spacing w:line="240" w:lineRule="auto"/>
                            </w:pPr>
                            <w:r>
                              <w:t xml:space="preserve">V Mělníce, dne </w:t>
                            </w:r>
                            <w:r>
                              <w:rPr>
                                <w:color w:val="6D6EB5"/>
                              </w:rPr>
                              <w:t xml:space="preserve">9 G </w:t>
                            </w:r>
                            <w:proofErr w:type="spellStart"/>
                            <w:r>
                              <w:rPr>
                                <w:color w:val="6D6EB5"/>
                              </w:rPr>
                              <w:t>loLL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79.4pt;margin-top:66pt;width:152.4pt;height:20.1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" filled="f" stroked="f">
                <v:textbox inset="0,0,0,0">
                  <w:txbxContent>
                    <w:p w:rsidR="00B34CDE" w:rsidRDefault="002C42F0">
                      <w:pPr>
                        <w:pStyle w:val="Titulekobrzku0"/>
                        <w:spacing w:line="240" w:lineRule="auto"/>
                      </w:pPr>
                      <w:r>
                        <w:t xml:space="preserve">V Mělníce, dne </w:t>
                      </w:r>
                      <w:r>
                        <w:rPr>
                          <w:color w:val="6D6EB5"/>
                        </w:rPr>
                        <w:t xml:space="preserve">9 G </w:t>
                      </w:r>
                      <w:proofErr w:type="spellStart"/>
                      <w:r>
                        <w:rPr>
                          <w:color w:val="6D6EB5"/>
                        </w:rPr>
                        <w:t>loLL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1654810</wp:posOffset>
                </wp:positionV>
                <wp:extent cx="2035810" cy="46037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810" cy="460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4CDE" w:rsidRDefault="002C42F0">
                            <w:pPr>
                              <w:pStyle w:val="Titulekobrzku0"/>
                            </w:pPr>
                            <w:r>
                              <w:t>za Mělnické kulturní centrum, o.p.s. Ing. RADKA KAREISOVÁ ředitel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9.400000000000006pt;margin-top:130.30000000000001pt;width:160.30000000000001pt;height:36.2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Mělnické kulturní centrum, o.p.s. Ing. RADKA KAREISOVÁ ředitel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Tento dodatek se vyhotovuje ve dvou stejnopisech, z nichž každá ze smluvních stran obdrží po jednom. Tento dodatek nabývá platnosti dnem jeho </w:t>
      </w:r>
      <w:r>
        <w:t>uzavření a účinnosti prvním dnem zúčtovacího období následujícího po jejím uzavření, nejpozději však do třiceti (30) kalendářních dní po jejím uzavření.</w:t>
      </w:r>
    </w:p>
    <w:p w:rsidR="001E25F3" w:rsidRDefault="001E25F3">
      <w:pPr>
        <w:pStyle w:val="Zkladntext1"/>
        <w:spacing w:after="0" w:line="240" w:lineRule="auto"/>
        <w:ind w:left="660"/>
      </w:pPr>
    </w:p>
    <w:p w:rsidR="00B34CDE" w:rsidRDefault="002C42F0" w:rsidP="001E25F3">
      <w:pPr>
        <w:pStyle w:val="Zkladntext1"/>
        <w:spacing w:after="0" w:line="240" w:lineRule="auto"/>
        <w:ind w:left="5616" w:firstLine="48"/>
      </w:pPr>
      <w:r>
        <w:t xml:space="preserve">V Praze, dne za 02 </w:t>
      </w:r>
      <w:r>
        <w:rPr>
          <w:lang w:val="en-US" w:eastAsia="en-US" w:bidi="en-US"/>
        </w:rPr>
        <w:t>Czech Republic</w:t>
      </w:r>
    </w:p>
    <w:p w:rsidR="00B34CDE" w:rsidRDefault="002C42F0" w:rsidP="001E25F3">
      <w:pPr>
        <w:pStyle w:val="Zkladntext1"/>
        <w:spacing w:after="0"/>
        <w:ind w:left="5568" w:firstLine="48"/>
      </w:pPr>
      <w:r>
        <w:t xml:space="preserve">Bc. Jaroslava Vošická </w:t>
      </w:r>
      <w:proofErr w:type="spellStart"/>
      <w:r>
        <w:rPr>
          <w:color w:val="4D556F"/>
        </w:rPr>
        <w:t>MPAuz</w:t>
      </w:r>
      <w:proofErr w:type="spellEnd"/>
      <w:r>
        <w:rPr>
          <w:color w:val="4D556F"/>
        </w:rPr>
        <w:t xml:space="preserve"> </w:t>
      </w:r>
      <w:r>
        <w:rPr>
          <w:color w:val="7891EF"/>
        </w:rPr>
        <w:t>Praha 4</w:t>
      </w:r>
    </w:p>
    <w:p w:rsidR="00B34CDE" w:rsidRDefault="002C42F0" w:rsidP="001E25F3">
      <w:pPr>
        <w:pStyle w:val="Zkladntext1"/>
        <w:spacing w:after="2860"/>
        <w:ind w:left="5520" w:firstLine="48"/>
      </w:pPr>
      <w:r>
        <w:t>Manažer pro prodej Na základě po</w:t>
      </w:r>
      <w:r>
        <w:t>věření</w:t>
      </w:r>
    </w:p>
    <w:p w:rsidR="00B34CDE" w:rsidRDefault="002C42F0">
      <w:pPr>
        <w:pStyle w:val="Nadpis30"/>
        <w:keepNext/>
        <w:keepLines/>
        <w:spacing w:line="240" w:lineRule="auto"/>
      </w:pPr>
      <w:bookmarkStart w:id="3" w:name="bookmark6"/>
      <w:r>
        <w:t>Přílohy:</w:t>
      </w:r>
      <w:bookmarkEnd w:id="3"/>
    </w:p>
    <w:p w:rsidR="00B34CDE" w:rsidRDefault="002C42F0">
      <w:pPr>
        <w:pStyle w:val="Zkladntext1"/>
        <w:spacing w:after="380" w:line="240" w:lineRule="auto"/>
      </w:pPr>
      <w:r>
        <w:t>č. 1 - Příloha č. 2 Rámcové dohody - kontaktní informace</w:t>
      </w:r>
    </w:p>
    <w:p w:rsidR="00B34CDE" w:rsidRDefault="002C42F0">
      <w:pPr>
        <w:pStyle w:val="Zkladntext1"/>
        <w:spacing w:after="460" w:line="240" w:lineRule="auto"/>
        <w:rPr>
          <w:b/>
          <w:bCs/>
        </w:rPr>
      </w:pPr>
      <w:r>
        <w:rPr>
          <w:b/>
          <w:bCs/>
        </w:rPr>
        <w:t>Příloha č. 1 Dodatku k Rámcové dohodě</w:t>
      </w:r>
    </w:p>
    <w:p w:rsidR="001E25F3" w:rsidRDefault="001E25F3">
      <w:pPr>
        <w:pStyle w:val="Zkladntext1"/>
        <w:spacing w:after="460" w:line="240" w:lineRule="auto"/>
        <w:rPr>
          <w:b/>
          <w:bCs/>
        </w:rPr>
      </w:pPr>
    </w:p>
    <w:p w:rsidR="001E25F3" w:rsidRDefault="001E25F3">
      <w:pPr>
        <w:pStyle w:val="Zkladntext1"/>
        <w:spacing w:after="460" w:line="240" w:lineRule="auto"/>
        <w:rPr>
          <w:b/>
          <w:bCs/>
        </w:rPr>
      </w:pPr>
    </w:p>
    <w:p w:rsidR="001E25F3" w:rsidRDefault="001E25F3">
      <w:pPr>
        <w:pStyle w:val="Zkladntext1"/>
        <w:spacing w:after="460" w:line="240" w:lineRule="auto"/>
        <w:rPr>
          <w:b/>
          <w:bCs/>
        </w:rPr>
      </w:pPr>
    </w:p>
    <w:p w:rsidR="001E25F3" w:rsidRDefault="001E25F3">
      <w:pPr>
        <w:pStyle w:val="Zkladntext1"/>
        <w:spacing w:after="460" w:line="240" w:lineRule="auto"/>
        <w:rPr>
          <w:b/>
          <w:bCs/>
        </w:rPr>
      </w:pPr>
    </w:p>
    <w:p w:rsidR="001E25F3" w:rsidRDefault="001E25F3">
      <w:pPr>
        <w:pStyle w:val="Zkladntext1"/>
        <w:spacing w:after="460" w:line="240" w:lineRule="auto"/>
      </w:pPr>
    </w:p>
    <w:p w:rsidR="001E25F3" w:rsidRDefault="001E25F3">
      <w:pPr>
        <w:pStyle w:val="Zkladntext1"/>
        <w:spacing w:after="460" w:line="240" w:lineRule="auto"/>
      </w:pPr>
    </w:p>
    <w:p w:rsidR="001E25F3" w:rsidRDefault="001E25F3">
      <w:pPr>
        <w:pStyle w:val="Zkladntext1"/>
        <w:spacing w:after="460" w:line="240" w:lineRule="auto"/>
      </w:pPr>
    </w:p>
    <w:p w:rsidR="001E25F3" w:rsidRDefault="001E25F3">
      <w:pPr>
        <w:pStyle w:val="Zkladntext1"/>
        <w:spacing w:after="460" w:line="240" w:lineRule="auto"/>
      </w:pPr>
      <w:bookmarkStart w:id="4" w:name="_GoBack"/>
      <w:bookmarkEnd w:id="4"/>
    </w:p>
    <w:sectPr w:rsidR="001E25F3">
      <w:type w:val="continuous"/>
      <w:pgSz w:w="11900" w:h="16840"/>
      <w:pgMar w:top="2377" w:right="1106" w:bottom="2081" w:left="1012" w:header="1949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2F0" w:rsidRDefault="002C42F0">
      <w:r>
        <w:separator/>
      </w:r>
    </w:p>
  </w:endnote>
  <w:endnote w:type="continuationSeparator" w:id="0">
    <w:p w:rsidR="002C42F0" w:rsidRDefault="002C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CDE" w:rsidRDefault="002C42F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920750</wp:posOffset>
              </wp:positionH>
              <wp:positionV relativeFrom="page">
                <wp:posOffset>9686925</wp:posOffset>
              </wp:positionV>
              <wp:extent cx="5843270" cy="5759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3270" cy="575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4CDE" w:rsidRDefault="002C42F0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02 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  <w:lang w:val="en-US" w:eastAsia="en-US" w:bidi="en-US"/>
                            </w:rPr>
                            <w:t xml:space="preserve">Czech Republic 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a.s. Za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Brumlovkou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266/2 140 22 Praha 4 - Michle 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  <w:lang w:val="en-US" w:eastAsia="en-US" w:bidi="en-US"/>
                            </w:rPr>
                            <w:t xml:space="preserve">Czech Republic 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  <w:u w:val="single"/>
                              <w:lang w:val="en-US" w:eastAsia="en-US" w:bidi="en-US"/>
                            </w:rPr>
                            <w:t>www.o2.cz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E25F3" w:rsidRPr="001E25F3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  <w:p w:rsidR="00B34CDE" w:rsidRDefault="002C42F0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zapsaná v obchodním rejstříku Městského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soudu v Praze oddíl B vložka 2322 IČ 60193336 DIČ CZ60193336</w:t>
                          </w:r>
                        </w:p>
                        <w:p w:rsidR="00B34CDE" w:rsidRDefault="002C42F0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Obchodní tajemství společnosti 02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 xml:space="preserve">Czech Republic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a.s.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72.5pt;margin-top:762.75pt;width:460.1pt;height:45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" filled="f" stroked="f">
              <v:textbox style="mso-fit-shape-to-text:t" inset="0,0,0,0">
                <w:txbxContent>
                  <w:p w:rsidR="00B34CDE" w:rsidRDefault="002C42F0">
                    <w:pPr>
                      <w:pStyle w:val="Zhlavnebozpat20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02 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  <w:lang w:val="en-US" w:eastAsia="en-US" w:bidi="en-US"/>
                      </w:rPr>
                      <w:t xml:space="preserve">Czech Republic 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a.s. Za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Brumlovkou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 266/2 140 22 Praha 4 - Michle 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  <w:lang w:val="en-US" w:eastAsia="en-US" w:bidi="en-US"/>
                      </w:rPr>
                      <w:t xml:space="preserve">Czech Republic 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  <w:u w:val="single"/>
                        <w:lang w:val="en-US" w:eastAsia="en-US" w:bidi="en-US"/>
                      </w:rPr>
                      <w:t>www.o2.cz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  <w:lang w:val="en-US" w:eastAsia="en-US" w:bidi="en-US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E25F3" w:rsidRPr="001E25F3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</w:p>
                  <w:p w:rsidR="00B34CDE" w:rsidRDefault="002C42F0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zapsaná v obchodním rejstříku Městského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soudu v Praze oddíl B vložka 2322 IČ 60193336 DIČ CZ60193336</w:t>
                    </w:r>
                  </w:p>
                  <w:p w:rsidR="00B34CDE" w:rsidRDefault="002C42F0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Obchodní tajemství společnosti 02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  <w:lang w:val="en-US" w:eastAsia="en-US" w:bidi="en-US"/>
                      </w:rPr>
                      <w:t xml:space="preserve">Czech Republic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2F0" w:rsidRDefault="002C42F0"/>
  </w:footnote>
  <w:footnote w:type="continuationSeparator" w:id="0">
    <w:p w:rsidR="002C42F0" w:rsidRDefault="002C42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C2299"/>
    <w:multiLevelType w:val="multilevel"/>
    <w:tmpl w:val="09C29E6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A270A9"/>
    <w:multiLevelType w:val="multilevel"/>
    <w:tmpl w:val="C734CAB6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DE"/>
    <w:rsid w:val="001E25F3"/>
    <w:rsid w:val="002C42F0"/>
    <w:rsid w:val="00B3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34C2A"/>
  <w15:docId w15:val="{AF4765AE-67D4-42FC-AFF0-96647DFA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pacing w:after="80" w:line="252" w:lineRule="auto"/>
    </w:pPr>
    <w:rPr>
      <w:rFonts w:ascii="Arial" w:eastAsia="Arial" w:hAnsi="Arial" w:cs="Arial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pacing w:line="254" w:lineRule="auto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pacing w:line="259" w:lineRule="auto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pacing w:after="520"/>
      <w:jc w:val="center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519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Nejdrova</cp:lastModifiedBy>
  <cp:revision>2</cp:revision>
  <dcterms:created xsi:type="dcterms:W3CDTF">2022-06-28T15:11:00Z</dcterms:created>
  <dcterms:modified xsi:type="dcterms:W3CDTF">2022-06-28T15:13:00Z</dcterms:modified>
</cp:coreProperties>
</file>