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CE6A" w14:textId="77777777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246"/>
      </w:pPr>
      <w:r>
        <w:t>Níže uvedeného dne, měsíce a roku uzavřeli</w:t>
      </w:r>
    </w:p>
    <w:p w14:paraId="6B2CCE6B" w14:textId="77777777" w:rsidR="00F85834" w:rsidRDefault="00BD211B">
      <w:pPr>
        <w:pStyle w:val="Heading10"/>
        <w:framePr w:w="9926" w:h="5339" w:hRule="exact" w:wrap="none" w:vAnchor="page" w:hAnchor="page" w:x="992" w:y="1377"/>
        <w:shd w:val="clear" w:color="auto" w:fill="auto"/>
        <w:spacing w:before="0"/>
      </w:pPr>
      <w:bookmarkStart w:id="0" w:name="bookmark0"/>
      <w:r>
        <w:rPr>
          <w:lang w:val="en-US" w:eastAsia="en-US" w:bidi="en-US"/>
        </w:rPr>
        <w:t xml:space="preserve">Active Radio </w:t>
      </w:r>
      <w:r>
        <w:t>a.s.</w:t>
      </w:r>
      <w:bookmarkEnd w:id="0"/>
    </w:p>
    <w:p w14:paraId="143BE39A" w14:textId="77777777" w:rsidR="00BD211B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t xml:space="preserve">se sídlem: Praha 2, Wenzigova 4/1872, PSČ: 120 00 </w:t>
      </w:r>
    </w:p>
    <w:p w14:paraId="1DC53E76" w14:textId="77777777" w:rsidR="00BD211B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t xml:space="preserve">IČ: 61058297 </w:t>
      </w:r>
    </w:p>
    <w:p w14:paraId="6B2CCE6C" w14:textId="0F648168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t>DIČ: CZ61058297</w:t>
      </w:r>
    </w:p>
    <w:p w14:paraId="6B2CCE6D" w14:textId="712ED963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t xml:space="preserve">bankovní spojení: </w:t>
      </w:r>
      <w:proofErr w:type="spellStart"/>
      <w:r>
        <w:t>č.ú</w:t>
      </w:r>
      <w:proofErr w:type="spellEnd"/>
      <w:r>
        <w:t xml:space="preserve">.: </w:t>
      </w:r>
    </w:p>
    <w:p w14:paraId="6B2CCE6E" w14:textId="77777777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t>Komerční banka a.s., Štefánikova 22, 150 47 Praha 5 - Smíchov</w:t>
      </w:r>
    </w:p>
    <w:p w14:paraId="6B2CCE6F" w14:textId="77777777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t xml:space="preserve">IBAN: CZ32 0100 0000 5119 4306 0257, </w:t>
      </w:r>
      <w:r>
        <w:rPr>
          <w:lang w:val="en-US" w:eastAsia="en-US" w:bidi="en-US"/>
        </w:rPr>
        <w:t xml:space="preserve">SWIFT: </w:t>
      </w:r>
      <w:r>
        <w:t>KOMBCZPPXXX</w:t>
      </w:r>
    </w:p>
    <w:p w14:paraId="6B2CCE70" w14:textId="77777777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rPr>
          <w:lang w:val="en-US" w:eastAsia="en-US" w:bidi="en-US"/>
        </w:rPr>
        <w:t xml:space="preserve">OR: </w:t>
      </w:r>
      <w:r>
        <w:t>B 3912 vedená u Městského soudu v Praze</w:t>
      </w:r>
    </w:p>
    <w:p w14:paraId="6B2CCE71" w14:textId="09B1DCFC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274" w:line="250" w:lineRule="exact"/>
      </w:pPr>
      <w:r>
        <w:t>(dále též jen jako „AR“)</w:t>
      </w:r>
    </w:p>
    <w:p w14:paraId="6B2CCE72" w14:textId="77777777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246"/>
      </w:pPr>
      <w:r>
        <w:t>a</w:t>
      </w:r>
    </w:p>
    <w:p w14:paraId="6B2CCE73" w14:textId="2DDE7A5E" w:rsidR="00F85834" w:rsidRDefault="00BD211B">
      <w:pPr>
        <w:pStyle w:val="Heading10"/>
        <w:framePr w:w="9926" w:h="5339" w:hRule="exact" w:wrap="none" w:vAnchor="page" w:hAnchor="page" w:x="992" w:y="1377"/>
        <w:shd w:val="clear" w:color="auto" w:fill="auto"/>
        <w:spacing w:before="0"/>
      </w:pPr>
      <w:bookmarkStart w:id="1" w:name="bookmark1"/>
      <w:r>
        <w:t>Hudební divadlo v Karlíně</w:t>
      </w:r>
      <w:bookmarkEnd w:id="1"/>
    </w:p>
    <w:p w14:paraId="6B2CCE74" w14:textId="77777777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t>se sídlem: Křižíkova 10, Praha 86, PSČ: 186 00</w:t>
      </w:r>
    </w:p>
    <w:p w14:paraId="6B2CCE75" w14:textId="77777777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t>IČ: 00064335</w:t>
      </w:r>
    </w:p>
    <w:p w14:paraId="6B2CCE76" w14:textId="77777777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 w:line="250" w:lineRule="exact"/>
      </w:pPr>
      <w:r>
        <w:t>DIČ: CZ00064335</w:t>
      </w:r>
    </w:p>
    <w:p w14:paraId="6B2CCE77" w14:textId="514C4EBD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274" w:line="250" w:lineRule="exact"/>
      </w:pPr>
      <w:r>
        <w:t>(dále též jen jako „klient“)</w:t>
      </w:r>
    </w:p>
    <w:p w14:paraId="6B2CCE78" w14:textId="77777777" w:rsidR="00F85834" w:rsidRDefault="00BD211B">
      <w:pPr>
        <w:pStyle w:val="Bodytext20"/>
        <w:framePr w:w="9926" w:h="5339" w:hRule="exact" w:wrap="none" w:vAnchor="page" w:hAnchor="page" w:x="992" w:y="1377"/>
        <w:shd w:val="clear" w:color="auto" w:fill="auto"/>
        <w:spacing w:after="0"/>
      </w:pPr>
      <w:r>
        <w:t>tento</w:t>
      </w:r>
    </w:p>
    <w:p w14:paraId="6B2CCE79" w14:textId="77777777" w:rsidR="00F85834" w:rsidRDefault="00BD211B">
      <w:pPr>
        <w:pStyle w:val="Bodytext30"/>
        <w:framePr w:w="9926" w:h="571" w:hRule="exact" w:wrap="none" w:vAnchor="page" w:hAnchor="page" w:x="992" w:y="7159"/>
        <w:shd w:val="clear" w:color="auto" w:fill="auto"/>
        <w:spacing w:before="0" w:after="0"/>
        <w:ind w:right="20"/>
      </w:pPr>
      <w:r>
        <w:t>Dodatek č. 1 ke kombinované smlouvě č. AGR-LA-202101392</w:t>
      </w:r>
      <w:r>
        <w:br/>
      </w:r>
      <w:r>
        <w:rPr>
          <w:rStyle w:val="Bodytext31"/>
          <w:b/>
          <w:bCs/>
        </w:rPr>
        <w:t xml:space="preserve">dle § 1746 odst. 2, </w:t>
      </w:r>
      <w:proofErr w:type="spellStart"/>
      <w:r>
        <w:rPr>
          <w:rStyle w:val="Bodytext31"/>
          <w:b/>
          <w:bCs/>
        </w:rPr>
        <w:t>z.č</w:t>
      </w:r>
      <w:proofErr w:type="spellEnd"/>
      <w:r>
        <w:rPr>
          <w:rStyle w:val="Bodytext31"/>
          <w:b/>
          <w:bCs/>
        </w:rPr>
        <w:t>. 89/2012 Sb., občanský zákoník, v platném znění (</w:t>
      </w:r>
      <w:proofErr w:type="spellStart"/>
      <w:r>
        <w:rPr>
          <w:rStyle w:val="Bodytext31"/>
          <w:b/>
          <w:bCs/>
        </w:rPr>
        <w:t>o.z</w:t>
      </w:r>
      <w:proofErr w:type="spellEnd"/>
      <w:r>
        <w:rPr>
          <w:rStyle w:val="Bodytext31"/>
          <w:b/>
          <w:bCs/>
        </w:rPr>
        <w:t>.)</w:t>
      </w:r>
    </w:p>
    <w:p w14:paraId="6B2CCE7A" w14:textId="73A5F7BA" w:rsidR="00F85834" w:rsidRDefault="00BD211B">
      <w:pPr>
        <w:pStyle w:val="Bodytext20"/>
        <w:framePr w:w="9926" w:h="827" w:hRule="exact" w:wrap="none" w:vAnchor="page" w:hAnchor="page" w:x="992" w:y="7965"/>
        <w:shd w:val="clear" w:color="auto" w:fill="auto"/>
        <w:spacing w:after="0" w:line="254" w:lineRule="exact"/>
        <w:jc w:val="both"/>
      </w:pPr>
      <w:r>
        <w:t>Dne 10.5.2021 uzavřeli AR a klient kombinovanou smlouvu č. AGR-LA-202101392 (dále též jen jako „Smlouva“). AR a klient se dohodli na změně ustanovení čl. II. body 1. a 2 Smlouvy tak, že tato ustanovení po provedené změně nově zní, jak následuje.</w:t>
      </w:r>
    </w:p>
    <w:p w14:paraId="6B2CCE7B" w14:textId="77777777" w:rsidR="00F85834" w:rsidRDefault="00BD211B">
      <w:pPr>
        <w:pStyle w:val="Heading10"/>
        <w:framePr w:w="9926" w:h="3085" w:hRule="exact" w:wrap="none" w:vAnchor="page" w:hAnchor="page" w:x="992" w:y="9245"/>
        <w:shd w:val="clear" w:color="auto" w:fill="auto"/>
        <w:spacing w:before="0" w:after="252" w:line="244" w:lineRule="exact"/>
        <w:ind w:right="20"/>
        <w:jc w:val="center"/>
      </w:pPr>
      <w:bookmarkStart w:id="2" w:name="bookmark2"/>
      <w:r>
        <w:t>II. Cena, její výše, splatnost a způsob úhrady</w:t>
      </w:r>
      <w:bookmarkEnd w:id="2"/>
    </w:p>
    <w:p w14:paraId="6B2CCE7C" w14:textId="01C545D3" w:rsidR="00F85834" w:rsidRDefault="00BD211B">
      <w:pPr>
        <w:pStyle w:val="Bodytext20"/>
        <w:framePr w:w="9926" w:h="3085" w:hRule="exact" w:wrap="none" w:vAnchor="page" w:hAnchor="page" w:x="992" w:y="9245"/>
        <w:numPr>
          <w:ilvl w:val="0"/>
          <w:numId w:val="1"/>
        </w:numPr>
        <w:shd w:val="clear" w:color="auto" w:fill="auto"/>
        <w:tabs>
          <w:tab w:val="left" w:pos="349"/>
        </w:tabs>
        <w:spacing w:line="254" w:lineRule="exact"/>
        <w:jc w:val="both"/>
      </w:pPr>
      <w:r>
        <w:t xml:space="preserve">Na základě dohody smluvních stran je celková cena za plnění AR, včetně veškerých souvisejících nákladů spojených s odvysíláním a/nebo umístěním reklamního plnění, stanovena podle ceníku AR a činí </w:t>
      </w:r>
      <w:proofErr w:type="spellStart"/>
      <w:r w:rsidR="005D554F">
        <w:t>xx</w:t>
      </w:r>
      <w:proofErr w:type="spellEnd"/>
      <w:r>
        <w:t xml:space="preserve"> Kč bez DPH. Z této části ceny plnění AR poskytuje AR klientovi slevu v rozsahu </w:t>
      </w:r>
      <w:proofErr w:type="spellStart"/>
      <w:r w:rsidR="005D554F">
        <w:t>xx</w:t>
      </w:r>
      <w:proofErr w:type="spellEnd"/>
      <w:r>
        <w:t xml:space="preserve">%. Cena této části plnění AR po slevě tedy činí </w:t>
      </w:r>
      <w:proofErr w:type="spellStart"/>
      <w:r w:rsidR="005D554F">
        <w:t>xx</w:t>
      </w:r>
      <w:proofErr w:type="spellEnd"/>
      <w:r>
        <w:t xml:space="preserve"> Kč bez DPH.</w:t>
      </w:r>
    </w:p>
    <w:p w14:paraId="6B2CCE7D" w14:textId="62006F3F" w:rsidR="00F85834" w:rsidRDefault="00BD211B">
      <w:pPr>
        <w:pStyle w:val="Bodytext20"/>
        <w:framePr w:w="9926" w:h="3085" w:hRule="exact" w:wrap="none" w:vAnchor="page" w:hAnchor="page" w:x="992" w:y="9245"/>
        <w:numPr>
          <w:ilvl w:val="0"/>
          <w:numId w:val="1"/>
        </w:numPr>
        <w:shd w:val="clear" w:color="auto" w:fill="auto"/>
        <w:tabs>
          <w:tab w:val="left" w:pos="346"/>
        </w:tabs>
        <w:spacing w:after="278" w:line="254" w:lineRule="exact"/>
        <w:jc w:val="both"/>
      </w:pPr>
      <w:r>
        <w:t xml:space="preserve">Na základě dohody smluvních stran je celková cena za plnění klienta, včetně veškerých souvisejících nákladů, stanovena podle ceníku klienta a činí </w:t>
      </w:r>
      <w:proofErr w:type="spellStart"/>
      <w:r w:rsidR="005D554F">
        <w:t>xx</w:t>
      </w:r>
      <w:proofErr w:type="spellEnd"/>
      <w:r w:rsidR="005D554F">
        <w:t xml:space="preserve"> </w:t>
      </w:r>
      <w:r>
        <w:t xml:space="preserve">Kč bez DPH. Z této ceny poskytuje klient AR slevu v rozsahu </w:t>
      </w:r>
      <w:proofErr w:type="spellStart"/>
      <w:r w:rsidR="005D554F">
        <w:t>xx</w:t>
      </w:r>
      <w:proofErr w:type="spellEnd"/>
      <w:r w:rsidR="005D554F">
        <w:t xml:space="preserve"> </w:t>
      </w:r>
      <w:r>
        <w:t xml:space="preserve">%. Cena po slevě tedy činí </w:t>
      </w:r>
      <w:proofErr w:type="spellStart"/>
      <w:r w:rsidR="005D554F">
        <w:t>xx</w:t>
      </w:r>
      <w:proofErr w:type="spellEnd"/>
      <w:r>
        <w:t xml:space="preserve"> Kč bez DPH.</w:t>
      </w:r>
    </w:p>
    <w:p w14:paraId="6B2CCE7E" w14:textId="77777777" w:rsidR="00F85834" w:rsidRDefault="00BD211B">
      <w:pPr>
        <w:pStyle w:val="Bodytext20"/>
        <w:framePr w:w="9926" w:h="3085" w:hRule="exact" w:wrap="none" w:vAnchor="page" w:hAnchor="page" w:x="992" w:y="9245"/>
        <w:shd w:val="clear" w:color="auto" w:fill="auto"/>
        <w:spacing w:after="0"/>
      </w:pPr>
      <w:r>
        <w:t>Ostatní ustanovení smlouvy zůstávají beze změny.</w:t>
      </w:r>
    </w:p>
    <w:p w14:paraId="6B2CCE7F" w14:textId="77777777" w:rsidR="00F85834" w:rsidRDefault="00BD211B">
      <w:pPr>
        <w:pStyle w:val="Bodytext20"/>
        <w:framePr w:wrap="none" w:vAnchor="page" w:hAnchor="page" w:x="992" w:y="12797"/>
        <w:shd w:val="clear" w:color="auto" w:fill="auto"/>
        <w:spacing w:after="0"/>
        <w:ind w:left="10"/>
      </w:pPr>
      <w:r>
        <w:t>V Praze, dne 30.5.2022</w:t>
      </w:r>
    </w:p>
    <w:p w14:paraId="6B2CCE80" w14:textId="77777777" w:rsidR="00F85834" w:rsidRDefault="00BD211B">
      <w:pPr>
        <w:pStyle w:val="Bodytext20"/>
        <w:framePr w:wrap="none" w:vAnchor="page" w:hAnchor="page" w:x="6695" w:y="12786"/>
        <w:shd w:val="clear" w:color="auto" w:fill="auto"/>
        <w:spacing w:after="0"/>
      </w:pPr>
      <w:r>
        <w:t>V Praze, dne 30.5.2022</w:t>
      </w:r>
    </w:p>
    <w:p w14:paraId="6B2CCE82" w14:textId="0582BC7A" w:rsidR="00F85834" w:rsidRDefault="00BD211B">
      <w:pPr>
        <w:pStyle w:val="Bodytext20"/>
        <w:framePr w:w="9926" w:h="577" w:hRule="exact" w:wrap="none" w:vAnchor="page" w:hAnchor="page" w:x="992" w:y="14270"/>
        <w:shd w:val="clear" w:color="auto" w:fill="auto"/>
        <w:tabs>
          <w:tab w:val="left" w:pos="5695"/>
        </w:tabs>
        <w:spacing w:after="0" w:line="250" w:lineRule="exact"/>
        <w:ind w:right="1023"/>
        <w:jc w:val="both"/>
      </w:pPr>
      <w:r>
        <w:rPr>
          <w:lang w:val="en-US" w:eastAsia="en-US" w:bidi="en-US"/>
        </w:rPr>
        <w:t xml:space="preserve">Active Radio </w:t>
      </w:r>
      <w:r>
        <w:t>a.s.</w:t>
      </w:r>
      <w:r>
        <w:tab/>
        <w:t>Hudební divadlo v Karlíně</w:t>
      </w:r>
    </w:p>
    <w:p w14:paraId="6B2CCE83" w14:textId="77777777" w:rsidR="00F85834" w:rsidRDefault="00BD211B">
      <w:pPr>
        <w:pStyle w:val="Bodytext20"/>
        <w:framePr w:w="9926" w:h="577" w:hRule="exact" w:wrap="none" w:vAnchor="page" w:hAnchor="page" w:x="992" w:y="14270"/>
        <w:shd w:val="clear" w:color="auto" w:fill="auto"/>
        <w:tabs>
          <w:tab w:val="left" w:pos="5695"/>
        </w:tabs>
        <w:spacing w:after="0" w:line="250" w:lineRule="exact"/>
        <w:ind w:right="1023"/>
        <w:jc w:val="both"/>
      </w:pPr>
      <w:r>
        <w:t>Martina Říhová, zmocněnec</w:t>
      </w:r>
      <w:r>
        <w:tab/>
        <w:t>Bc. Egon Kulhánek, ředitel divadla</w:t>
      </w:r>
    </w:p>
    <w:p w14:paraId="6B2CCE84" w14:textId="77777777" w:rsidR="00F85834" w:rsidRDefault="00BD211B">
      <w:pPr>
        <w:pStyle w:val="Bodytext40"/>
        <w:framePr w:w="9926" w:h="223" w:hRule="exact" w:wrap="none" w:vAnchor="page" w:hAnchor="page" w:x="992" w:y="15677"/>
        <w:shd w:val="clear" w:color="auto" w:fill="auto"/>
        <w:spacing w:before="0"/>
        <w:ind w:right="20"/>
      </w:pPr>
      <w:r>
        <w:t>Strana 1 (celkem 1)</w:t>
      </w:r>
    </w:p>
    <w:p w14:paraId="6B2CCE85" w14:textId="77777777" w:rsidR="00F85834" w:rsidRDefault="00F85834">
      <w:pPr>
        <w:rPr>
          <w:sz w:val="2"/>
          <w:szCs w:val="2"/>
        </w:rPr>
      </w:pPr>
    </w:p>
    <w:sectPr w:rsidR="00F858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F8ED" w14:textId="77777777" w:rsidR="006C0034" w:rsidRDefault="006C0034">
      <w:r>
        <w:separator/>
      </w:r>
    </w:p>
  </w:endnote>
  <w:endnote w:type="continuationSeparator" w:id="0">
    <w:p w14:paraId="1373B390" w14:textId="77777777" w:rsidR="006C0034" w:rsidRDefault="006C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phemia">
    <w:altName w:val="Times New Roman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7CC3" w14:textId="77777777" w:rsidR="006C0034" w:rsidRDefault="006C0034"/>
  </w:footnote>
  <w:footnote w:type="continuationSeparator" w:id="0">
    <w:p w14:paraId="5818FD71" w14:textId="77777777" w:rsidR="006C0034" w:rsidRDefault="006C00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84A"/>
    <w:multiLevelType w:val="multilevel"/>
    <w:tmpl w:val="CCD8F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520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834"/>
    <w:rsid w:val="000D5A01"/>
    <w:rsid w:val="005D554F"/>
    <w:rsid w:val="006C0034"/>
    <w:rsid w:val="00BD211B"/>
    <w:rsid w:val="00F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CE6A"/>
  <w15:docId w15:val="{6649BAEE-170A-4211-A070-BB040F7A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Euphemia" w:eastAsia="Euphemia" w:hAnsi="Euphemia" w:cs="Euphem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32" w:lineRule="exact"/>
    </w:pPr>
    <w:rPr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line="250" w:lineRule="exact"/>
      <w:outlineLvl w:val="0"/>
    </w:pPr>
    <w:rPr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20" w:after="260" w:line="259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20" w:line="166" w:lineRule="exact"/>
      <w:jc w:val="center"/>
    </w:pPr>
    <w:rPr>
      <w:rFonts w:ascii="Euphemia" w:eastAsia="Euphemia" w:hAnsi="Euphemia" w:cs="Euphemi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1488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2022-06-28T09:20:00Z</dcterms:created>
  <dcterms:modified xsi:type="dcterms:W3CDTF">2022-06-28T19:46:00Z</dcterms:modified>
</cp:coreProperties>
</file>