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4" w:line="150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111/01945 Rantířov opěrná zeď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97" w:line="240" w:lineRule="exact"/>
        <w:ind w:left="0" w:right="4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1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540"/>
        <w:ind w:left="0" w:right="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111/01945 Rantířov opěrná zeď</w:t>
        <w:br/>
        <w:t>ze dne 9.12. 2021</w:t>
      </w:r>
      <w:bookmarkEnd w:id="1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88"/>
        <w:ind w:left="0" w:right="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br/>
        <w:t>Smluvní strany</w:t>
      </w:r>
      <w:bookmarkEnd w:id="2"/>
    </w:p>
    <w:p>
      <w:pPr>
        <w:pStyle w:val="Style12"/>
        <w:tabs>
          <w:tab w:leader="none" w:pos="210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46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  <w:bookmarkEnd w:id="3"/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58601 Jihlava</w:t>
      </w:r>
    </w:p>
    <w:p>
      <w:pPr>
        <w:pStyle w:val="Style15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 smluvních:</w:t>
      </w:r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36"/>
        <w:ind w:left="180" w:right="0" w:firstLine="0"/>
      </w:pPr>
      <w:r>
        <w:rPr>
          <w:rStyle w:val="CharStyle19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Objednatel“)</w:t>
      </w:r>
    </w:p>
    <w:p>
      <w:pPr>
        <w:pStyle w:val="Style12"/>
        <w:tabs>
          <w:tab w:leader="none" w:pos="210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5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Mitrenga-stavby, spol. s r.o.</w:t>
      </w:r>
      <w:bookmarkEnd w:id="4"/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Křižíkova 1566/19, 612 00 Brno - Královo Pole</w:t>
      </w:r>
    </w:p>
    <w:p>
      <w:pPr>
        <w:pStyle w:val="Style15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3700" w:firstLine="0"/>
      </w:pPr>
      <w:r>
        <w:rPr>
          <w:rStyle w:val="CharStyle20"/>
          <w:b w:val="0"/>
          <w:bCs w:val="0"/>
        </w:rPr>
        <w:t xml:space="preserve">korespondenční adresa: Malešovice 144, 664 65 Malešovice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Rostislav Mitrenga, jednatel společnosti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u Krajského soudu v Brně, oddíl C, vložka 47237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smluvních:</w:t>
      </w:r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26944022</w:t>
      </w:r>
    </w:p>
    <w:p>
      <w:pPr>
        <w:pStyle w:val="Style3"/>
        <w:tabs>
          <w:tab w:leader="none" w:pos="2109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 xml:space="preserve">CZ26944022 (dále jen </w:t>
      </w:r>
      <w:r>
        <w:rPr>
          <w:rStyle w:val="CharStyle21"/>
        </w:rPr>
        <w:t>„Zhotovíte?)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68" w:line="350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1"/>
        </w:rPr>
        <w:t>„Smluvnístrany"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jednotlivě </w:t>
      </w:r>
      <w:r>
        <w:rPr>
          <w:rStyle w:val="CharStyle21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9" w:line="190" w:lineRule="exact"/>
        <w:ind w:left="0" w:right="4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5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07" w:line="190" w:lineRule="exact"/>
        <w:ind w:left="0" w:right="4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6"/>
    </w:p>
    <w:p>
      <w:pPr>
        <w:pStyle w:val="Style3"/>
        <w:numPr>
          <w:ilvl w:val="0"/>
          <w:numId w:val="5"/>
        </w:numPr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spacing w:before="0" w:after="9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vzájemně dohodly na změně stávající smlouvy o dílo, číslo objednatele P-ST-30-2021 a číslo zhotovitele 004/2022/A, ze dne 9. 12. 2021, spočívající v prodloužení termínu dokončení stavebních prací z důvodu komplikací při projednávání DIA a schválení částečné uzavírky od 4. 4. 2022, kdy došlo k posunutí zahájení zemních prací; a dále z důvodu navýšení objemu prací z důvodu nevhodné stability sousedního domu č.p. 21 a s tím související potřebnou sanací základů rozdělenou na tři samostatné etapy. Součástí tohoto dodatku jsou dodatečné stavební práce spočívající v rozšíření podbetonování základů domu č.p. 21 a dále ve změně navržených HEB profilů konstrukce na základě statického posouzení.</w:t>
      </w:r>
    </w:p>
    <w:p>
      <w:pPr>
        <w:pStyle w:val="Style3"/>
        <w:numPr>
          <w:ilvl w:val="0"/>
          <w:numId w:val="5"/>
        </w:numPr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Doba plnění dle </w:t>
      </w:r>
      <w:r>
        <w:rPr>
          <w:rStyle w:val="CharStyle22"/>
        </w:rPr>
        <w:t xml:space="preserve">článku IV.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stávající smlouvy, se mění tak, že původní ujednání </w:t>
      </w:r>
      <w:r>
        <w:rPr>
          <w:rStyle w:val="CharStyle22"/>
        </w:rPr>
        <w:t xml:space="preserve">v bodě 4.1.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znění:</w:t>
      </w:r>
      <w:r>
        <w:br w:type="page"/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74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1143" w:left="1133" w:right="1008" w:bottom="1376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42.6pt;margin-top:-148.45pt;width:438.25pt;height:117.65pt;z-index:-125829376;mso-wrap-distance-left:40.8pt;mso-wrap-distance-right:23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167" w:line="190" w:lineRule="exact"/>
                    <w:ind w:left="500" w:right="0"/>
                  </w:pPr>
                  <w:r>
                    <w:rPr>
                      <w:rStyle w:val="CharStyle4"/>
                    </w:rPr>
                    <w:t>Zhotovitel se zavazuje řádně a včas provést dílo v těchto termínech plnění: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427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40" w:line="230" w:lineRule="exact"/>
                    <w:ind w:left="500" w:right="0"/>
                  </w:pPr>
                  <w:r>
                    <w:rPr>
                      <w:rStyle w:val="CharStyle4"/>
                    </w:rPr>
                    <w:t>uvedení celé stavby do užívání ve smyslu čl. XII. obchodních podmínek (dále i „OP"): do 3 měsíců od předání a převzetí staveniště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422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40" w:line="230" w:lineRule="exact"/>
                    <w:ind w:left="500" w:right="0"/>
                  </w:pPr>
                  <w:r>
                    <w:rPr>
                      <w:rStyle w:val="CharStyle4"/>
                    </w:rPr>
                    <w:t>dokončení díla vč. předání kompletní dokladové části Objednateli: do 1 měsíce od uvedení celé stavby do užívání dle bodu b), (vyjma geometrického plánu)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432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500" w:right="0"/>
                  </w:pPr>
                  <w:r>
                    <w:rPr>
                      <w:rStyle w:val="CharStyle4"/>
                    </w:rPr>
                    <w:t>předání a převzetí ověřeného geometrického plánu: do 3 měsíců od uvedení celé stavby do užívání dle bodu b)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42.6pt;margin-top:34.4pt;width:438.25pt;height:117.95pt;z-index:-125829375;mso-wrap-distance-left:40.8pt;mso-wrap-distance-right:23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27" w:line="190" w:lineRule="exact"/>
                    <w:ind w:left="500" w:right="0"/>
                  </w:pPr>
                  <w:r>
                    <w:rPr>
                      <w:rStyle w:val="CharStyle4"/>
                    </w:rPr>
                    <w:t>Zhotovitel se zavazuje řádně a včas provést dílo v těchto termínech plnění:</w:t>
                  </w:r>
                </w:p>
                <w:p>
                  <w:pPr>
                    <w:pStyle w:val="Style3"/>
                    <w:numPr>
                      <w:ilvl w:val="0"/>
                      <w:numId w:val="3"/>
                    </w:numPr>
                    <w:tabs>
                      <w:tab w:leader="none" w:pos="456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176" w:line="230" w:lineRule="exact"/>
                    <w:ind w:left="500" w:right="0"/>
                  </w:pPr>
                  <w:r>
                    <w:rPr>
                      <w:rStyle w:val="CharStyle4"/>
                    </w:rPr>
                    <w:t>uvedení celé stavby do užívání ve smyslu čl. XII. obchodních podmínek (dále i „OP"): do 30. 06.2022</w:t>
                  </w:r>
                </w:p>
                <w:p>
                  <w:pPr>
                    <w:pStyle w:val="Style3"/>
                    <w:numPr>
                      <w:ilvl w:val="0"/>
                      <w:numId w:val="3"/>
                    </w:numPr>
                    <w:tabs>
                      <w:tab w:leader="none" w:pos="422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180" w:line="235" w:lineRule="exact"/>
                    <w:ind w:left="500" w:right="0"/>
                  </w:pPr>
                  <w:r>
                    <w:rPr>
                      <w:rStyle w:val="CharStyle4"/>
                    </w:rPr>
                    <w:t>dokončení díla vč. předání kompletní dokladové části Objednateli: do 1 měsíce od uvedení celé stavby do užívání dle bodu b), (vyjma geometrického plánu)</w:t>
                  </w:r>
                </w:p>
                <w:p>
                  <w:pPr>
                    <w:pStyle w:val="Style3"/>
                    <w:numPr>
                      <w:ilvl w:val="0"/>
                      <w:numId w:val="3"/>
                    </w:numPr>
                    <w:tabs>
                      <w:tab w:leader="none" w:pos="432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500" w:right="0"/>
                  </w:pPr>
                  <w:r>
                    <w:rPr>
                      <w:rStyle w:val="CharStyle4"/>
                    </w:rPr>
                    <w:t>předání a převzetí ověřeného geometrického plánu: do 3 měsíců od uvedení celé stavby do užívání dle bodu b)</w:t>
                  </w:r>
                </w:p>
              </w:txbxContent>
            </v:textbox>
            <w10:wrap type="topAndBottom" anchorx="margin"/>
          </v:shape>
        </w:pict>
      </w: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ujednáním:</w:t>
      </w:r>
      <w:bookmarkEnd w:id="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1" w:after="3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54" w:left="0" w:right="0" w:bottom="16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1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plnění dle Článku II. stávající smlouvy v aktuálním znění se mění o dodatečné stavební práce a nerealizované stavební práce (dále vícepráce a méněpráce) v souladu se schválenou Změnou soupisu prací č. 1 a 2.</w:t>
      </w:r>
    </w:p>
    <w:p>
      <w:pPr>
        <w:pStyle w:val="Style3"/>
        <w:numPr>
          <w:ilvl w:val="0"/>
          <w:numId w:val="11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88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 díla dle Článku VI. odst. 6.1. stávající smlouvy je ve znění tohoto dodatku stanovena následovně: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pict>
          <v:shape id="_x0000_s1033" type="#_x0000_t202" style="position:absolute;margin-left:318.9pt;margin-top:-6.35pt;width:75.85pt;height:142.5pt;z-index:-125829374;mso-wrap-distance-left:45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1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0" w:hanging="200"/>
                  </w:pPr>
                  <w:r>
                    <w:rPr>
                      <w:rStyle w:val="CharStyle4"/>
                    </w:rPr>
                    <w:t>824 782,54 Kč 219 172,50 Kč</w:t>
                  </w:r>
                </w:p>
                <w:p>
                  <w:pPr>
                    <w:pStyle w:val="Style3"/>
                    <w:numPr>
                      <w:ilvl w:val="0"/>
                      <w:numId w:val="9"/>
                    </w:numPr>
                    <w:tabs>
                      <w:tab w:leader="none" w:pos="3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00" w:right="0" w:firstLine="0"/>
                  </w:pPr>
                  <w:r>
                    <w:rPr>
                      <w:rStyle w:val="CharStyle4"/>
                    </w:rPr>
                    <w:t>25 987,50 Kč 203 980,00 Kč</w:t>
                  </w:r>
                </w:p>
                <w:p>
                  <w:pPr>
                    <w:pStyle w:val="Style3"/>
                    <w:numPr>
                      <w:ilvl w:val="0"/>
                      <w:numId w:val="9"/>
                    </w:numPr>
                    <w:tabs>
                      <w:tab w:leader="none" w:pos="3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00" w:right="0" w:firstLine="0"/>
                  </w:pPr>
                  <w:r>
                    <w:rPr>
                      <w:rStyle w:val="CharStyle27"/>
                    </w:rPr>
                    <w:t>41 832,00 Kč</w:t>
                  </w:r>
                </w:p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1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180 115,54 Kč 1 087 824,26 Kč</w:t>
                  </w:r>
                </w:p>
                <w:p>
                  <w:pPr>
                    <w:pStyle w:val="Style3"/>
                    <w:numPr>
                      <w:ilvl w:val="0"/>
                      <w:numId w:val="7"/>
                    </w:numPr>
                    <w:tabs>
                      <w:tab w:leader="none" w:pos="1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267 939,80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Původní cena díla dle smlouvy o dílo bez DPH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ZBV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Méněpráce ZBV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 ZBV 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Méněpráce ZBV 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1 bez DPH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21 %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2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1 včetně DPH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92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8"/>
    </w:p>
    <w:p>
      <w:pPr>
        <w:pStyle w:val="Style3"/>
        <w:numPr>
          <w:ilvl w:val="0"/>
          <w:numId w:val="13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nedotčené Dodatkem č. 1 se nemění a zůstávají v platnosti.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 w:line="1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111/01945 Rantířov opěrná zeď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v aktuálním znění.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jeho elektronický originál.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7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30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30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48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3"/>
        <w:numPr>
          <w:ilvl w:val="0"/>
          <w:numId w:val="15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tohoto dodatku jsou následující přílohy: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2" w:line="470" w:lineRule="exact"/>
        <w:ind w:left="1100" w:right="6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Změna soupisu prací č. </w:t>
      </w:r>
      <w:r>
        <w:rPr>
          <w:rStyle w:val="CharStyle22"/>
        </w:rPr>
        <w:t xml:space="preserve">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Změna soupisu prací č. 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1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96" w:line="190" w:lineRule="exact"/>
        <w:ind w:left="0" w:right="0" w:firstLine="0"/>
      </w:pPr>
      <w:r>
        <w:pict>
          <v:shape id="_x0000_s1034" type="#_x0000_t202" style="position:absolute;margin-left:12.5pt;margin-top:-0.15pt;width:82.55pt;height:12.4pt;z-index:-125829373;mso-wrap-distance-left:5.pt;mso-wrap-distance-right:160.3pt;mso-wrap-distance-bottom:139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Brně: viz podpis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11.75pt;margin-top:101.65pt;width:100.8pt;height:30.2pt;z-index:-125829372;mso-wrap-distance-left:5.pt;mso-wrap-distance-top:101.65pt;mso-wrap-distance-right:142.8pt;mso-wrap-distance-bottom:19.9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</w:rPr>
                    <w:t>Mitrenga-stavby, spol. s r.o. Ing. Rostislav Mitrenga, jednatel společnosti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 dne: viz podpis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type w:val="continuous"/>
          <w:pgSz w:w="12240" w:h="15840"/>
          <w:pgMar w:top="1254" w:left="1160" w:right="1014" w:bottom="163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</w:t>
      </w:r>
    </w:p>
    <w:tbl>
      <w:tblPr>
        <w:tblOverlap w:val="never"/>
        <w:tblLayout w:type="fixed"/>
        <w:jc w:val="center"/>
      </w:tblPr>
      <w:tblGrid>
        <w:gridCol w:w="437"/>
        <w:gridCol w:w="821"/>
        <w:gridCol w:w="4013"/>
        <w:gridCol w:w="480"/>
        <w:gridCol w:w="653"/>
        <w:gridCol w:w="653"/>
        <w:gridCol w:w="653"/>
        <w:gridCol w:w="1123"/>
        <w:gridCol w:w="998"/>
        <w:gridCol w:w="1315"/>
        <w:gridCol w:w="1219"/>
        <w:gridCol w:w="1085"/>
        <w:gridCol w:w="1234"/>
        <w:gridCol w:w="782"/>
      </w:tblGrid>
      <w:tr>
        <w:trPr>
          <w:trHeight w:val="317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2"/>
              </w:rPr>
              <w:t>Rozpis ocenění změn položek - pro ZBV číslo: ZBV 1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8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3"/>
              </w:rPr>
              <w:t>Evidenční číslo a název stavby: 004 -111/01945 Rantířov, opěrná zeď u mostu ev.č. 01945-3 v km 4,624-4,642 Číslo a název SO/PS: SO002 - Stavební jáma a její součásti Číslo a název rozpočtu: SO002 - Stavební iáma a její součásti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33"/>
              </w:rPr>
              <w:t>ZMĚNA SOUPISU PRACÍ (SO/PS) č.ZBV 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8"/>
            <w:vMerge/>
            <w:tcBorders>
              <w:left w:val="single" w:sz="4"/>
            </w:tcBorders>
            <w:vAlign w:val="bottom"/>
          </w:tcPr>
          <w:p>
            <w:pPr>
              <w:framePr w:w="15466" w:wrap="notBeside" w:vAnchor="text" w:hAnchor="text" w:xAlign="center" w:y="1"/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Pof. č. poi.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34"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ve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Smlouvě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Množství ve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4"/>
              </w:rPr>
              <w:t>rozdílu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Cena za m.j.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Cena celkem ve Smlouvě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Změny záporné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Změny kladné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Cena celkem ve Změně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Rozdíl cen celkem v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Rozdíl cen celkem v 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014102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POPLATKY ZA SKLADKU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05 04 VYTĚŽENÉ ZEMINY A HORNINY - III. TŘÍDA TĚŽITELNOSTI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03 02 VYBOURANÝ ASFALTOVÝ BETON BEZ DEHTU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205,00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8 855,39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8 855,39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01 01 BETON Z DEMOLIC OBJEKTŮ, ZÁKLADŮ TV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1 767,50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1 767,50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05 04 KAMENNÁ SUŤ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29,04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29,04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2 323,20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2 323,20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KRYTU ZPEVNĚNÝCH PLOCH Z DLAŽEB KOSTEK,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347,00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1 041,00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1 041,00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PODKL ZPEVNĚNÝCH PLOCH Z KAMENIVA NESTMEL,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465,00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6 138,00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6 138,00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PODKL ZPEVNĚNÝCH PLOCH S ASFALT POJIVÉM, ODVOZ DO 12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677,00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6 032,07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6 032,07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KRYTU ZPEVNĚNÝCH PLOCH Z BETONU VČET PODKLADU, ODVOZ DO 12KM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755,00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5 285,00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5 285,00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KRYTU ZPEVNĚNÝCH PLOCH Z DLAŽDIC VČETNĚ PODKLADU,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5 134,00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5 134,00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CHODNÍKOVÝCH A SILNIČNÍCH OBRUBNÍKŮ BETONOVÝCH,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CHODNÍKOVÝCH KAMENNÝCH OBRUBNÍKŮ,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5 106,00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5 106,00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FRÉZOVÁNÍ ZPEVNĚNÝCH PLOCH ASFALTOVÝCH,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26 812,50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26 812,50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131931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HLOUBENÍ JAM ZAPAŽ I NEPAŽ TŘ. III, ODVOZ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184,58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-17,33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302 850,00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5"/>
              </w:rPr>
              <w:t>-25 987,50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276 862,50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5"/>
              </w:rPr>
              <w:t>-25 987,50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-8,60%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131937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HLOUBENÍ JAM ZAPAŽ I NEPAŽ TŘ. III,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61,40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36,40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37 500,00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54 600,00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92 100,00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54 600,00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145,60%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ZÁPOROVÉ PAŽENÍ Z KOVU DOČASNÉ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57 360,00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57 360,00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22695A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VÝDŘEVA ZÁPOROVÉHO PAŽENÍ DOČASNÁ (PLOCHA)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9 750,00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9 750,00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ZÁPOROVÉ PAŽENÍ Z KOVU DOČASNÉ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24 900,00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12 599,40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12 599,40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34"/>
              </w:rPr>
              <w:t>VRTY PRO KOTVENÍ, INJEKTÁŽ A MIKROPILOTY NA POVRCHU TŘ. III D DO 300MM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95 550,00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95 550,00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461313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PATKY Z PROSTÉHO BETONU C16/20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3 120,00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14 863,68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14 863,68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919112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ŘEZÁNÍ ASFALTOVÉHO KRYTU VOZOVEK TL DO 100MM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157,00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7 831,16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7 831,16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MONTÁŽ S PŘESUNEM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8 910,00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8 910,00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DEMONTÁŽ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247,00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4 446,00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4 446,00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NÁJEMNE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MDEN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2 160,00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2 160,00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17 496,00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17 496,00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položky ze Smlouvy dotčené Změnou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643 950,90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6"/>
              </w:rPr>
              <w:t>-25 987,50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54 600,00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672 563,40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28 612,50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stavební objekt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643 950,90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6"/>
              </w:rPr>
              <w:t>-25 987,50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54 600,00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672 563,40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28 612,50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4.00%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300" w:right="0" w:firstLine="0"/>
            </w:pPr>
            <w:r>
              <w:rPr>
                <w:rStyle w:val="CharStyle34"/>
              </w:rPr>
              <w:t>Za Zhotovitele: Za Objednatele: Datum: Datum:</w:t>
            </w:r>
          </w:p>
        </w:tc>
      </w:tr>
    </w:tbl>
    <w:p>
      <w:pPr>
        <w:framePr w:w="154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"/>
        <w:gridCol w:w="749"/>
        <w:gridCol w:w="3653"/>
        <w:gridCol w:w="336"/>
        <w:gridCol w:w="595"/>
        <w:gridCol w:w="595"/>
        <w:gridCol w:w="595"/>
        <w:gridCol w:w="1022"/>
        <w:gridCol w:w="1018"/>
        <w:gridCol w:w="1195"/>
        <w:gridCol w:w="1114"/>
        <w:gridCol w:w="1013"/>
        <w:gridCol w:w="1128"/>
        <w:gridCol w:w="706"/>
      </w:tblGrid>
      <w:tr>
        <w:trPr>
          <w:trHeight w:val="293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7"/>
              </w:rPr>
              <w:t>Rozpis ocenění změn položek - pro ZBV číslo: ZBV_1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38"/>
              </w:rPr>
              <w:t>Evidenční číslo a název stavby: 004 -111/01945 Rantířov, opěrná zeď u mostu ev.č. 01945-3 v km 4,624-4,642 Číslo a název SO/PS: SO201 - Opěrná zeď Číslo a název rozpočtu: SO201 - Opěrná zeď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8" w:lineRule="exact"/>
              <w:ind w:left="0" w:right="0" w:firstLine="0"/>
            </w:pPr>
            <w:r>
              <w:rPr>
                <w:rStyle w:val="CharStyle39"/>
              </w:rPr>
              <w:t>ZMĚNA SOUPISU PRACÍ (SO/PS) č.ZBV 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8"/>
            <w:vMerge/>
            <w:tcBorders>
              <w:left w:val="single" w:sz="4"/>
            </w:tcBorders>
            <w:vAlign w:val="bottom"/>
          </w:tcPr>
          <w:p>
            <w:pPr>
              <w:framePr w:w="14117" w:wrap="notBeside" w:vAnchor="text" w:hAnchor="text" w:xAlign="center" w:y="1"/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Poř. č. 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Množství</w:t>
            </w:r>
          </w:p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ve</w:t>
            </w:r>
          </w:p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Smlouvě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Množství ve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Množství</w:t>
            </w:r>
          </w:p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rozdílu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Cena za m.j.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Cena celkem ve Smlouvě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Změny záporné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Změny kladné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Cena celkem ve Změně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Rozdíl cen celkem v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Rozdíl cen celkem v %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14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014201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POPLATKY ZA ZEMNÍK - ZEMINA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122937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ODKOPÁVKYA PROKOPÁVKY OBECNÉ TŘ. III.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10 560,00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10 560,00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161211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VODOROVNÉ PŘEMÍSTĚNÍ ZEMINY NA POVRCHU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213,00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43 004,70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43 004,70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NAKLÁDÁNÍ ZEMINY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59,00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11 912,10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11 912,10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17411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ZÁSYP JAM A RÝH ZEMINOU SE ZHUTNĚNÍM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227,14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25,24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302 850,00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37 852,50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340 702,50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37 852,50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12,50%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17581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OBSYP POTRUBÍ A OBJEKTŮ Z NAKUPOVANÝCH MATERIÁLŮ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4 230,00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4 230,00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21262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TRATIVODY KOMPLET Z TRUB Z PLAST HMOT DN DO 100MM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9 310,00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9 310,00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239314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PODZEMNÍ STĚNY Z PROST BETONU DO C25/30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17,60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84 480,00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126 720,00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211 200,00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126 720,00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150,00%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272325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ZÁKLADYZE ŽELEZOBETONU DO C30/37 (B37)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19,62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19,62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29 000,00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568 951,00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568 951,00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272365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VÝZTUŽ ZÁKLADŮ Z OCELI 10505. B500B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66 204,00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66 204,00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289971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OPLÁŠTĚNÍ (ZPEVNĚNÍ) Z GEOTEXTILIE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15 552,00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15 552,00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28999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OPLÁŠTĚNÍ (ZPEVNĚNÍ) Z FÓLIE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85,92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85,92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32 649,22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32 649,22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28999.01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OPLÁŠTĚNÍ (ZPEVNĚNÍ) Z FÓLIE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64,80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24 624,00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24 624,00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31712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ŘÍMSY Z DÍLCŮ ŽELEZOBETONOVÝCH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5 440,00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5 440,00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327325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ZDI OPĚRNÉ, ZÁRUBNÍ, NÁBŘEŽNÍ ZE ŽELEZOVÉHO BETONU DO C30/37 (B37)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29 000,00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883 775,00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883 775,00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327365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VÝZTUŽ ZDÍ OPĚRNÝCH, ZÁRUBNÍCH, NÁBŘEŽNÍCH Z OCELI 10505. B500B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116 991,00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116 991,00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421314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MOSTNÍ NOSNÉ DESKOVÉ KONSTR Z PROST BETONU DO C25/30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10 300,00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72 100,00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72 100,00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451312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PODKLADNÍ A VÝPLŇOVÉ VRSTVY Z PROSTÉHO BETONU C12/15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26 683,20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26 683,20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502946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ZŘÍZENÍ VRSTVY Z GEOKOMPOZITU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2 996,32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2 996,32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56314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VOZOVKOVÉ VRSTVY Z MECHANICKY ZPEVNĚNÉHO KAMENIVA TL. DO200MM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56334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VOZOVKOVÉ VRSTVYZE ŠTĚRKODRTI TL. DO 200MM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56336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VOZOVKOVÉ VRSTVYZE ŠTĚRKODRTI TL. DO 300MM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2 650,00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22 525,00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22 525,00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572121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INFILTRAČNÍ POSTŘIK ASFALTOVÝ DO 1.0KG/M2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572211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SPOJOVACÍ POSTŘIK Z ASFALTU DO0.5KG/M2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16 740,00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16 740,00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574A34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ASFALTOVÝ BETON PRO OBRUSNÉ VRSTVY ACO 11+, 11STL. 40MM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246,00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246,00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147 600,00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147 600,00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574C56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ASFALTOVÝ BETON PRO LOŽNÍ VRSTVY ACL 16+. 16STL. 60MM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574E46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ASFALTOVÝ BETON PRO PODKLADNÍ VRSTVY ACP 16+, 16STL. 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26 400,00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587201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PŘEDLÁŽDĚNÍ KRYTU Z VELKÝCH KOSTEK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75 000,00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75 000,00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587206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PŘEDLÁŽDĚNÍ KRYTU Z BETONOVÝCH DLAŽDIC SE ZÁMKEM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21 250,00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21 250,00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58910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VÝPLŇ SPAŘ ASFALTEM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16 959,20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16 959,20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711311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IZOLACE PODZEMNÍCH OBJEKTŮ PROTI ZEMNÍ VLHKOSTI ASFALTOVÝMI NÁTĚRY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370,12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129 541,65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129 541,65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711412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IZOLACE MOSTOVEK CELOPLOŠNÁ ASFALTOVÝMI PÁSY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85,92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85,92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103 102,80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103 102,80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87426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POTRUBÍ Z TRUB PLAST ODPAD DN DO80MM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191,00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1 719,00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1 719,00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87433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POTRUBÍ Z TRUB PLASTOVÝCH ODPADNÍCH DN DO 150MM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3 290,00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3 290,00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89712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VPUSŤ KANALIZAČNÍ ULIČNÍ KOMPLETNÍ Z BETONOVÝCH DÍLCŮ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9 240,00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27 720,00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27 720,00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9111B2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38"/>
              </w:rPr>
              <w:t>ZÁBRADLÍ SILNIČNÍ SE SVISLOU VÝPLNÍ - MONTÁŽ S PŘESUNEM (BEZ DODÁVKY)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16,10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142,00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2 286,20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2 286,20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917224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4" w:lineRule="exact"/>
              <w:ind w:left="0" w:right="0" w:firstLine="0"/>
            </w:pPr>
            <w:r>
              <w:rPr>
                <w:rStyle w:val="CharStyle38"/>
              </w:rPr>
              <w:t>SILNIČNÍ A CHODNÍKOVÉ OBRUBY Z BETONOVÝCH OBRUBNÍKŮ ŠÍŘ 150MM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387,00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1 161,00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1 161,00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3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917424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OBRUBYZ KAMENNÝCH OBRUBNÍKŮ ŠÍŘ 150MM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38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1 730,00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39 790,00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39 790,00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0,00%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Celkem za ooložkv ze Smlouvv dotčené Změnou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3 045 481,39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164 572,50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3 210 053,89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164 572,50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>5,00%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Celkem za stavební obiekt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3 045 481,39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164 572,50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3 210 053,89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164 572,50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9"/>
              </w:rPr>
              <w:t>5,00%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180" w:right="0" w:firstLine="0"/>
            </w:pPr>
            <w:r>
              <w:rPr>
                <w:rStyle w:val="CharStyle38"/>
              </w:rPr>
              <w:t>Za Zhotovitele: Za Objednatele: Datum: Datum:</w:t>
            </w:r>
          </w:p>
        </w:tc>
      </w:tr>
    </w:tbl>
    <w:p>
      <w:pPr>
        <w:framePr w:w="141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37"/>
        <w:gridCol w:w="821"/>
        <w:gridCol w:w="4013"/>
        <w:gridCol w:w="480"/>
        <w:gridCol w:w="653"/>
        <w:gridCol w:w="653"/>
        <w:gridCol w:w="653"/>
        <w:gridCol w:w="1123"/>
        <w:gridCol w:w="998"/>
        <w:gridCol w:w="1315"/>
        <w:gridCol w:w="1219"/>
        <w:gridCol w:w="1085"/>
        <w:gridCol w:w="1234"/>
        <w:gridCol w:w="782"/>
      </w:tblGrid>
      <w:tr>
        <w:trPr>
          <w:trHeight w:val="317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2"/>
              </w:rPr>
              <w:t>Rozpis ocenění změn položek - pro ZBV číslo: ZBV 2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8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3"/>
              </w:rPr>
              <w:t>Evidenční číslo a název stavby: 004 -111/01945 Rantířov, opěrná zeď u mostu ev.č. 01945-3 v km 4,624-4,642 Číslo a název SO/PS: SO002 - Stavební jáma a její součásti Číslo a název rozpočtu: SO002 - Stavební iáma a její součásti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33"/>
              </w:rPr>
              <w:t>ZMĚNA SOUPISU PRACÍ (SO/PS) č.ZBV 2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8"/>
            <w:vMerge/>
            <w:tcBorders>
              <w:left w:val="single" w:sz="4"/>
            </w:tcBorders>
            <w:vAlign w:val="bottom"/>
          </w:tcPr>
          <w:p>
            <w:pPr>
              <w:framePr w:w="15466" w:wrap="notBeside" w:vAnchor="text" w:hAnchor="text" w:xAlign="center" w:y="1"/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Pof. č. poi.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ve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Smlouvě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Množství ve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4"/>
              </w:rPr>
              <w:t>rozdílu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Cena za m.j.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Cena celkem ve Smlouvě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Změny záporné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Změny kladné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Cena celkem ve Změně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Rozdíl cen celkem v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Rozdíl cen celkem v %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014102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POPLATKY ZA SKLADKU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05 04 VYTĚŽENÉ ZEMINY A HORNINY - III. TŘÍDA TĚŽITELNOSTI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3 200,00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03 02 VYBOURANÝ ASFALTOVÝ BETON BEZ DEHTU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205,00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8 855,39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8 855,39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01 01 BETON Z DEMOLIC OBJEKTŮ, ZÁKLADŮ TV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1 767,50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1 767,50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015330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POPLATKY ZA LIKVIDACI ODPADŮ NEKONTAMINOVANÝCH - 17 05 04 KAMENNÁ SUŤ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29,04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29,04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2 323,20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2 323,20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KRYTU ZPEVNĚNÝCH PLOCH Z DLAŽEB KOSTEK,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347,00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1 041,00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1 041,00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PODKL ZPEVNĚNÝCH PLOCH Z KAMENIVA NESTMEL,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465,00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6 138,00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6 138,00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PODKL ZPEVNĚNÝCH PLOCH S ASFALT POJIVÉM, ODVOZ DO 12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677,00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6 032,07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6 032,07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ODSTRAŇ KRYTU ZPEVNĚNÝCH PLOCH Z BETONU VČET PODKLADU, ODVOZ DO 12KM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755,00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5 285,00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5 285,00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KRYTU ZPEVNĚNÝCH PLOCH Z DLAŽDIC VČETNĚ PODKLADU,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604,00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5 134,00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5 134,00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CHODNÍKOVÝCH A SILNIČNÍCH OBRUBNÍKŮ BETONOVÝCH,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ODSTRANĚNÍ CHODNÍKOVÝCH KAMENNÝCH OBRUBNÍKŮ, ODVOZ DO 1KM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5 106,00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5 106,00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FRÉZOVÁNÍ ZPEVNĚNÝCH PLOCH ASFALTOVÝCH,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26 812,50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26 812,50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131931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HLOUBENÍ JAM ZAPAŽ I NEPAŽ TŘ. III, ODVOZ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201,90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302 850,00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302 850,00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131937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HLOUBENÍ JAM ZAPAŽ I NEPAŽ TŘ. III, ODVOZ DO 16KM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37 500,00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37 500,00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ZÁPOROVÉ PAŽENÍ Z KOVU DOČASNÉ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-8,72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4 800,00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57 360,00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5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15 528,00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5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-72,90%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22695A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VÝDŘEVA ZÁPOROVÉHO PAŽENÍ DOČASNÁ (PLOCHA)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97,50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9 750,00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9 750,00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22694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ZÁPOROVÉ PAŽENÍ Z KOVU DOČASNÉ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24 900,00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12 599,40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12 599,40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34"/>
              </w:rPr>
              <w:t>VRTY PRO KOTVENÍ, INJEKTÁŽ A MIKROPILOTY NA POVRCHU TŘ. III D DO 300MM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95 550,00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95 550,00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461313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PATKY Z PROSTÉHO BETONU C16/20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3 120,00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14 863,68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14 863,68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919112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ŘEZÁNÍ ASFALTOVÉHO KRYTU VOZOVEK TL DO 100MM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157,00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7 831,16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7 831,16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MONTÁŽ S PŘESUNEM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495,00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8 910,00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8 910,00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DEMONTÁŽ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247,00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4 446,00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4 446,00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3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9166B9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DOČASNÁ SVODIDLA, ÚROVEŇ ZADRŽENÍ T2 - NÁJEMNE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MDEN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2 160,00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2 160,00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8,10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17 496,00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17 496,00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položky ze Smlouvy dotčené Změnou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643 950,90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1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602 118,90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1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-6,00%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Nové položky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4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26134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34"/>
              </w:rPr>
              <w:t>VRTY PRO KOTVENÍ, INJEKTÁŽ A MIKROPILOTY NA POVRCHU TŘ. III DDO200MM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56,00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2 030,00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113 680,00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113 680,00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113 680,00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4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285376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KOTVENÍ NA POVRCHU Z PŘEDPÍNACÍ VÝZTUŽE DL. DO 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12 900,00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90 300,00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90 300,00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90 300,00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100,00%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nové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203 980,00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203 980,00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203 980,00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200,00%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všechny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643 950,90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1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203 980,00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806 098,90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162 148,00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4"/>
              </w:rPr>
              <w:t>25,00%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</w:rPr>
              <w:t>Celkem za stavební objekt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643 950,90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1"/>
              </w:rPr>
              <w:t>-41 832,00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203 980,00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806 098,90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162 148,00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40"/>
              </w:rPr>
              <w:t>25,00%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gridSpan w:val="1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300" w:right="0" w:firstLine="0"/>
            </w:pPr>
            <w:r>
              <w:rPr>
                <w:rStyle w:val="CharStyle34"/>
              </w:rPr>
              <w:t>Za Zhotovitele: Za Objednatele: Datum: Datum:</w:t>
            </w:r>
          </w:p>
        </w:tc>
      </w:tr>
    </w:tbl>
    <w:p>
      <w:pPr>
        <w:framePr w:w="154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483" w:left="572" w:right="802" w:bottom="104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87.4pt;margin-top:733.9pt;width:46.8pt;height:6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Stránka </w:t>
                </w:r>
                <w:fldSimple w:instr=" PAGE \* MERGEFORMAT ">
                  <w:r>
                    <w:rPr>
                      <w:rStyle w:val="CharStyle25"/>
                    </w:rPr>
                    <w:t>#</w:t>
                  </w:r>
                </w:fldSimple>
                <w:r>
                  <w:rPr>
                    <w:rStyle w:val="CharStyle25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7.05pt;margin-top:738.55pt;width:46.8pt;height:6.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Stránka </w:t>
                </w:r>
                <w:fldSimple w:instr=" PAGE \* MERGEFORMAT "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8.1pt;margin-top:42.5pt;width:146.15pt;height:18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Číslo smlouvy objednatele: </w:t>
                </w:r>
                <w:r>
                  <w:rPr>
                    <w:rStyle w:val="CharStyle26"/>
                  </w:rPr>
                  <w:t>P-ST-30-2021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</w:rPr>
                  <w:t xml:space="preserve">Číslo smlouvy zhotovitele: </w:t>
                </w:r>
                <w:r>
                  <w:rPr>
                    <w:rStyle w:val="CharStyle26"/>
                  </w:rPr>
                  <w:t>004/2022/A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66.35pt;margin-top:52.8pt;width:110.6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III/01945 Rantířov opěrná zeď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77.75pt;margin-top:40.pt;width:146.15pt;height:18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Číslo smlouvy objednatele: </w:t>
                </w:r>
                <w:r>
                  <w:rPr>
                    <w:rStyle w:val="CharStyle9"/>
                  </w:rPr>
                  <w:t>P-ST-30-2021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Číslo smlouvy zhotovitele: </w:t>
                </w:r>
                <w:r>
                  <w:rPr>
                    <w:rStyle w:val="CharStyle9"/>
                  </w:rPr>
                  <w:t>004/2022/A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singl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Základní text (7)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">
    <w:name w:val="Záhlaví nebo Zápatí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">
    <w:name w:val="Záhlaví nebo Zápatí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Nadpis #1 (2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3">
    <w:name w:val="Nadpis #2 (3)_"/>
    <w:basedOn w:val="DefaultParagraphFont"/>
    <w:link w:val="Style1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Základní text (8)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8">
    <w:name w:val="Základní text (4)_"/>
    <w:basedOn w:val="DefaultParagraphFont"/>
    <w:link w:val="Style17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9">
    <w:name w:val="Základní text (4) + Ne tučné,Ne kurzíva"/>
    <w:basedOn w:val="CharStyle18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0">
    <w:name w:val="Základní text (8) + Ne tučné"/>
    <w:basedOn w:val="CharStyle1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1">
    <w:name w:val="Základní text (2) + Tučné,Kurzíva"/>
    <w:basedOn w:val="CharStyle14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2">
    <w:name w:val="Základní text (2) + Tučné"/>
    <w:basedOn w:val="CharStyle1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Nadpis #3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5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6">
    <w:name w:val="Záhlaví nebo Zápatí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2) Exact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9">
    <w:name w:val="Základní text (6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0">
    <w:name w:val="Základní text (2)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1">
    <w:name w:val="Základní text (6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2">
    <w:name w:val="Základní text (2)"/>
    <w:basedOn w:val="CharStyle1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3">
    <w:name w:val="Základní text (2) + 5,5 pt,Tučné"/>
    <w:basedOn w:val="CharStyle14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34">
    <w:name w:val="Základní text (2) + 5,5 pt"/>
    <w:basedOn w:val="CharStyle14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35">
    <w:name w:val="Základní text (2) + 5,5 pt"/>
    <w:basedOn w:val="CharStyle14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36">
    <w:name w:val="Základní text (2) + 5,5 pt,Tučné"/>
    <w:basedOn w:val="CharStyle14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37">
    <w:name w:val="Základní text (2) + 8,5 pt,Tučné"/>
    <w:basedOn w:val="CharStyle14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8">
    <w:name w:val="Základní text (2) + 5 pt"/>
    <w:basedOn w:val="CharStyle14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39">
    <w:name w:val="Základní text (2) + 5 pt,Tučné"/>
    <w:basedOn w:val="CharStyle14"/>
    <w:rPr>
      <w:lang w:val="cs-CZ" w:eastAsia="cs-CZ" w:bidi="cs-CZ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40">
    <w:name w:val="Základní text (2) + 5,5 pt,Tučné"/>
    <w:basedOn w:val="CharStyle14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41">
    <w:name w:val="Základní text (2) + 5,5 pt,Tučné"/>
    <w:basedOn w:val="CharStyle14"/>
    <w:rPr>
      <w:lang w:val="cs-CZ" w:eastAsia="cs-CZ" w:bidi="cs-CZ"/>
      <w:b/>
      <w:b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14"/>
    <w:pPr>
      <w:widowControl w:val="0"/>
      <w:shd w:val="clear" w:color="auto" w:fill="FFFFFF"/>
      <w:jc w:val="both"/>
      <w:spacing w:line="346" w:lineRule="exact"/>
      <w:ind w:hanging="5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Základní text (7)"/>
    <w:basedOn w:val="Normal"/>
    <w:link w:val="CharStyle6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">
    <w:name w:val="Nadpis #1 (2)"/>
    <w:basedOn w:val="Normal"/>
    <w:link w:val="CharStyle11"/>
    <w:pPr>
      <w:widowControl w:val="0"/>
      <w:shd w:val="clear" w:color="auto" w:fill="FFFFFF"/>
      <w:jc w:val="center"/>
      <w:outlineLvl w:val="0"/>
      <w:spacing w:before="540" w:after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2">
    <w:name w:val="Nadpis #2 (3)"/>
    <w:basedOn w:val="Normal"/>
    <w:link w:val="CharStyle13"/>
    <w:pPr>
      <w:widowControl w:val="0"/>
      <w:shd w:val="clear" w:color="auto" w:fill="FFFFFF"/>
      <w:jc w:val="center"/>
      <w:outlineLvl w:val="1"/>
      <w:spacing w:before="180" w:after="54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Základní text (8)"/>
    <w:basedOn w:val="Normal"/>
    <w:link w:val="CharStyle16"/>
    <w:pPr>
      <w:widowControl w:val="0"/>
      <w:shd w:val="clear" w:color="auto" w:fill="FFFFFF"/>
      <w:jc w:val="both"/>
      <w:spacing w:line="34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jc w:val="both"/>
      <w:spacing w:after="60" w:line="346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jc w:val="center"/>
      <w:outlineLvl w:val="2"/>
      <w:spacing w:before="180" w:after="54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8">
    <w:name w:val="Základní text (6)"/>
    <w:basedOn w:val="Normal"/>
    <w:link w:val="CharStyle31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
</file>