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9B9" w:rsidRDefault="006A5BCC">
      <w:pPr>
        <w:pStyle w:val="Bezmezer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Smlouva o poskytování grafických služeb</w:t>
      </w:r>
    </w:p>
    <w:p w:rsidR="007339B9" w:rsidRDefault="006A5BCC">
      <w:pPr>
        <w:pStyle w:val="Bezmezer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uzavřená na základě § 1746 odst. 2 zákona č. 89/2012 Sb., občanský</w:t>
      </w:r>
    </w:p>
    <w:p w:rsidR="007339B9" w:rsidRDefault="006A5BCC">
      <w:pPr>
        <w:pStyle w:val="Bezmezer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zákoník (dále jen „občanský zákoník“)</w:t>
      </w:r>
    </w:p>
    <w:p w:rsidR="007339B9" w:rsidRDefault="007339B9">
      <w:pPr>
        <w:pStyle w:val="Bezmezer"/>
        <w:rPr>
          <w:rFonts w:ascii="Arial" w:hAnsi="Arial" w:cs="Arial"/>
          <w:sz w:val="24"/>
          <w:szCs w:val="24"/>
        </w:rPr>
      </w:pPr>
    </w:p>
    <w:p w:rsidR="007339B9" w:rsidRDefault="007339B9">
      <w:pPr>
        <w:pStyle w:val="Bezmezer"/>
        <w:rPr>
          <w:rFonts w:ascii="Arial" w:hAnsi="Arial" w:cs="Arial"/>
          <w:sz w:val="24"/>
          <w:szCs w:val="24"/>
        </w:rPr>
      </w:pPr>
    </w:p>
    <w:p w:rsidR="007339B9" w:rsidRDefault="006A5BCC">
      <w:pPr>
        <w:pStyle w:val="Bezmez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Městské Tylovo divadlo v Kutné Hoře</w:t>
      </w:r>
    </w:p>
    <w:p w:rsidR="007339B9" w:rsidRDefault="006A5BCC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sídlem: Masarykova 128, 284 01 Kutná Hora</w:t>
      </w:r>
    </w:p>
    <w:p w:rsidR="007339B9" w:rsidRDefault="006A5BCC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IČ: 44696159 </w:t>
      </w:r>
    </w:p>
    <w:p w:rsidR="007339B9" w:rsidRDefault="006A5BCC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Zastoupeno: </w:t>
      </w:r>
      <w:r>
        <w:rPr>
          <w:rFonts w:ascii="Arial" w:hAnsi="Arial" w:cs="Arial"/>
          <w:sz w:val="24"/>
          <w:szCs w:val="24"/>
        </w:rPr>
        <w:t>Veronikou Lebedovou, ředitelkou divadla</w:t>
      </w:r>
    </w:p>
    <w:p w:rsidR="007339B9" w:rsidRDefault="006A5BCC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(dále jen „</w:t>
      </w:r>
      <w:r>
        <w:rPr>
          <w:rFonts w:ascii="Arial" w:hAnsi="Arial" w:cs="Arial"/>
          <w:b/>
          <w:bCs/>
          <w:sz w:val="24"/>
          <w:szCs w:val="24"/>
        </w:rPr>
        <w:t>Objednatel</w:t>
      </w:r>
      <w:r>
        <w:rPr>
          <w:rFonts w:ascii="Arial" w:hAnsi="Arial" w:cs="Arial"/>
          <w:sz w:val="24"/>
          <w:szCs w:val="24"/>
        </w:rPr>
        <w:t xml:space="preserve">“) </w:t>
      </w:r>
    </w:p>
    <w:p w:rsidR="007339B9" w:rsidRDefault="007339B9">
      <w:pPr>
        <w:pStyle w:val="Bezmezer"/>
        <w:rPr>
          <w:rFonts w:ascii="Arial" w:hAnsi="Arial" w:cs="Arial"/>
          <w:sz w:val="24"/>
          <w:szCs w:val="24"/>
        </w:rPr>
      </w:pPr>
    </w:p>
    <w:p w:rsidR="007339B9" w:rsidRDefault="006A5BCC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</w:p>
    <w:p w:rsidR="007339B9" w:rsidRDefault="007339B9">
      <w:pPr>
        <w:pStyle w:val="Bezmezer"/>
        <w:rPr>
          <w:rFonts w:ascii="Arial" w:hAnsi="Arial" w:cs="Arial"/>
          <w:sz w:val="24"/>
          <w:szCs w:val="24"/>
        </w:rPr>
      </w:pPr>
    </w:p>
    <w:p w:rsidR="007339B9" w:rsidRDefault="006A5BCC">
      <w:pPr>
        <w:pStyle w:val="Bezmez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Eva Filipová</w:t>
      </w:r>
    </w:p>
    <w:p w:rsidR="007339B9" w:rsidRDefault="006A5BCC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 místem podnikání: Minská 775/4, 101 00, Praha 10 - Vršovice</w:t>
      </w:r>
    </w:p>
    <w:p w:rsidR="007339B9" w:rsidRDefault="006A5BCC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IČ: 87211041</w:t>
      </w:r>
    </w:p>
    <w:p w:rsidR="007339B9" w:rsidRDefault="006A5BCC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Bankovní spojení: Česká spořitelna, účet č. 1939117193/0800</w:t>
      </w:r>
    </w:p>
    <w:p w:rsidR="007339B9" w:rsidRDefault="006A5BCC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zapsán v živnostenském rejstříku, vede</w:t>
      </w:r>
      <w:r>
        <w:rPr>
          <w:rFonts w:ascii="Arial" w:hAnsi="Arial" w:cs="Arial"/>
          <w:sz w:val="24"/>
          <w:szCs w:val="24"/>
        </w:rPr>
        <w:t xml:space="preserve">ném na Úřadě městské části Praha 10 </w:t>
      </w:r>
    </w:p>
    <w:p w:rsidR="007339B9" w:rsidRDefault="006A5BCC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(dále jen „</w:t>
      </w:r>
      <w:r>
        <w:rPr>
          <w:rFonts w:ascii="Arial" w:hAnsi="Arial" w:cs="Arial"/>
          <w:b/>
          <w:bCs/>
          <w:sz w:val="24"/>
          <w:szCs w:val="24"/>
        </w:rPr>
        <w:t>Poskytovatel</w:t>
      </w:r>
      <w:r>
        <w:rPr>
          <w:rFonts w:ascii="Arial" w:hAnsi="Arial" w:cs="Arial"/>
          <w:sz w:val="24"/>
          <w:szCs w:val="24"/>
        </w:rPr>
        <w:t xml:space="preserve">“) </w:t>
      </w:r>
    </w:p>
    <w:p w:rsidR="007339B9" w:rsidRDefault="006A5BCC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není plátce DPH </w:t>
      </w:r>
    </w:p>
    <w:p w:rsidR="007339B9" w:rsidRDefault="007339B9">
      <w:pPr>
        <w:pStyle w:val="Bezmezer"/>
        <w:rPr>
          <w:rFonts w:ascii="Arial" w:hAnsi="Arial" w:cs="Arial"/>
          <w:sz w:val="24"/>
          <w:szCs w:val="24"/>
        </w:rPr>
      </w:pPr>
    </w:p>
    <w:p w:rsidR="007339B9" w:rsidRDefault="006A5BCC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(Objednatel a Poskytovatel jsou v této smlouvě nazývání jednotlivě též jako „Smluvní strana“ a společně též jako „Smluvní strany“) </w:t>
      </w:r>
    </w:p>
    <w:p w:rsidR="007339B9" w:rsidRDefault="007339B9">
      <w:pPr>
        <w:pStyle w:val="Bezmezer"/>
        <w:rPr>
          <w:rFonts w:ascii="Arial" w:hAnsi="Arial" w:cs="Arial"/>
          <w:sz w:val="24"/>
          <w:szCs w:val="24"/>
        </w:rPr>
      </w:pPr>
    </w:p>
    <w:p w:rsidR="007339B9" w:rsidRDefault="006A5BCC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níže uvedeného dne, měsíce a roku doho</w:t>
      </w:r>
      <w:r>
        <w:rPr>
          <w:rFonts w:ascii="Arial" w:hAnsi="Arial" w:cs="Arial"/>
          <w:sz w:val="24"/>
          <w:szCs w:val="24"/>
        </w:rPr>
        <w:t xml:space="preserve">dli na následující smlouvě o poskytování </w:t>
      </w:r>
    </w:p>
    <w:p w:rsidR="007339B9" w:rsidRDefault="006A5BCC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grafických služeb (dále jen "smlouva"). </w:t>
      </w:r>
    </w:p>
    <w:p w:rsidR="007339B9" w:rsidRDefault="007339B9">
      <w:pPr>
        <w:pStyle w:val="Bezmezer"/>
        <w:rPr>
          <w:rFonts w:ascii="Arial" w:hAnsi="Arial" w:cs="Arial"/>
          <w:sz w:val="24"/>
          <w:szCs w:val="24"/>
        </w:rPr>
      </w:pPr>
    </w:p>
    <w:p w:rsidR="007339B9" w:rsidRDefault="007339B9">
      <w:pPr>
        <w:pStyle w:val="Bezmezer"/>
        <w:rPr>
          <w:rFonts w:ascii="Arial" w:hAnsi="Arial" w:cs="Arial"/>
          <w:sz w:val="24"/>
          <w:szCs w:val="24"/>
        </w:rPr>
      </w:pPr>
    </w:p>
    <w:p w:rsidR="007339B9" w:rsidRDefault="006A5BCC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Čl. I</w:t>
      </w:r>
    </w:p>
    <w:p w:rsidR="007339B9" w:rsidRDefault="006A5BCC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Předmět smlouvy</w:t>
      </w:r>
    </w:p>
    <w:p w:rsidR="007339B9" w:rsidRDefault="007339B9">
      <w:pPr>
        <w:pStyle w:val="Bezmezer"/>
        <w:rPr>
          <w:rFonts w:ascii="Arial" w:hAnsi="Arial" w:cs="Arial"/>
          <w:sz w:val="24"/>
          <w:szCs w:val="24"/>
        </w:rPr>
      </w:pPr>
    </w:p>
    <w:p w:rsidR="007339B9" w:rsidRDefault="006A5BCC">
      <w:pPr>
        <w:pStyle w:val="Bezmezer"/>
        <w:ind w:left="426" w:hanging="426"/>
        <w:jc w:val="both"/>
      </w:pPr>
      <w:r>
        <w:rPr>
          <w:rFonts w:ascii="Arial" w:hAnsi="Arial" w:cs="Arial"/>
          <w:sz w:val="24"/>
          <w:szCs w:val="24"/>
        </w:rPr>
        <w:t>1. Předmětem této smlouvy je závazek Poskytovatele poskytnout Objednateli následující služby v tomto rozsahu: příprava a sazba kulturního zpravodaje</w:t>
      </w:r>
      <w:r>
        <w:rPr>
          <w:rFonts w:ascii="Arial" w:hAnsi="Arial" w:cs="Arial"/>
          <w:sz w:val="24"/>
          <w:szCs w:val="24"/>
        </w:rPr>
        <w:t xml:space="preserve"> nebo letáku pro MTD a Kino Modrý Kříž, úprava fotek do kulturního zpravodaje a předtisková příprava, vyhotovení elektronické verze téhož kulturního zpravodaje nebo letáku, úprava fotek a sazba měsíčního plakátu pro MTD a Kino Modrý Kříž (včetně elektronic</w:t>
      </w:r>
      <w:r>
        <w:rPr>
          <w:rFonts w:ascii="Arial" w:hAnsi="Arial" w:cs="Arial"/>
          <w:sz w:val="24"/>
          <w:szCs w:val="24"/>
        </w:rPr>
        <w:t>ké verze), korektury zpravodaje a velkých plakátů, přidávání akcí MTD na web a vyhotovení 4 webových bannerů a 1 carousellu ke každé akci MTD, vypracování grafického návrhu pozvánky na představení/akci pro uveřejnění na FB stránkách.</w:t>
      </w:r>
    </w:p>
    <w:p w:rsidR="007339B9" w:rsidRDefault="007339B9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7339B9" w:rsidRDefault="006A5BCC">
      <w:pPr>
        <w:pStyle w:val="Bezmezer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Předmětem této sml</w:t>
      </w:r>
      <w:r>
        <w:rPr>
          <w:rFonts w:ascii="Arial" w:hAnsi="Arial" w:cs="Arial"/>
          <w:sz w:val="24"/>
          <w:szCs w:val="24"/>
        </w:rPr>
        <w:t>ouvy je dále závazek Objednatele řádně poskytnuté služby nebo výstupy z nich převzít a zaplatit za ně Poskytovateli sjednanou odměnu.</w:t>
      </w:r>
    </w:p>
    <w:p w:rsidR="007339B9" w:rsidRDefault="006A5BCC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339B9" w:rsidRDefault="006A5BCC">
      <w:pPr>
        <w:pStyle w:val="Bezmezer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Poskytovatel bude poskytovat služby na základě pokynů, úkolů a zadání ředitelky divadla nebo jí pověřených osob. </w:t>
      </w:r>
    </w:p>
    <w:p w:rsidR="007339B9" w:rsidRDefault="007339B9">
      <w:pPr>
        <w:pStyle w:val="Bezmezer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7339B9" w:rsidRDefault="007339B9">
      <w:pPr>
        <w:pStyle w:val="Bezmezer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7339B9" w:rsidRDefault="007339B9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7339B9" w:rsidRDefault="007339B9">
      <w:pPr>
        <w:pStyle w:val="Bezmezer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7339B9" w:rsidRDefault="007339B9">
      <w:pPr>
        <w:pStyle w:val="Bezmezer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7339B9" w:rsidRDefault="007339B9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7339B9" w:rsidRDefault="006A5BCC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Čl. II</w:t>
      </w:r>
    </w:p>
    <w:p w:rsidR="007339B9" w:rsidRDefault="006A5BCC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Práva a povinnosti smluvních stran</w:t>
      </w:r>
    </w:p>
    <w:p w:rsidR="007339B9" w:rsidRDefault="007339B9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</w:p>
    <w:p w:rsidR="007339B9" w:rsidRDefault="007339B9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</w:p>
    <w:p w:rsidR="007339B9" w:rsidRDefault="006A5BCC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Poskytovatel </w:t>
      </w:r>
    </w:p>
    <w:p w:rsidR="007339B9" w:rsidRDefault="007339B9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7339B9" w:rsidRDefault="006A5BCC">
      <w:pPr>
        <w:pStyle w:val="Bezmezer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prohlašuje, že disponuje potřebnými odbornými znalostmi a schopnostmi pro    poskytování služeb podle této smlouvy, </w:t>
      </w:r>
    </w:p>
    <w:p w:rsidR="007339B9" w:rsidRDefault="007339B9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7339B9" w:rsidRDefault="006A5BCC">
      <w:pPr>
        <w:pStyle w:val="Bezmezer"/>
        <w:ind w:left="284" w:hanging="284"/>
        <w:jc w:val="both"/>
      </w:pPr>
      <w:r>
        <w:rPr>
          <w:rFonts w:ascii="Arial" w:hAnsi="Arial" w:cs="Arial"/>
          <w:sz w:val="24"/>
          <w:szCs w:val="24"/>
        </w:rPr>
        <w:t xml:space="preserve">b) se zavazuje, že služby ani výsledky své činnosti podle této smlouvy neposkytne bez písemného souhlasu Objednatele dalším subjektům, </w:t>
      </w:r>
    </w:p>
    <w:p w:rsidR="007339B9" w:rsidRDefault="007339B9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7339B9" w:rsidRDefault="006A5BCC">
      <w:pPr>
        <w:pStyle w:val="Bezmezer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je povinen vést písemně průkaznou evidenci služeb poskytnutých nad rámec rozsahu sjednaného v čl. I této smlouvy jak</w:t>
      </w:r>
      <w:r>
        <w:rPr>
          <w:rFonts w:ascii="Arial" w:hAnsi="Arial" w:cs="Arial"/>
          <w:sz w:val="24"/>
          <w:szCs w:val="24"/>
        </w:rPr>
        <w:t>o podklad pro vyúčtování odměny dle čl. III této smlouvy.</w:t>
      </w:r>
    </w:p>
    <w:p w:rsidR="007339B9" w:rsidRDefault="007339B9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7339B9" w:rsidRDefault="007339B9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7339B9" w:rsidRDefault="006A5BCC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Objednatel je povinen </w:t>
      </w:r>
    </w:p>
    <w:p w:rsidR="007339B9" w:rsidRDefault="007339B9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7339B9" w:rsidRDefault="006A5BCC">
      <w:pPr>
        <w:pStyle w:val="Bezmezer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poskytovat potřebná dostupná data a informace, které Poskytovatel nezbytně potřebuje k plnění předmětu smlouvy,</w:t>
      </w:r>
    </w:p>
    <w:p w:rsidR="007339B9" w:rsidRDefault="007339B9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7339B9" w:rsidRDefault="006A5BCC">
      <w:pPr>
        <w:pStyle w:val="Bezmezer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informovat Poskytovatele o všech důležitých skutečnostech a změnách, které by mohly mít vliv na realizaci předmětu smlouvy. </w:t>
      </w:r>
    </w:p>
    <w:p w:rsidR="007339B9" w:rsidRDefault="007339B9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7339B9" w:rsidRDefault="006A5BCC">
      <w:pPr>
        <w:pStyle w:val="Bezmezer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umožnit Poskytovateli po dobu trvání smlouvy přístup do budovy Objednatele a možnost využití technického vybavení Objednatel</w:t>
      </w:r>
      <w:r>
        <w:rPr>
          <w:rFonts w:ascii="Arial" w:hAnsi="Arial" w:cs="Arial"/>
          <w:sz w:val="24"/>
          <w:szCs w:val="24"/>
        </w:rPr>
        <w:t xml:space="preserve">e potřebného k řešení úkolů vyplývajících ze smlouvy. </w:t>
      </w:r>
    </w:p>
    <w:p w:rsidR="007339B9" w:rsidRDefault="007339B9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7339B9" w:rsidRDefault="006A5BCC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Čl. III</w:t>
      </w:r>
    </w:p>
    <w:p w:rsidR="007339B9" w:rsidRDefault="006A5BCC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Odměna a platební podmínky</w:t>
      </w:r>
    </w:p>
    <w:p w:rsidR="007339B9" w:rsidRDefault="007339B9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7339B9" w:rsidRDefault="006A5BCC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Objednatel se zavazuje za poskytování služeb specifikovaných v čl. I této smlouvy zaplatit Poskytovateli smluvní odměnu ve výši </w:t>
      </w:r>
      <w:r w:rsidR="0083441C">
        <w:rPr>
          <w:rFonts w:ascii="Arial" w:hAnsi="Arial" w:cs="Arial"/>
          <w:sz w:val="24"/>
          <w:szCs w:val="24"/>
        </w:rPr>
        <w:t>XXX</w:t>
      </w:r>
      <w:r>
        <w:rPr>
          <w:rFonts w:ascii="Arial" w:hAnsi="Arial" w:cs="Arial"/>
          <w:sz w:val="24"/>
          <w:szCs w:val="24"/>
        </w:rPr>
        <w:t xml:space="preserve"> Kč za kalendářní měsíc pos</w:t>
      </w:r>
      <w:r>
        <w:rPr>
          <w:rFonts w:ascii="Arial" w:hAnsi="Arial" w:cs="Arial"/>
          <w:sz w:val="24"/>
          <w:szCs w:val="24"/>
        </w:rPr>
        <w:t xml:space="preserve">kytování služeb dle této smlouvy. V případě, že Objednatel bude požadovat služby nad rámec služeb specifikovaných v čl. I této smlouvy, je stanovena smluvní odměna ve výši </w:t>
      </w:r>
      <w:r w:rsidR="0083441C">
        <w:rPr>
          <w:rFonts w:ascii="Arial" w:hAnsi="Arial" w:cs="Arial"/>
          <w:sz w:val="24"/>
          <w:szCs w:val="24"/>
        </w:rPr>
        <w:t>XXX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Kč za hodinu poskytování služeb nad rámec čl. I této smlouvy. </w:t>
      </w:r>
    </w:p>
    <w:p w:rsidR="007339B9" w:rsidRDefault="007339B9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7339B9" w:rsidRDefault="006A5BCC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Odměna dle od</w:t>
      </w:r>
      <w:r>
        <w:rPr>
          <w:rFonts w:ascii="Arial" w:hAnsi="Arial" w:cs="Arial"/>
          <w:sz w:val="24"/>
          <w:szCs w:val="24"/>
        </w:rPr>
        <w:t xml:space="preserve">st. 1 tohoto článku je konečná a zahrnuje veškeré náklady Poskytovatele spojené s plněním předmětu smlouvy, jako je např. cestovné, ubytování, administrativní práce, telefony apod. </w:t>
      </w:r>
    </w:p>
    <w:p w:rsidR="007339B9" w:rsidRDefault="007339B9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7339B9" w:rsidRDefault="006A5BCC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Plnění dle této smlouvy se považuje za uskutečněné vždy k poslednímu d</w:t>
      </w:r>
      <w:r>
        <w:rPr>
          <w:rFonts w:ascii="Arial" w:hAnsi="Arial" w:cs="Arial"/>
          <w:sz w:val="24"/>
          <w:szCs w:val="24"/>
        </w:rPr>
        <w:t xml:space="preserve">ni kalendářního měsíce. Po uskutečnění zdanitelného plnění je Poskytovatel oprávněn vystavit fakturu – daňový doklad. </w:t>
      </w:r>
    </w:p>
    <w:p w:rsidR="007339B9" w:rsidRDefault="007339B9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7339B9" w:rsidRDefault="006A5BCC">
      <w:pPr>
        <w:pStyle w:val="Bezmezer"/>
        <w:jc w:val="both"/>
      </w:pPr>
      <w:r>
        <w:rPr>
          <w:rFonts w:ascii="Arial" w:hAnsi="Arial" w:cs="Arial"/>
          <w:sz w:val="24"/>
          <w:szCs w:val="24"/>
        </w:rPr>
        <w:t xml:space="preserve">4. Splatnost faktur je 14 dnů ode dne doručení Objednateli, a to elektronicky na e-mail ekonom@divadlo-kutnahora.cz. </w:t>
      </w:r>
    </w:p>
    <w:p w:rsidR="007339B9" w:rsidRDefault="007339B9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7339B9" w:rsidRDefault="006A5BCC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Odměna se pova</w:t>
      </w:r>
      <w:r>
        <w:rPr>
          <w:rFonts w:ascii="Arial" w:hAnsi="Arial" w:cs="Arial"/>
          <w:sz w:val="24"/>
          <w:szCs w:val="24"/>
        </w:rPr>
        <w:t xml:space="preserve">žuje za uhrazenou dnem odepsání fakturované částky z účtu Objednatele ve prospěch účtu Poskytovatele. </w:t>
      </w:r>
    </w:p>
    <w:p w:rsidR="007339B9" w:rsidRDefault="007339B9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7339B9" w:rsidRDefault="006A5BCC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Faktury budou mít tyto náležitosti: </w:t>
      </w:r>
    </w:p>
    <w:p w:rsidR="007339B9" w:rsidRDefault="006A5BCC">
      <w:pPr>
        <w:pStyle w:val="Bezmezer"/>
        <w:ind w:left="852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označení faktury a její číslo, </w:t>
      </w:r>
    </w:p>
    <w:p w:rsidR="007339B9" w:rsidRDefault="006A5BCC">
      <w:pPr>
        <w:pStyle w:val="Bezmezer"/>
        <w:ind w:left="852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jména a sídla Objednatele a Poskytovatele, </w:t>
      </w:r>
    </w:p>
    <w:p w:rsidR="007339B9" w:rsidRDefault="006A5BCC">
      <w:pPr>
        <w:pStyle w:val="Bezmezer"/>
        <w:ind w:left="852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podpis Poskytovatele a jeho IČ, </w:t>
      </w:r>
    </w:p>
    <w:p w:rsidR="007339B9" w:rsidRDefault="006A5BCC">
      <w:pPr>
        <w:pStyle w:val="Bezmezer"/>
        <w:ind w:left="852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označení bankovního spojení, označení peněžního ústavu, číslo účtu, </w:t>
      </w:r>
    </w:p>
    <w:p w:rsidR="007339B9" w:rsidRDefault="006A5BCC">
      <w:pPr>
        <w:pStyle w:val="Bezmezer"/>
        <w:ind w:left="852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číslo smlouvy dle číselné řady Objednatele (ev.č.), </w:t>
      </w:r>
    </w:p>
    <w:p w:rsidR="007339B9" w:rsidRDefault="006A5BCC">
      <w:pPr>
        <w:pStyle w:val="Bezmezer"/>
        <w:ind w:left="852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datum vystavení, </w:t>
      </w:r>
    </w:p>
    <w:p w:rsidR="007339B9" w:rsidRDefault="006A5BCC">
      <w:pPr>
        <w:pStyle w:val="Bezmezer"/>
        <w:ind w:left="852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označení předmětu plnění, </w:t>
      </w:r>
    </w:p>
    <w:p w:rsidR="007339B9" w:rsidRDefault="006A5BCC">
      <w:pPr>
        <w:pStyle w:val="Bezmezer"/>
        <w:ind w:left="852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fakturovanou částku, </w:t>
      </w:r>
    </w:p>
    <w:p w:rsidR="007339B9" w:rsidRDefault="006A5BCC">
      <w:pPr>
        <w:pStyle w:val="Bezmezer"/>
        <w:ind w:left="852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další náležitosti dl</w:t>
      </w:r>
      <w:r>
        <w:rPr>
          <w:rFonts w:ascii="Arial" w:hAnsi="Arial" w:cs="Arial"/>
          <w:sz w:val="24"/>
          <w:szCs w:val="24"/>
        </w:rPr>
        <w:t xml:space="preserve">e § 435 občanského zákoníku a daňového dokladu dle zákona </w:t>
      </w:r>
    </w:p>
    <w:p w:rsidR="007339B9" w:rsidRDefault="006A5BCC">
      <w:pPr>
        <w:pStyle w:val="Bezmezer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č. 563/1991 Sb., o účetnictví, ve znění pozdějších předpisů </w:t>
      </w:r>
    </w:p>
    <w:p w:rsidR="007339B9" w:rsidRDefault="007339B9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7339B9" w:rsidRDefault="006A5BCC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Přílohou faktur bude výkaz poskytnutých služeb nad rámec rozsahu služeb stanovených v čl. I této smlouvy za období, za které bude př</w:t>
      </w:r>
      <w:r>
        <w:rPr>
          <w:rFonts w:ascii="Arial" w:hAnsi="Arial" w:cs="Arial"/>
          <w:sz w:val="24"/>
          <w:szCs w:val="24"/>
        </w:rPr>
        <w:t xml:space="preserve">íslušná faktura vystavena. </w:t>
      </w:r>
    </w:p>
    <w:p w:rsidR="007339B9" w:rsidRDefault="007339B9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7339B9" w:rsidRDefault="006A5BCC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V případě, že faktura nebude mít stanovené náležitosti a přílohy nebo bude obsahovat chybné údaje, je Objednatel oprávněn tuto fakturu ve lhůtě její splatnosti vrátit Poskytovateli, aniž by se tím Objednatel dostal do prodle</w:t>
      </w:r>
      <w:r>
        <w:rPr>
          <w:rFonts w:ascii="Arial" w:hAnsi="Arial" w:cs="Arial"/>
          <w:sz w:val="24"/>
          <w:szCs w:val="24"/>
        </w:rPr>
        <w:t xml:space="preserve">ní s úhradou faktury. Nová lhůta splatnosti počíná běžet dnem obdržení opravené nebo nově vystavené faktury. Důvod případného vrácení faktury musí být objednatelem jednoznačně vymezen. </w:t>
      </w:r>
    </w:p>
    <w:p w:rsidR="007339B9" w:rsidRDefault="007339B9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7339B9" w:rsidRDefault="006A5BCC">
      <w:pPr>
        <w:pStyle w:val="Bezmezer"/>
        <w:jc w:val="both"/>
      </w:pPr>
      <w:r>
        <w:rPr>
          <w:rFonts w:ascii="Arial" w:hAnsi="Arial" w:cs="Arial"/>
          <w:sz w:val="24"/>
          <w:szCs w:val="24"/>
        </w:rPr>
        <w:t>9. Odměna bude Objednatelem hrazena Poskytovateli bezhotovostním přev</w:t>
      </w:r>
      <w:r>
        <w:rPr>
          <w:rFonts w:ascii="Arial" w:hAnsi="Arial" w:cs="Arial"/>
          <w:sz w:val="24"/>
          <w:szCs w:val="24"/>
        </w:rPr>
        <w:t xml:space="preserve">odem na bankovní účet Poskytovatele uvedený na faktuře. </w:t>
      </w:r>
    </w:p>
    <w:p w:rsidR="007339B9" w:rsidRDefault="007339B9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7339B9" w:rsidRDefault="006A5BCC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Čl. IV</w:t>
      </w:r>
    </w:p>
    <w:p w:rsidR="007339B9" w:rsidRDefault="006A5BCC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Náhrada škody</w:t>
      </w:r>
    </w:p>
    <w:p w:rsidR="007339B9" w:rsidRDefault="007339B9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7339B9" w:rsidRDefault="006A5BCC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případě, že Poskytovatel způsobí Objednateli porušením závazků vyplývajících z této smlouvy škodu, je povinen ji v plné výši uhradit Objednateli. </w:t>
      </w:r>
    </w:p>
    <w:p w:rsidR="007339B9" w:rsidRDefault="007339B9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7339B9" w:rsidRDefault="007339B9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7339B9" w:rsidRDefault="006A5BCC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Čl. V.</w:t>
      </w:r>
    </w:p>
    <w:p w:rsidR="007339B9" w:rsidRDefault="006A5BCC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Místo plnění</w:t>
      </w:r>
    </w:p>
    <w:p w:rsidR="007339B9" w:rsidRDefault="007339B9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7339B9" w:rsidRDefault="006A5BCC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Místem plnění je místo podnikání Poskytovatele.</w:t>
      </w:r>
    </w:p>
    <w:p w:rsidR="007339B9" w:rsidRDefault="007339B9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7339B9" w:rsidRDefault="007339B9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7339B9" w:rsidRDefault="006A5BCC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Čl. VI</w:t>
      </w:r>
    </w:p>
    <w:p w:rsidR="007339B9" w:rsidRDefault="006A5BCC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Platnost a doba trvání této smlouvy</w:t>
      </w:r>
    </w:p>
    <w:p w:rsidR="007339B9" w:rsidRDefault="007339B9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7339B9" w:rsidRDefault="006A5BCC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Tato smlouva nabývá platnosti dnem jejího podpisu a je uzavřena na dobu neurčitou. </w:t>
      </w:r>
    </w:p>
    <w:p w:rsidR="007339B9" w:rsidRDefault="007339B9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7339B9" w:rsidRDefault="006A5BCC">
      <w:pPr>
        <w:pStyle w:val="Bezmezer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Tuto smlouvu je možné ukončit písemnou dohodou smluvních stran nebo jednostranně písemnou výpovědí. Tuto smlouvu může vypovědět kterákoliv ze smluvních stran, a to i bez udání důvodu. Výpovědní lhůta činí 1 měsíc a počíná běžet prvním dnem kalendářního </w:t>
      </w:r>
      <w:r>
        <w:rPr>
          <w:rFonts w:ascii="Arial" w:hAnsi="Arial" w:cs="Arial"/>
          <w:sz w:val="24"/>
          <w:szCs w:val="24"/>
        </w:rPr>
        <w:t xml:space="preserve">měsíce následujícího po měsíci, v němž byla výpověď doručena druhé smluvní straně. </w:t>
      </w:r>
    </w:p>
    <w:p w:rsidR="007339B9" w:rsidRDefault="007339B9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7339B9" w:rsidRDefault="006A5BCC">
      <w:pPr>
        <w:pStyle w:val="Bezmezer"/>
        <w:jc w:val="both"/>
      </w:pPr>
      <w:r>
        <w:rPr>
          <w:rFonts w:ascii="Arial" w:hAnsi="Arial" w:cs="Arial"/>
          <w:sz w:val="24"/>
          <w:szCs w:val="24"/>
        </w:rPr>
        <w:t xml:space="preserve">3. Smluvní strany provedou veškeré finanční a věcné vypořádání nejpozději do 30 dnů po skončení smluvního vztahu dle této smlouvy. </w:t>
      </w:r>
    </w:p>
    <w:p w:rsidR="007339B9" w:rsidRDefault="007339B9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7339B9" w:rsidRDefault="006A5BCC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Čl. VII</w:t>
      </w:r>
    </w:p>
    <w:p w:rsidR="007339B9" w:rsidRDefault="006A5BCC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Ostatní ujednání</w:t>
      </w:r>
    </w:p>
    <w:p w:rsidR="007339B9" w:rsidRDefault="007339B9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7339B9" w:rsidRDefault="006A5BCC">
      <w:pPr>
        <w:pStyle w:val="Bezmezer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Tuto smlo</w:t>
      </w:r>
      <w:r>
        <w:rPr>
          <w:rFonts w:ascii="Arial" w:hAnsi="Arial" w:cs="Arial"/>
          <w:sz w:val="24"/>
          <w:szCs w:val="24"/>
        </w:rPr>
        <w:t xml:space="preserve">uvu lze měnit na základě dohody smluvních stran formou písemných číslovaných dodatků, podepsaných oprávněnými zástupci smluvních stran. </w:t>
      </w:r>
    </w:p>
    <w:p w:rsidR="007339B9" w:rsidRDefault="007339B9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7339B9" w:rsidRDefault="006A5BCC">
      <w:pPr>
        <w:pStyle w:val="Bezmezer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V otázkách, které nejsou touto smlouvou upraveny, se řídí právní vztahy platným právem České republiky, zejména obč</w:t>
      </w:r>
      <w:r>
        <w:rPr>
          <w:rFonts w:ascii="Arial" w:hAnsi="Arial" w:cs="Arial"/>
          <w:sz w:val="24"/>
          <w:szCs w:val="24"/>
        </w:rPr>
        <w:t xml:space="preserve">anským zákoníkem. </w:t>
      </w:r>
    </w:p>
    <w:p w:rsidR="007339B9" w:rsidRDefault="007339B9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7339B9" w:rsidRDefault="006A5BCC">
      <w:pPr>
        <w:pStyle w:val="Bezmezer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Nastanou-li skutečnosti, které jedné nebo oběma smluvním stranám částečně nebo úplně znemožní plnění jejich povinností podle této smlouvy, jsou smluvní strany povinny se o tom bez zbytečného odkladu písemně informovat. Zároveň jsou o</w:t>
      </w:r>
      <w:r>
        <w:rPr>
          <w:rFonts w:ascii="Arial" w:hAnsi="Arial" w:cs="Arial"/>
          <w:sz w:val="24"/>
          <w:szCs w:val="24"/>
        </w:rPr>
        <w:t xml:space="preserve">bě smluvní strany zavázány společně podniknout veškeré kroky k překonání překážek plnění této smlouvy. </w:t>
      </w:r>
    </w:p>
    <w:p w:rsidR="007339B9" w:rsidRDefault="007339B9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7339B9" w:rsidRDefault="006A5BCC">
      <w:pPr>
        <w:pStyle w:val="Bezmezer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Stane-li se některé ustanovení této smlouvy neplatné nebo neúčinné, nedotýká se to ostatních ustanovení této smlouvy, která zůstávají nadále platná </w:t>
      </w:r>
      <w:r>
        <w:rPr>
          <w:rFonts w:ascii="Arial" w:hAnsi="Arial" w:cs="Arial"/>
          <w:sz w:val="24"/>
          <w:szCs w:val="24"/>
        </w:rPr>
        <w:t>a účinná. Smluvní strany se v takovém případě zavazují dohodou nahradit ustanovení neplatné či neúčinné novým ustanovením, které nejlépe odpovídá původně zamýšlenému účelu ustanovení neplatného či neúčinného. Do té doby platí odpovídající úprava obecně záv</w:t>
      </w:r>
      <w:r>
        <w:rPr>
          <w:rFonts w:ascii="Arial" w:hAnsi="Arial" w:cs="Arial"/>
          <w:sz w:val="24"/>
          <w:szCs w:val="24"/>
        </w:rPr>
        <w:t xml:space="preserve">azných právních předpisů České republiky. </w:t>
      </w:r>
    </w:p>
    <w:p w:rsidR="007339B9" w:rsidRDefault="007339B9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7339B9" w:rsidRDefault="006A5BCC">
      <w:pPr>
        <w:pStyle w:val="Bezmezer"/>
        <w:ind w:left="284" w:hanging="284"/>
        <w:jc w:val="both"/>
      </w:pPr>
      <w:r>
        <w:rPr>
          <w:rFonts w:ascii="Arial" w:hAnsi="Arial" w:cs="Arial"/>
          <w:sz w:val="24"/>
          <w:szCs w:val="24"/>
        </w:rPr>
        <w:t>5. Tato smlouva je vyhotovena ve 3 stejnopisech, z nichž Objednatel obdrží 2 a Poskytovatel 1 stejnopis.</w:t>
      </w:r>
    </w:p>
    <w:p w:rsidR="007339B9" w:rsidRDefault="007339B9">
      <w:pPr>
        <w:pStyle w:val="Bezmezer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7339B9" w:rsidRDefault="007339B9">
      <w:pPr>
        <w:pStyle w:val="Bezmezer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7339B9" w:rsidRDefault="007339B9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7339B9" w:rsidRDefault="007339B9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7339B9" w:rsidRDefault="006A5BCC">
      <w:pPr>
        <w:pStyle w:val="Bezmezer"/>
        <w:jc w:val="both"/>
      </w:pPr>
      <w:r>
        <w:rPr>
          <w:rFonts w:ascii="Arial" w:hAnsi="Arial" w:cs="Arial"/>
          <w:sz w:val="24"/>
          <w:szCs w:val="24"/>
        </w:rPr>
        <w:t>V ……………………. dne…………                           V …………….…… dne …………</w:t>
      </w:r>
    </w:p>
    <w:p w:rsidR="007339B9" w:rsidRDefault="007339B9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7339B9" w:rsidRDefault="007339B9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7339B9" w:rsidRDefault="006A5BCC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Objednatele: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Poskytovatel:</w:t>
      </w:r>
    </w:p>
    <w:p w:rsidR="007339B9" w:rsidRDefault="007339B9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7339B9" w:rsidRDefault="007339B9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7339B9" w:rsidRDefault="007339B9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7339B9" w:rsidRDefault="006A5BCC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………………………..                                                   ……………………….. </w:t>
      </w:r>
    </w:p>
    <w:p w:rsidR="007339B9" w:rsidRDefault="006A5BCC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Veronika Lebedová, ředitelka                                       Eva Filipová</w:t>
      </w:r>
    </w:p>
    <w:p w:rsidR="007339B9" w:rsidRDefault="007339B9">
      <w:pPr>
        <w:pStyle w:val="Bezmezer"/>
        <w:jc w:val="both"/>
      </w:pPr>
    </w:p>
    <w:sectPr w:rsidR="007339B9">
      <w:footerReference w:type="default" r:id="rId8"/>
      <w:pgSz w:w="11906" w:h="16838"/>
      <w:pgMar w:top="1417" w:right="1417" w:bottom="1417" w:left="1417" w:header="72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BCC" w:rsidRDefault="006A5BCC">
      <w:pPr>
        <w:spacing w:after="0" w:line="240" w:lineRule="auto"/>
      </w:pPr>
      <w:r>
        <w:separator/>
      </w:r>
    </w:p>
  </w:endnote>
  <w:endnote w:type="continuationSeparator" w:id="0">
    <w:p w:rsidR="006A5BCC" w:rsidRDefault="006A5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5637124"/>
      <w:docPartObj>
        <w:docPartGallery w:val="Page Numbers (Bottom of Page)"/>
        <w:docPartUnique/>
      </w:docPartObj>
    </w:sdtPr>
    <w:sdtEndPr/>
    <w:sdtContent>
      <w:p w:rsidR="007339B9" w:rsidRDefault="006A5BCC"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339B9" w:rsidRDefault="007339B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BCC" w:rsidRDefault="006A5BCC">
      <w:pPr>
        <w:spacing w:after="0" w:line="240" w:lineRule="auto"/>
      </w:pPr>
      <w:r>
        <w:separator/>
      </w:r>
    </w:p>
  </w:footnote>
  <w:footnote w:type="continuationSeparator" w:id="0">
    <w:p w:rsidR="006A5BCC" w:rsidRDefault="006A5B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9B9"/>
    <w:rsid w:val="006A5BCC"/>
    <w:rsid w:val="007339B9"/>
    <w:rsid w:val="0083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D637B6"/>
  </w:style>
  <w:style w:type="character" w:customStyle="1" w:styleId="ZpatChar">
    <w:name w:val="Zápatí Char"/>
    <w:basedOn w:val="Standardnpsmoodstavce"/>
    <w:link w:val="Zpat"/>
    <w:uiPriority w:val="99"/>
    <w:qFormat/>
    <w:rsid w:val="00D637B6"/>
  </w:style>
  <w:style w:type="character" w:styleId="Odkaznakoment">
    <w:name w:val="annotation reference"/>
    <w:basedOn w:val="Standardnpsmoodstavce"/>
    <w:uiPriority w:val="99"/>
    <w:semiHidden/>
    <w:unhideWhenUsed/>
    <w:qFormat/>
    <w:rsid w:val="00A12C6F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A12C6F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A12C6F"/>
    <w:rPr>
      <w:b/>
      <w:bCs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Bezmezer">
    <w:name w:val="No Spacing"/>
    <w:uiPriority w:val="1"/>
    <w:qFormat/>
    <w:rsid w:val="00BA1E75"/>
    <w:rPr>
      <w:sz w:val="22"/>
    </w:rPr>
  </w:style>
  <w:style w:type="paragraph" w:styleId="Zhlav">
    <w:name w:val="header"/>
    <w:basedOn w:val="Normln"/>
    <w:link w:val="ZhlavChar"/>
    <w:uiPriority w:val="99"/>
    <w:unhideWhenUsed/>
    <w:rsid w:val="00D637B6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D637B6"/>
    <w:pPr>
      <w:tabs>
        <w:tab w:val="center" w:pos="4536"/>
        <w:tab w:val="right" w:pos="9072"/>
      </w:tabs>
      <w:spacing w:after="0" w:line="240" w:lineRule="auto"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A12C6F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A12C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D637B6"/>
  </w:style>
  <w:style w:type="character" w:customStyle="1" w:styleId="ZpatChar">
    <w:name w:val="Zápatí Char"/>
    <w:basedOn w:val="Standardnpsmoodstavce"/>
    <w:link w:val="Zpat"/>
    <w:uiPriority w:val="99"/>
    <w:qFormat/>
    <w:rsid w:val="00D637B6"/>
  </w:style>
  <w:style w:type="character" w:styleId="Odkaznakoment">
    <w:name w:val="annotation reference"/>
    <w:basedOn w:val="Standardnpsmoodstavce"/>
    <w:uiPriority w:val="99"/>
    <w:semiHidden/>
    <w:unhideWhenUsed/>
    <w:qFormat/>
    <w:rsid w:val="00A12C6F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A12C6F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A12C6F"/>
    <w:rPr>
      <w:b/>
      <w:bCs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Bezmezer">
    <w:name w:val="No Spacing"/>
    <w:uiPriority w:val="1"/>
    <w:qFormat/>
    <w:rsid w:val="00BA1E75"/>
    <w:rPr>
      <w:sz w:val="22"/>
    </w:rPr>
  </w:style>
  <w:style w:type="paragraph" w:styleId="Zhlav">
    <w:name w:val="header"/>
    <w:basedOn w:val="Normln"/>
    <w:link w:val="ZhlavChar"/>
    <w:uiPriority w:val="99"/>
    <w:unhideWhenUsed/>
    <w:rsid w:val="00D637B6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D637B6"/>
    <w:pPr>
      <w:tabs>
        <w:tab w:val="center" w:pos="4536"/>
        <w:tab w:val="right" w:pos="9072"/>
      </w:tabs>
      <w:spacing w:after="0" w:line="240" w:lineRule="auto"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A12C6F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A12C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5BA89-70C0-4589-B5A4-285AB6211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1072</Words>
  <Characters>6327</Characters>
  <Application>Microsoft Office Word</Application>
  <DocSecurity>0</DocSecurity>
  <Lines>52</Lines>
  <Paragraphs>14</Paragraphs>
  <ScaleCrop>false</ScaleCrop>
  <Company>MPSV ČR</Company>
  <LinksUpToDate>false</LinksUpToDate>
  <CharactersWithSpaces>7385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Juzová Jitka Mgr. (MPSV)</dc:creator>
  <dc:description/>
  <cp:lastModifiedBy>uživatel</cp:lastModifiedBy>
  <cp:revision>11</cp:revision>
  <dcterms:created xsi:type="dcterms:W3CDTF">2022-05-26T06:53:00Z</dcterms:created>
  <dcterms:modified xsi:type="dcterms:W3CDTF">2022-06-28T06:33:00Z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MPSV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