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8FB1DE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F6DD2">
        <w:rPr>
          <w:rFonts w:asciiTheme="minorHAnsi" w:hAnsiTheme="minorHAnsi"/>
          <w:b/>
          <w:sz w:val="28"/>
          <w:szCs w:val="28"/>
        </w:rPr>
        <w:t>00781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1C5AC30" w14:textId="77777777" w:rsidR="000A0147" w:rsidRPr="00C36C43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676B719F" w14:textId="73B8C149" w:rsidR="008D2316" w:rsidRPr="00C36C43" w:rsidRDefault="0003568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Klub potápěčů Pardubice, p.s.</w:t>
      </w:r>
    </w:p>
    <w:p w14:paraId="1FF2C5D8" w14:textId="5C8BAEF2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035686">
        <w:rPr>
          <w:rFonts w:ascii="Calibri" w:hAnsi="Calibri"/>
          <w:color w:val="000000" w:themeColor="text1"/>
          <w:sz w:val="22"/>
          <w:szCs w:val="22"/>
        </w:rPr>
        <w:t>Anenská 812, Zelené Předměstí, 530 02 Pardubice,</w:t>
      </w:r>
    </w:p>
    <w:p w14:paraId="3F9CA438" w14:textId="51950272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IČO: </w:t>
      </w:r>
      <w:r w:rsidR="00035686">
        <w:rPr>
          <w:rFonts w:ascii="Calibri" w:hAnsi="Calibri"/>
          <w:color w:val="000000" w:themeColor="text1"/>
          <w:sz w:val="22"/>
          <w:szCs w:val="22"/>
        </w:rPr>
        <w:t>00527718,</w:t>
      </w:r>
    </w:p>
    <w:p w14:paraId="7754CD62" w14:textId="44858E49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035686">
        <w:rPr>
          <w:rFonts w:ascii="Calibri" w:hAnsi="Calibri"/>
          <w:color w:val="000000" w:themeColor="text1"/>
          <w:sz w:val="22"/>
          <w:szCs w:val="22"/>
        </w:rPr>
        <w:t>1202743309/0800</w:t>
      </w:r>
      <w:r w:rsidRPr="00C36C43">
        <w:rPr>
          <w:rFonts w:ascii="Calibri" w:hAnsi="Calibri"/>
          <w:color w:val="000000" w:themeColor="text1"/>
          <w:sz w:val="22"/>
          <w:szCs w:val="22"/>
        </w:rPr>
        <w:t>,</w:t>
      </w:r>
    </w:p>
    <w:p w14:paraId="0B582F07" w14:textId="15F8668C" w:rsidR="00320AC5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035686" w:rsidRPr="00035686">
        <w:rPr>
          <w:rFonts w:ascii="Calibri" w:hAnsi="Calibri"/>
          <w:color w:val="000000" w:themeColor="text1"/>
          <w:sz w:val="22"/>
          <w:szCs w:val="22"/>
        </w:rPr>
        <w:t>Ing. Karlem Honsem</w:t>
      </w:r>
      <w:r w:rsidR="00035686">
        <w:rPr>
          <w:rFonts w:ascii="Calibri" w:hAnsi="Calibri"/>
          <w:color w:val="000000" w:themeColor="text1"/>
          <w:sz w:val="22"/>
          <w:szCs w:val="22"/>
        </w:rPr>
        <w:t>, předsedou</w:t>
      </w:r>
    </w:p>
    <w:p w14:paraId="5110CDEC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7997B8BC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A39425" w14:textId="089EC1C6" w:rsidR="00CD3B0A" w:rsidRPr="00811AF4" w:rsidRDefault="008D2316" w:rsidP="008D231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  <w:t xml:space="preserve">Poskytovatel touto smlouvou poskytuje příjemci </w:t>
      </w:r>
      <w:r w:rsidRPr="00035686">
        <w:rPr>
          <w:rFonts w:asciiTheme="minorHAnsi" w:hAnsiTheme="minorHAnsi"/>
          <w:sz w:val="22"/>
          <w:szCs w:val="22"/>
        </w:rPr>
        <w:t>individuální</w:t>
      </w:r>
      <w:r w:rsidR="007E6CF8">
        <w:rPr>
          <w:rFonts w:asciiTheme="minorHAnsi" w:hAnsiTheme="minorHAnsi"/>
          <w:sz w:val="22"/>
          <w:szCs w:val="22"/>
        </w:rPr>
        <w:t xml:space="preserve"> </w:t>
      </w:r>
      <w:r w:rsidRPr="008D2316">
        <w:rPr>
          <w:rFonts w:asciiTheme="minorHAnsi" w:hAnsiTheme="minorHAnsi"/>
          <w:sz w:val="22"/>
          <w:szCs w:val="22"/>
        </w:rPr>
        <w:t xml:space="preserve">dotaci z </w:t>
      </w:r>
      <w:r w:rsidRPr="007E6CF8">
        <w:rPr>
          <w:rFonts w:asciiTheme="minorHAnsi" w:hAnsiTheme="minorHAnsi"/>
          <w:sz w:val="22"/>
          <w:szCs w:val="22"/>
        </w:rPr>
        <w:t>Programu podpory sportu</w:t>
      </w:r>
      <w:r w:rsidRPr="008D2316">
        <w:rPr>
          <w:rFonts w:asciiTheme="minorHAnsi" w:hAnsiTheme="minorHAnsi"/>
          <w:sz w:val="22"/>
          <w:szCs w:val="22"/>
        </w:rPr>
        <w:t xml:space="preserve"> pro rok 202</w:t>
      </w:r>
      <w:r w:rsidR="0088359B">
        <w:rPr>
          <w:rFonts w:asciiTheme="minorHAnsi" w:hAnsiTheme="minorHAnsi"/>
          <w:sz w:val="22"/>
          <w:szCs w:val="22"/>
        </w:rPr>
        <w:t>2</w:t>
      </w:r>
      <w:r w:rsidRPr="008D2316">
        <w:rPr>
          <w:rFonts w:asciiTheme="minorHAnsi" w:hAnsiTheme="minorHAnsi"/>
          <w:sz w:val="22"/>
          <w:szCs w:val="22"/>
        </w:rPr>
        <w:t xml:space="preserve"> ve výši </w:t>
      </w:r>
      <w:r w:rsidR="00035686" w:rsidRPr="00035686">
        <w:rPr>
          <w:rFonts w:asciiTheme="minorHAnsi" w:hAnsiTheme="minorHAnsi"/>
          <w:b/>
          <w:bCs/>
          <w:sz w:val="22"/>
          <w:szCs w:val="22"/>
        </w:rPr>
        <w:t>70.000,</w:t>
      </w:r>
      <w:r w:rsidRPr="00035686">
        <w:rPr>
          <w:rFonts w:asciiTheme="minorHAnsi" w:hAnsiTheme="minorHAnsi"/>
          <w:b/>
          <w:bCs/>
          <w:sz w:val="22"/>
          <w:szCs w:val="22"/>
        </w:rPr>
        <w:t>-</w:t>
      </w:r>
      <w:r w:rsidRPr="008D2316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Pr="008D2316">
        <w:rPr>
          <w:rFonts w:asciiTheme="minorHAnsi" w:hAnsiTheme="minorHAnsi"/>
          <w:sz w:val="22"/>
          <w:szCs w:val="22"/>
        </w:rPr>
        <w:t xml:space="preserve"> (slovy: </w:t>
      </w:r>
      <w:r w:rsidR="00035686">
        <w:rPr>
          <w:rFonts w:asciiTheme="minorHAnsi" w:hAnsiTheme="minorHAnsi"/>
          <w:sz w:val="22"/>
          <w:szCs w:val="22"/>
        </w:rPr>
        <w:t>sedmdesát tisíc</w:t>
      </w:r>
      <w:r w:rsidRPr="008D2316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035686">
        <w:rPr>
          <w:rFonts w:asciiTheme="minorHAnsi" w:hAnsiTheme="minorHAnsi"/>
          <w:b/>
          <w:bCs/>
          <w:sz w:val="22"/>
          <w:szCs w:val="22"/>
        </w:rPr>
        <w:t>Mistrovství ČR v ploutvovém plavání</w:t>
      </w:r>
      <w:r w:rsidRPr="008D2316">
        <w:rPr>
          <w:rFonts w:asciiTheme="minorHAnsi" w:hAnsiTheme="minorHAnsi"/>
          <w:sz w:val="22"/>
          <w:szCs w:val="22"/>
        </w:rPr>
        <w:t>“ 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5CCA1BA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C301A3D" w14:textId="4E6EF566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838E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43809">
        <w:rPr>
          <w:rFonts w:asciiTheme="minorHAnsi" w:hAnsiTheme="minorHAnsi"/>
          <w:sz w:val="22"/>
          <w:szCs w:val="22"/>
        </w:rPr>
        <w:t>12.04.2022</w:t>
      </w:r>
      <w:r w:rsidRPr="00A838EE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F43809">
        <w:rPr>
          <w:rFonts w:asciiTheme="minorHAnsi" w:hAnsiTheme="minorHAnsi"/>
          <w:sz w:val="22"/>
          <w:szCs w:val="22"/>
        </w:rPr>
        <w:t>43735</w:t>
      </w:r>
      <w:r w:rsidR="00177473" w:rsidRPr="007E6CF8">
        <w:rPr>
          <w:rFonts w:asciiTheme="minorHAnsi" w:hAnsiTheme="minorHAnsi"/>
          <w:sz w:val="22"/>
          <w:szCs w:val="22"/>
        </w:rPr>
        <w:t>/202</w:t>
      </w:r>
      <w:r w:rsidR="007E6CF8">
        <w:rPr>
          <w:rFonts w:asciiTheme="minorHAnsi" w:hAnsiTheme="minorHAnsi"/>
          <w:sz w:val="22"/>
          <w:szCs w:val="22"/>
        </w:rPr>
        <w:t>2</w:t>
      </w:r>
      <w:r w:rsidRPr="00A838EE">
        <w:rPr>
          <w:rFonts w:asciiTheme="minorHAnsi" w:hAnsiTheme="minorHAnsi"/>
          <w:sz w:val="22"/>
          <w:szCs w:val="22"/>
        </w:rPr>
        <w:t>,</w:t>
      </w:r>
      <w:r w:rsidR="00177473" w:rsidRPr="00A838EE">
        <w:rPr>
          <w:rFonts w:asciiTheme="minorHAnsi" w:hAnsiTheme="minorHAnsi"/>
          <w:sz w:val="22"/>
          <w:szCs w:val="22"/>
        </w:rPr>
        <w:t xml:space="preserve"> </w:t>
      </w:r>
      <w:r w:rsidR="00177473" w:rsidRPr="00F43809">
        <w:rPr>
          <w:rFonts w:asciiTheme="minorHAnsi" w:hAnsiTheme="minorHAnsi"/>
          <w:sz w:val="22"/>
          <w:szCs w:val="22"/>
        </w:rPr>
        <w:t>vyúčtovat dotaci na položky stanovené v</w:t>
      </w:r>
      <w:r w:rsidR="007E6CF8" w:rsidRPr="00F43809">
        <w:rPr>
          <w:rFonts w:asciiTheme="minorHAnsi" w:hAnsiTheme="minorHAnsi"/>
          <w:sz w:val="22"/>
          <w:szCs w:val="22"/>
        </w:rPr>
        <w:t> </w:t>
      </w:r>
      <w:r w:rsidR="00177473" w:rsidRPr="00F43809">
        <w:rPr>
          <w:rFonts w:asciiTheme="minorHAnsi" w:hAnsiTheme="minorHAnsi"/>
          <w:sz w:val="22"/>
          <w:szCs w:val="22"/>
        </w:rPr>
        <w:t>rozpočtu, který je nedílnou součástí této smlouvy jako příloha č. 1,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2A4A05D6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F43809">
        <w:rPr>
          <w:rFonts w:ascii="Calibri" w:hAnsi="Calibri"/>
          <w:b/>
          <w:sz w:val="22"/>
          <w:szCs w:val="22"/>
        </w:rPr>
        <w:t xml:space="preserve">31.01.2023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4F8F84AD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234FC1">
        <w:rPr>
          <w:rFonts w:asciiTheme="minorHAnsi" w:hAnsiTheme="minorHAns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EC6208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234FC1">
        <w:rPr>
          <w:rFonts w:asciiTheme="minorHAnsi" w:hAnsiTheme="minorHAnsi"/>
          <w:b/>
          <w:sz w:val="22"/>
          <w:szCs w:val="22"/>
        </w:rPr>
        <w:t xml:space="preserve"> 31.01.202</w:t>
      </w:r>
      <w:r w:rsidR="00230A35">
        <w:rPr>
          <w:rFonts w:asciiTheme="minorHAnsi" w:hAnsiTheme="minorHAnsi"/>
          <w:b/>
          <w:sz w:val="22"/>
          <w:szCs w:val="22"/>
        </w:rPr>
        <w:t>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53E56F4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4FC1">
        <w:rPr>
          <w:rFonts w:asciiTheme="minorHAnsi" w:hAnsiTheme="minorHAnsi"/>
          <w:b/>
          <w:sz w:val="22"/>
          <w:szCs w:val="22"/>
        </w:rPr>
        <w:t>31.01.202</w:t>
      </w:r>
      <w:r w:rsidR="00230A35">
        <w:rPr>
          <w:rFonts w:asciiTheme="minorHAnsi" w:hAnsiTheme="minorHAnsi"/>
          <w:b/>
          <w:sz w:val="22"/>
          <w:szCs w:val="22"/>
        </w:rPr>
        <w:t>3.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3B634BDE" w14:textId="61BD1B52" w:rsidR="004B0B3D" w:rsidRPr="00954C4C" w:rsidRDefault="004B0B3D" w:rsidP="004B0B3D">
      <w:pPr>
        <w:ind w:left="426" w:hanging="426"/>
        <w:rPr>
          <w:rFonts w:asciiTheme="minorHAnsi" w:hAnsiTheme="minorHAnsi"/>
          <w:b/>
          <w:bCs/>
          <w:color w:val="FF0000"/>
          <w:sz w:val="22"/>
          <w:szCs w:val="22"/>
          <w:highlight w:val="yellow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5D2B5D" w:rsidRDefault="00CD3B0A" w:rsidP="00CD3B0A">
      <w:pPr>
        <w:jc w:val="center"/>
        <w:rPr>
          <w:rFonts w:asciiTheme="minorHAnsi" w:hAnsiTheme="minorHAnsi"/>
          <w:b/>
        </w:rPr>
      </w:pPr>
      <w:r w:rsidRPr="005D2B5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5D2B5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5D2B5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5D2B5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5D2B5D" w:rsidRDefault="00DE6083" w:rsidP="00577DE3">
      <w:pPr>
        <w:ind w:left="426" w:hanging="426"/>
      </w:pPr>
    </w:p>
    <w:p w14:paraId="7B98DA81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2B5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5D2B5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2B5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5D2B5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2B5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5D2B5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B5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5D2B5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2B5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5D2B5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5D2B5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5D2B5D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5D2B5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B5D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5D2B5D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59565A70" w14:textId="77777777" w:rsidR="00DE6083" w:rsidRPr="005D2B5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5D2B5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B5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5D2B5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5AEDEB" w14:textId="77777777" w:rsidR="007C7AF7" w:rsidRPr="006324FF" w:rsidRDefault="007C7AF7" w:rsidP="007C7AF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24FF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57663BE4" w14:textId="77777777" w:rsidR="007C7AF7" w:rsidRPr="006324FF" w:rsidRDefault="007C7AF7" w:rsidP="007C7AF7">
      <w:pPr>
        <w:pStyle w:val="Odstavecseseznamem"/>
        <w:rPr>
          <w:rFonts w:asciiTheme="minorHAnsi" w:hAnsiTheme="minorHAnsi"/>
          <w:sz w:val="22"/>
          <w:szCs w:val="22"/>
        </w:rPr>
      </w:pPr>
    </w:p>
    <w:p w14:paraId="08148CC6" w14:textId="77777777" w:rsidR="007C7AF7" w:rsidRPr="006324FF" w:rsidRDefault="007C7AF7" w:rsidP="007C7AF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24FF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46C949A9" w14:textId="6ED2725D" w:rsidR="00DE6083" w:rsidRPr="005D2B5D" w:rsidRDefault="00DE6083" w:rsidP="007C7AF7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B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BAABE" w14:textId="77777777" w:rsidR="00CD3B0A" w:rsidRPr="005D2B5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Pr="005D2B5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77777777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5D2B5D"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119BC673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077901">
        <w:rPr>
          <w:rFonts w:asciiTheme="minorHAnsi" w:hAnsiTheme="minorHAnsi"/>
          <w:sz w:val="22"/>
          <w:szCs w:val="22"/>
        </w:rPr>
        <w:t xml:space="preserve"> 27.06.2022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77901">
        <w:rPr>
          <w:rFonts w:asciiTheme="minorHAnsi" w:hAnsiTheme="minorHAnsi"/>
          <w:sz w:val="22"/>
          <w:szCs w:val="22"/>
        </w:rPr>
        <w:t xml:space="preserve"> 17.06.2022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E2EFA1B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5D2B5D">
        <w:rPr>
          <w:rFonts w:asciiTheme="minorHAnsi" w:hAnsiTheme="minorHAnsi"/>
          <w:sz w:val="22"/>
          <w:szCs w:val="22"/>
        </w:rPr>
        <w:t>Ing. Karel Hons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2A650F7F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2103E80" w14:textId="443A734A" w:rsidR="007B3E84" w:rsidRDefault="007B3E84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65BFF8" w14:textId="77777777" w:rsidR="007B3E84" w:rsidRDefault="007B3E84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0C0C70B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D2B5D">
        <w:rPr>
          <w:rFonts w:asciiTheme="minorHAnsi" w:hAnsiTheme="minorHAnsi"/>
          <w:sz w:val="20"/>
          <w:szCs w:val="20"/>
        </w:rPr>
        <w:t xml:space="preserve">Zastupitelstva </w:t>
      </w:r>
      <w:r w:rsidRPr="00A21A93">
        <w:rPr>
          <w:rFonts w:asciiTheme="minorHAnsi" w:hAnsiTheme="minorHAnsi"/>
          <w:sz w:val="20"/>
          <w:szCs w:val="20"/>
        </w:rPr>
        <w:fldChar w:fldCharType="begin"/>
      </w:r>
      <w:r w:rsidRPr="00A21A93">
        <w:rPr>
          <w:rFonts w:asciiTheme="minorHAnsi" w:hAnsiTheme="minorHAnsi"/>
          <w:sz w:val="20"/>
          <w:szCs w:val="20"/>
        </w:rPr>
        <w:instrText xml:space="preserve"> Schvaleno </w:instrText>
      </w:r>
      <w:r w:rsidRPr="00A21A93">
        <w:rPr>
          <w:rFonts w:asciiTheme="minorHAnsi" w:hAnsiTheme="minorHAnsi"/>
          <w:sz w:val="20"/>
          <w:szCs w:val="20"/>
        </w:rPr>
        <w:fldChar w:fldCharType="separate"/>
      </w:r>
      <w:r w:rsidRPr="00A21A93">
        <w:rPr>
          <w:rFonts w:ascii="Calibri" w:hAnsi="Calibri"/>
          <w:sz w:val="20"/>
          <w:szCs w:val="20"/>
        </w:rPr>
        <w:t>města Pardubic</w:t>
      </w:r>
      <w:r w:rsidRPr="00A21A93">
        <w:rPr>
          <w:rFonts w:asciiTheme="minorHAnsi" w:hAnsiTheme="minorHAnsi"/>
          <w:sz w:val="20"/>
          <w:szCs w:val="20"/>
        </w:rPr>
        <w:fldChar w:fldCharType="end"/>
      </w:r>
      <w:r w:rsidRPr="00A21A93">
        <w:rPr>
          <w:rFonts w:asciiTheme="minorHAnsi" w:hAnsiTheme="minorHAnsi"/>
          <w:sz w:val="20"/>
          <w:szCs w:val="20"/>
        </w:rPr>
        <w:t xml:space="preserve"> č</w:t>
      </w:r>
      <w:r w:rsidR="00577DE3" w:rsidRPr="00A21A93">
        <w:rPr>
          <w:rFonts w:asciiTheme="minorHAnsi" w:hAnsiTheme="minorHAnsi"/>
          <w:sz w:val="20"/>
          <w:szCs w:val="20"/>
        </w:rPr>
        <w:t>. Z</w:t>
      </w:r>
      <w:r w:rsidR="00A21A93" w:rsidRPr="00A21A93">
        <w:rPr>
          <w:rFonts w:asciiTheme="minorHAnsi" w:hAnsiTheme="minorHAnsi"/>
          <w:sz w:val="20"/>
          <w:szCs w:val="20"/>
        </w:rPr>
        <w:t>/3039/</w:t>
      </w:r>
      <w:r w:rsidRPr="00A21A93">
        <w:rPr>
          <w:rFonts w:asciiTheme="minorHAnsi" w:hAnsiTheme="minorHAnsi"/>
          <w:sz w:val="20"/>
          <w:szCs w:val="20"/>
        </w:rPr>
        <w:t>20</w:t>
      </w:r>
      <w:r w:rsidR="006917AC" w:rsidRPr="00A21A93">
        <w:rPr>
          <w:rFonts w:asciiTheme="minorHAnsi" w:hAnsiTheme="minorHAnsi"/>
          <w:sz w:val="20"/>
          <w:szCs w:val="20"/>
        </w:rPr>
        <w:t>2</w:t>
      </w:r>
      <w:r w:rsidR="002C7B01" w:rsidRPr="00A21A93">
        <w:rPr>
          <w:rFonts w:asciiTheme="minorHAnsi" w:hAnsiTheme="minorHAnsi"/>
          <w:sz w:val="20"/>
          <w:szCs w:val="20"/>
        </w:rPr>
        <w:t>2</w:t>
      </w:r>
      <w:r w:rsidRPr="00A21A93">
        <w:rPr>
          <w:rFonts w:asciiTheme="minorHAnsi" w:hAnsiTheme="minorHAnsi"/>
          <w:sz w:val="20"/>
          <w:szCs w:val="20"/>
        </w:rPr>
        <w:t xml:space="preserve"> ze dne </w:t>
      </w:r>
      <w:r w:rsidR="00A21A93" w:rsidRPr="00A21A93">
        <w:rPr>
          <w:rFonts w:asciiTheme="minorHAnsi" w:hAnsiTheme="minorHAnsi"/>
          <w:sz w:val="20"/>
          <w:szCs w:val="20"/>
        </w:rPr>
        <w:t>26.05.</w:t>
      </w:r>
      <w:r w:rsidRPr="00A21A93">
        <w:rPr>
          <w:rFonts w:asciiTheme="minorHAnsi" w:hAnsiTheme="minorHAnsi"/>
          <w:sz w:val="20"/>
          <w:szCs w:val="20"/>
        </w:rPr>
        <w:t>20</w:t>
      </w:r>
      <w:r w:rsidR="006917AC" w:rsidRPr="00A21A93">
        <w:rPr>
          <w:rFonts w:asciiTheme="minorHAnsi" w:hAnsiTheme="minorHAnsi"/>
          <w:sz w:val="20"/>
          <w:szCs w:val="20"/>
        </w:rPr>
        <w:t>2</w:t>
      </w:r>
      <w:r w:rsidR="002C7B01" w:rsidRPr="00A21A93">
        <w:rPr>
          <w:rFonts w:asciiTheme="minorHAnsi" w:hAnsiTheme="minorHAnsi"/>
          <w:sz w:val="20"/>
          <w:szCs w:val="20"/>
        </w:rPr>
        <w:t>2</w:t>
      </w:r>
      <w:r w:rsidRPr="00A21A93">
        <w:rPr>
          <w:rFonts w:asciiTheme="minorHAnsi" w:hAnsiTheme="minorHAnsi"/>
          <w:sz w:val="20"/>
          <w:szCs w:val="20"/>
        </w:rPr>
        <w:t>.</w:t>
      </w:r>
    </w:p>
    <w:p w14:paraId="31DBFEFF" w14:textId="27B9D66E" w:rsidR="00872320" w:rsidRDefault="005D2B5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F7826">
          <w:footerReference w:type="even" r:id="rId13"/>
          <w:footerReference w:type="default" r:id="rId14"/>
          <w:headerReference w:type="first" r:id="rId15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Mgr. Ondřej Menyhárt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2440"/>
        <w:gridCol w:w="2220"/>
      </w:tblGrid>
      <w:tr w:rsidR="005D2B5D" w14:paraId="01DFA32B" w14:textId="77777777" w:rsidTr="005D2B5D">
        <w:trPr>
          <w:trHeight w:val="42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0E0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5D2B5D" w14:paraId="76745F27" w14:textId="77777777" w:rsidTr="005D2B5D">
        <w:trPr>
          <w:trHeight w:val="19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82A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5D2B5D" w14:paraId="01DB0C27" w14:textId="77777777" w:rsidTr="005D2B5D">
        <w:trPr>
          <w:trHeight w:val="3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7361A9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266" w14:textId="73D502B1" w:rsidR="005D2B5D" w:rsidRDefault="005D2B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Mistrovství České republiky v PP a RP 2022</w:t>
            </w:r>
          </w:p>
        </w:tc>
      </w:tr>
      <w:tr w:rsidR="005D2B5D" w14:paraId="54B81B75" w14:textId="77777777" w:rsidTr="005D2B5D">
        <w:trPr>
          <w:trHeight w:val="88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F761" w14:textId="77777777" w:rsidR="005D2B5D" w:rsidRDefault="005D2B5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5D2B5D" w14:paraId="17C5A55D" w14:textId="77777777" w:rsidTr="005D2B5D">
        <w:trPr>
          <w:trHeight w:val="6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23278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(uveďte jednotlivé položky)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56ECB4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37754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5D2B5D" w14:paraId="1F438379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E14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Zapůjčení bazénu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F13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C28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70 000,00</w:t>
            </w:r>
          </w:p>
        </w:tc>
      </w:tr>
      <w:tr w:rsidR="005D2B5D" w14:paraId="248E60B3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3BB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Technická četa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A7C7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471A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3943A981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8BF9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Medaile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3DF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67E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495DE248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8982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Diplomy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43A7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838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42341FEC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BA66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časomíra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783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256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1567DF63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30A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Stravné závodníků a rozhodčích 284 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FC76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0EEF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5065ECED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668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Ubytování závodníků a rozhodčích 284 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EB85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420E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1200F70F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11C4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Rozhodčí a zabezpečení závodů 34 os.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BF5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044D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57D80061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24E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Zapůčení materiálu na bazénu - stoly, židle, atd.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B98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9737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5D4C5001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7C8E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Trička pro rozhodčí 34 ks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BF7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E68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7B0CFB44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275B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A49A" w14:textId="77777777" w:rsidR="005D2B5D" w:rsidRDefault="005D2B5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9EB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7D7B46E8" w14:textId="77777777" w:rsidTr="005D2B5D">
        <w:trPr>
          <w:trHeight w:val="51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6A2C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E73C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CD0D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D2B5D" w14:paraId="1C470DC7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C34A7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5CECF8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544 280,00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BB23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70 000,00</w:t>
            </w:r>
          </w:p>
        </w:tc>
      </w:tr>
      <w:tr w:rsidR="005D2B5D" w14:paraId="23F3A64B" w14:textId="77777777" w:rsidTr="005D2B5D">
        <w:trPr>
          <w:trHeight w:val="585"/>
        </w:trPr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83985" w14:textId="77777777" w:rsidR="005D2B5D" w:rsidRDefault="005D2B5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D2B5D" w14:paraId="79416F40" w14:textId="77777777" w:rsidTr="005D2B5D">
        <w:trPr>
          <w:trHeight w:val="25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5234" w14:textId="77777777" w:rsidR="005D2B5D" w:rsidRDefault="005D2B5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5D2B5D" w14:paraId="72308E8A" w14:textId="77777777" w:rsidTr="005D2B5D">
        <w:trPr>
          <w:trHeight w:val="51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55ECB3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Předpokládané příjmy na akci/projekt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67203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</w:tr>
      <w:tr w:rsidR="005D2B5D" w14:paraId="1C8AC0D5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93FD7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Startovné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0BF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87 280,00</w:t>
            </w:r>
          </w:p>
        </w:tc>
      </w:tr>
      <w:tr w:rsidR="005D2B5D" w14:paraId="7ACC899A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45F02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Vstupné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8F9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5D2B5D" w14:paraId="348CDF4E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7CE49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Příspěvky sponzorů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8B60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85 000,00</w:t>
            </w:r>
          </w:p>
        </w:tc>
      </w:tr>
      <w:tr w:rsidR="005D2B5D" w14:paraId="168E8246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F8FE0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45D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70 000,00</w:t>
            </w:r>
          </w:p>
        </w:tc>
      </w:tr>
      <w:tr w:rsidR="005D2B5D" w14:paraId="70761C5E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86CC7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 od jiných subjektů:     - Pardubický kraj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4B8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5D2B5D" w14:paraId="3C47E677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B4711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- Národní sportovní agentura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605E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5D2B5D" w14:paraId="4506F05F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147C9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Vlastní zdroje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BAB9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D2B5D" w14:paraId="4E96164A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049F3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B628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D2B5D" w14:paraId="09EBEE66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1F517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Svaz Českých potápěčů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5E2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B9EA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250 000,00</w:t>
            </w:r>
          </w:p>
        </w:tc>
      </w:tr>
      <w:tr w:rsidR="005D2B5D" w14:paraId="63DF5E52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256EDC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Klub potápěčů Pardubice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C36B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D03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52 000,00</w:t>
            </w:r>
          </w:p>
        </w:tc>
      </w:tr>
      <w:tr w:rsidR="005D2B5D" w14:paraId="73A6C188" w14:textId="77777777" w:rsidTr="005D2B5D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4EBA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EE5E" w14:textId="77777777" w:rsidR="005D2B5D" w:rsidRDefault="005D2B5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59DA" w14:textId="77777777" w:rsidR="005D2B5D" w:rsidRDefault="005D2B5D">
            <w:pPr>
              <w:rPr>
                <w:sz w:val="20"/>
                <w:szCs w:val="20"/>
              </w:rPr>
            </w:pPr>
          </w:p>
        </w:tc>
      </w:tr>
      <w:tr w:rsidR="005D2B5D" w14:paraId="5DB9F357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673B" w14:textId="77777777" w:rsidR="005D2B5D" w:rsidRDefault="005D2B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20C5" w14:textId="77777777" w:rsidR="005D2B5D" w:rsidRDefault="005D2B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D2B5D" w14:paraId="4A1207FC" w14:textId="77777777" w:rsidTr="005D2B5D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B93F46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z akce/projektu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D4521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544 280,00</w:t>
            </w:r>
          </w:p>
        </w:tc>
      </w:tr>
      <w:tr w:rsidR="005D2B5D" w14:paraId="32809439" w14:textId="77777777" w:rsidTr="005D2B5D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93846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D2B5D" w14:paraId="4C3874D2" w14:textId="77777777" w:rsidTr="005D2B5D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30A6E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akce/projektu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3C886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76BF" w14:textId="77777777" w:rsidR="005D2B5D" w:rsidRDefault="005D2B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D2B5D" w14:paraId="33D829CE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8AA9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23E3A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544 280,00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9FFD4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D2B5D" w14:paraId="5793220B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89BF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929EB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544 280,00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0BCA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D2B5D" w14:paraId="5E43D20D" w14:textId="77777777" w:rsidTr="005D2B5D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DDBC9" w14:textId="77777777" w:rsidR="005D2B5D" w:rsidRDefault="005D2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Rozdíl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35750D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550E" w14:textId="77777777" w:rsidR="005D2B5D" w:rsidRDefault="005D2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4F7826">
      <w:headerReference w:type="first" r:id="rId16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5657DCE5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1C51">
      <w:rPr>
        <w:rStyle w:val="slostrnky"/>
        <w:noProof/>
      </w:rPr>
      <w:t>2</w:t>
    </w:r>
    <w:r>
      <w:rPr>
        <w:rStyle w:val="slostrnky"/>
      </w:rPr>
      <w:fldChar w:fldCharType="end"/>
    </w:r>
  </w:p>
  <w:p w14:paraId="6DF56918" w14:textId="77777777" w:rsidR="00241A8F" w:rsidRDefault="0007790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B66" w14:textId="77777777" w:rsidR="00241A8F" w:rsidRDefault="0007790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Pr="005D2B5D" w:rsidRDefault="00872320" w:rsidP="00AE6FDF">
    <w:pPr>
      <w:pStyle w:val="Zhlav"/>
      <w:rPr>
        <w:rFonts w:asciiTheme="minorHAnsi" w:hAnsiTheme="minorHAnsi" w:cstheme="minorHAnsi"/>
        <w:i/>
        <w:iCs/>
      </w:rPr>
    </w:pPr>
    <w:r w:rsidRPr="005D2B5D">
      <w:rPr>
        <w:rFonts w:asciiTheme="minorHAnsi" w:hAnsiTheme="minorHAnsi"/>
        <w:b/>
        <w:i/>
        <w:iCs/>
        <w:sz w:val="22"/>
        <w:szCs w:val="22"/>
      </w:rPr>
      <w:t>Příloha č. 1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6259258">
    <w:abstractNumId w:val="16"/>
  </w:num>
  <w:num w:numId="2" w16cid:durableId="53430955">
    <w:abstractNumId w:val="19"/>
  </w:num>
  <w:num w:numId="3" w16cid:durableId="1610048209">
    <w:abstractNumId w:val="3"/>
  </w:num>
  <w:num w:numId="4" w16cid:durableId="1081558578">
    <w:abstractNumId w:val="20"/>
  </w:num>
  <w:num w:numId="5" w16cid:durableId="1650136587">
    <w:abstractNumId w:val="7"/>
  </w:num>
  <w:num w:numId="6" w16cid:durableId="1478372992">
    <w:abstractNumId w:val="10"/>
  </w:num>
  <w:num w:numId="7" w16cid:durableId="1442533827">
    <w:abstractNumId w:val="18"/>
  </w:num>
  <w:num w:numId="8" w16cid:durableId="1055197754">
    <w:abstractNumId w:val="9"/>
  </w:num>
  <w:num w:numId="9" w16cid:durableId="675153963">
    <w:abstractNumId w:val="13"/>
  </w:num>
  <w:num w:numId="10" w16cid:durableId="419714794">
    <w:abstractNumId w:val="0"/>
  </w:num>
  <w:num w:numId="11" w16cid:durableId="294064353">
    <w:abstractNumId w:val="15"/>
  </w:num>
  <w:num w:numId="12" w16cid:durableId="1266111028">
    <w:abstractNumId w:val="17"/>
  </w:num>
  <w:num w:numId="13" w16cid:durableId="1296911598">
    <w:abstractNumId w:val="21"/>
  </w:num>
  <w:num w:numId="14" w16cid:durableId="1544901628">
    <w:abstractNumId w:val="5"/>
  </w:num>
  <w:num w:numId="15" w16cid:durableId="10685995">
    <w:abstractNumId w:val="6"/>
  </w:num>
  <w:num w:numId="16" w16cid:durableId="858928169">
    <w:abstractNumId w:val="11"/>
  </w:num>
  <w:num w:numId="17" w16cid:durableId="1792016720">
    <w:abstractNumId w:val="8"/>
  </w:num>
  <w:num w:numId="18" w16cid:durableId="1554341641">
    <w:abstractNumId w:val="12"/>
  </w:num>
  <w:num w:numId="19" w16cid:durableId="869732246">
    <w:abstractNumId w:val="2"/>
  </w:num>
  <w:num w:numId="20" w16cid:durableId="952133730">
    <w:abstractNumId w:val="4"/>
  </w:num>
  <w:num w:numId="21" w16cid:durableId="1299728070">
    <w:abstractNumId w:val="14"/>
  </w:num>
  <w:num w:numId="22" w16cid:durableId="43949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35686"/>
    <w:rsid w:val="00050899"/>
    <w:rsid w:val="0005457C"/>
    <w:rsid w:val="00055ABD"/>
    <w:rsid w:val="00077901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0D89"/>
    <w:rsid w:val="001C42DC"/>
    <w:rsid w:val="001C4966"/>
    <w:rsid w:val="001D4FD4"/>
    <w:rsid w:val="001E5D57"/>
    <w:rsid w:val="00230A35"/>
    <w:rsid w:val="00234FC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1D31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95512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0B3D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D2B5D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3E84"/>
    <w:rsid w:val="007B70EC"/>
    <w:rsid w:val="007C648F"/>
    <w:rsid w:val="007C7AF7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1C51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1A93"/>
    <w:rsid w:val="00A2236F"/>
    <w:rsid w:val="00A24FD7"/>
    <w:rsid w:val="00A373EF"/>
    <w:rsid w:val="00A375BD"/>
    <w:rsid w:val="00A434C6"/>
    <w:rsid w:val="00A505FC"/>
    <w:rsid w:val="00A525D4"/>
    <w:rsid w:val="00A55856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AF6DD2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43809"/>
    <w:rsid w:val="00F53D8A"/>
    <w:rsid w:val="00F5783E"/>
    <w:rsid w:val="00F63730"/>
    <w:rsid w:val="00F64832"/>
    <w:rsid w:val="00F874AD"/>
    <w:rsid w:val="00FA2CBA"/>
    <w:rsid w:val="00FC2095"/>
    <w:rsid w:val="00FE098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purl.org/dc/elements/1.1/"/>
    <ds:schemaRef ds:uri="http://schemas.openxmlformats.org/package/2006/metadata/core-properties"/>
    <ds:schemaRef ds:uri="df30a891-99dc-44a0-9782-3a4c8c525d86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94004b3-5c85-4b6f-b2cb-b6e165aced0d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2428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Menyhárt Ondřej</cp:lastModifiedBy>
  <cp:revision>16</cp:revision>
  <cp:lastPrinted>2022-06-08T12:14:00Z</cp:lastPrinted>
  <dcterms:created xsi:type="dcterms:W3CDTF">2022-05-16T07:10:00Z</dcterms:created>
  <dcterms:modified xsi:type="dcterms:W3CDTF">2022-06-27T13:39:00Z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