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435A9" w14:textId="11BE6A5F" w:rsidR="00390617" w:rsidRPr="0088599E" w:rsidRDefault="0088599E" w:rsidP="00390617">
      <w:pPr>
        <w:pStyle w:val="Stednmka1zvraznn21"/>
        <w:shd w:val="clear" w:color="auto" w:fill="FFFFFF"/>
        <w:spacing w:after="200"/>
        <w:ind w:left="709"/>
        <w:jc w:val="both"/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</w:pPr>
      <w:r w:rsidRPr="0088599E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PŘÍLOHA </w:t>
      </w:r>
      <w:r w:rsidR="006F4F57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>č</w:t>
      </w:r>
      <w:r w:rsidRPr="0088599E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>. 3</w:t>
      </w:r>
      <w:r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>c</w:t>
      </w:r>
      <w:r w:rsidRPr="0088599E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– PRAVIDLA PRO VÝPOČET ZMĚNY KOMPENZACE</w:t>
      </w:r>
    </w:p>
    <w:p w14:paraId="4CBB8DA1" w14:textId="77777777" w:rsidR="00390617" w:rsidRDefault="00390617" w:rsidP="002967F1">
      <w:pPr>
        <w:pStyle w:val="Stednmka1zvraznn21"/>
        <w:shd w:val="clear" w:color="auto" w:fill="FFFFFF"/>
        <w:spacing w:after="200"/>
        <w:ind w:left="709"/>
        <w:jc w:val="both"/>
        <w:rPr>
          <w:rFonts w:asciiTheme="minorHAnsi" w:hAnsiTheme="minorHAnsi" w:cstheme="minorHAnsi"/>
          <w:b/>
          <w:spacing w:val="-1"/>
          <w:sz w:val="22"/>
          <w:szCs w:val="22"/>
        </w:rPr>
      </w:pPr>
    </w:p>
    <w:p w14:paraId="52352F6E" w14:textId="5AF03F2F" w:rsidR="002967F1" w:rsidRDefault="006F4F57" w:rsidP="00775A8F">
      <w:pPr>
        <w:pStyle w:val="Stednmka1zvraznn21"/>
        <w:shd w:val="clear" w:color="auto" w:fill="FFFFFF"/>
        <w:spacing w:after="200"/>
        <w:ind w:left="709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Provozní soubor A</w:t>
      </w:r>
    </w:p>
    <w:p w14:paraId="5D6975E9" w14:textId="77777777" w:rsidR="009F5A5C" w:rsidRDefault="009F5A5C" w:rsidP="00775A8F">
      <w:pPr>
        <w:pStyle w:val="Stednmka1zvraznn21"/>
        <w:shd w:val="clear" w:color="auto" w:fill="FFFFFF"/>
        <w:spacing w:after="200"/>
        <w:ind w:left="709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4A1D5CDF" w14:textId="35267DDB" w:rsidR="00200313" w:rsidRPr="008147EE" w:rsidRDefault="00200313" w:rsidP="0088599E">
      <w:pPr>
        <w:pStyle w:val="Nadpis1"/>
        <w:numPr>
          <w:ilvl w:val="0"/>
          <w:numId w:val="4"/>
        </w:numPr>
        <w:rPr>
          <w:sz w:val="28"/>
          <w:szCs w:val="28"/>
        </w:rPr>
      </w:pPr>
      <w:r w:rsidRPr="0088599E">
        <w:rPr>
          <w:sz w:val="28"/>
          <w:szCs w:val="28"/>
        </w:rPr>
        <w:t xml:space="preserve">Výpočet </w:t>
      </w:r>
      <w:r w:rsidR="002967F1" w:rsidRPr="0088599E">
        <w:rPr>
          <w:sz w:val="28"/>
          <w:szCs w:val="28"/>
        </w:rPr>
        <w:t xml:space="preserve">nové hodnoty </w:t>
      </w:r>
      <w:r w:rsidR="00DC33C7" w:rsidRPr="008147EE">
        <w:rPr>
          <w:sz w:val="28"/>
          <w:szCs w:val="28"/>
        </w:rPr>
        <w:t xml:space="preserve">Kompenzace z důvodu </w:t>
      </w:r>
      <w:r w:rsidR="002967F1" w:rsidRPr="008147EE">
        <w:rPr>
          <w:sz w:val="28"/>
          <w:szCs w:val="28"/>
        </w:rPr>
        <w:t xml:space="preserve">meziroční </w:t>
      </w:r>
      <w:r w:rsidR="00DC33C7" w:rsidRPr="008147EE">
        <w:rPr>
          <w:sz w:val="28"/>
          <w:szCs w:val="28"/>
        </w:rPr>
        <w:t>změny cenové hladiny</w:t>
      </w:r>
    </w:p>
    <w:p w14:paraId="6380BBCA" w14:textId="7D2D77AD" w:rsidR="002967F1" w:rsidRPr="0088599E" w:rsidRDefault="002967F1" w:rsidP="00775A8F">
      <w:pPr>
        <w:pStyle w:val="Stednmka1zvraznn21"/>
        <w:shd w:val="clear" w:color="auto" w:fill="FFFFFF"/>
        <w:spacing w:after="200"/>
        <w:ind w:left="709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5455238E" w14:textId="56A6A4D1" w:rsidR="000855A9" w:rsidRDefault="007D01B9" w:rsidP="00775A8F">
      <w:pPr>
        <w:pStyle w:val="Stednmka1zvraznn21"/>
        <w:shd w:val="clear" w:color="auto" w:fill="FFFFFF"/>
        <w:spacing w:after="200"/>
        <w:ind w:left="709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5A645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Dopravce předložil výchozí finanční model, který </w:t>
      </w:r>
      <w:r w:rsidR="00414ED8" w:rsidRPr="005A6459">
        <w:rPr>
          <w:rFonts w:asciiTheme="minorHAnsi" w:eastAsia="Calibri" w:hAnsiTheme="minorHAnsi" w:cs="Calibri"/>
          <w:sz w:val="22"/>
          <w:szCs w:val="22"/>
          <w:lang w:eastAsia="en-US"/>
        </w:rPr>
        <w:t>obsahuje specifikaci jednotkové základní Ceny dopravního výkonu v Kč/vlkm, specifikaci jednotkové variabilní Ceny dopravního výkonu v Kč/vlkm</w:t>
      </w:r>
      <w:r w:rsidR="0088599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a</w:t>
      </w:r>
      <w:r w:rsidR="00414ED8" w:rsidRPr="005A645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specifikaci </w:t>
      </w:r>
      <w:r w:rsidR="0088599E" w:rsidRPr="005A645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jednotkové variabilní </w:t>
      </w:r>
      <w:r w:rsidR="00414ED8" w:rsidRPr="005A6459">
        <w:rPr>
          <w:rFonts w:asciiTheme="minorHAnsi" w:eastAsia="Calibri" w:hAnsiTheme="minorHAnsi" w:cs="Calibri"/>
          <w:sz w:val="22"/>
          <w:szCs w:val="22"/>
          <w:lang w:eastAsia="en-US"/>
        </w:rPr>
        <w:t>Ceny za zdvojenou soupravu</w:t>
      </w:r>
      <w:r w:rsidR="0088599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88599E" w:rsidRPr="005A6459">
        <w:rPr>
          <w:rFonts w:asciiTheme="minorHAnsi" w:eastAsia="Calibri" w:hAnsiTheme="minorHAnsi" w:cs="Calibri"/>
          <w:sz w:val="22"/>
          <w:szCs w:val="22"/>
          <w:lang w:eastAsia="en-US"/>
        </w:rPr>
        <w:t>v Kč/vlkm</w:t>
      </w:r>
      <w:r w:rsidR="00414ED8" w:rsidRPr="005A6459">
        <w:rPr>
          <w:rFonts w:asciiTheme="minorHAnsi" w:eastAsia="Calibri" w:hAnsiTheme="minorHAnsi" w:cs="Calibri"/>
          <w:sz w:val="22"/>
          <w:szCs w:val="22"/>
          <w:lang w:eastAsia="en-US"/>
        </w:rPr>
        <w:t>, které jsou závazné pro výpočet Kompenzace po dobu platnosti Smlouvy</w:t>
      </w:r>
      <w:r w:rsidRPr="005A645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, </w:t>
      </w:r>
      <w:r w:rsidR="00414ED8" w:rsidRPr="005A645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a </w:t>
      </w:r>
      <w:r w:rsidRPr="005A645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který bude sloužit jako základ pro výpočet nové hodnoty Kompenzace z důvodu meziroční změny cenové hladiny. </w:t>
      </w:r>
    </w:p>
    <w:p w14:paraId="520DD678" w14:textId="13AB3C86" w:rsidR="00F359A2" w:rsidRPr="005A6459" w:rsidRDefault="00F359A2" w:rsidP="00775A8F">
      <w:pPr>
        <w:pStyle w:val="Stednmka1zvraznn21"/>
        <w:shd w:val="clear" w:color="auto" w:fill="FFFFFF"/>
        <w:spacing w:after="200"/>
        <w:ind w:left="709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Výchozí data finančního modelu jsou v cenové úrovni roku 2018.</w:t>
      </w:r>
    </w:p>
    <w:p w14:paraId="0F86D9CF" w14:textId="5B6BAC20" w:rsidR="007D01B9" w:rsidRDefault="00775A8F" w:rsidP="002967F1">
      <w:pPr>
        <w:ind w:left="709"/>
        <w:jc w:val="both"/>
        <w:rPr>
          <w:rFonts w:asciiTheme="minorHAnsi" w:hAnsiTheme="minorHAnsi" w:cs="Calibri"/>
        </w:rPr>
      </w:pPr>
      <w:r w:rsidRPr="00535A82">
        <w:rPr>
          <w:rFonts w:asciiTheme="minorHAnsi" w:hAnsiTheme="minorHAnsi" w:cs="Calibri"/>
        </w:rPr>
        <w:t xml:space="preserve">Úprava </w:t>
      </w:r>
      <w:r>
        <w:rPr>
          <w:rFonts w:asciiTheme="minorHAnsi" w:hAnsiTheme="minorHAnsi" w:cs="Calibri"/>
        </w:rPr>
        <w:t>K</w:t>
      </w:r>
      <w:r w:rsidRPr="00535A82">
        <w:rPr>
          <w:rFonts w:asciiTheme="minorHAnsi" w:hAnsiTheme="minorHAnsi" w:cs="Calibri"/>
        </w:rPr>
        <w:t>ompenzace z důvodu změny cenové hladiny v čase bude realizována vždy</w:t>
      </w:r>
      <w:r w:rsidRPr="00535A82">
        <w:rPr>
          <w:rFonts w:asciiTheme="minorHAnsi" w:hAnsiTheme="minorHAnsi" w:cs="Calibri"/>
        </w:rPr>
        <w:br/>
        <w:t xml:space="preserve">na období platnosti </w:t>
      </w:r>
      <w:r w:rsidR="00292B2E">
        <w:rPr>
          <w:rFonts w:asciiTheme="minorHAnsi" w:hAnsiTheme="minorHAnsi" w:cs="Calibri"/>
        </w:rPr>
        <w:t>jednoho kalendářního rok</w:t>
      </w:r>
      <w:r w:rsidRPr="00535A82">
        <w:rPr>
          <w:rFonts w:asciiTheme="minorHAnsi" w:hAnsiTheme="minorHAnsi" w:cs="Calibri"/>
        </w:rPr>
        <w:t>u</w:t>
      </w:r>
      <w:r w:rsidR="00414ED8">
        <w:rPr>
          <w:rFonts w:asciiTheme="minorHAnsi" w:hAnsiTheme="minorHAnsi" w:cs="Calibri"/>
        </w:rPr>
        <w:t xml:space="preserve"> dle následujícího postupu:</w:t>
      </w:r>
    </w:p>
    <w:p w14:paraId="4CB71C72" w14:textId="51037A61" w:rsidR="00414ED8" w:rsidRDefault="00414ED8" w:rsidP="005A6459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Nejdříve dojde k úpravě dotčených položek finančního modelu s použitím odpovídajících indexů dle následující tabulky (pro rok 2020 se použijí </w:t>
      </w:r>
      <w:r w:rsidR="0088599E">
        <w:rPr>
          <w:rFonts w:asciiTheme="minorHAnsi" w:hAnsiTheme="minorHAnsi" w:cs="Calibri"/>
        </w:rPr>
        <w:t xml:space="preserve">přepočtené </w:t>
      </w:r>
      <w:r>
        <w:rPr>
          <w:rFonts w:asciiTheme="minorHAnsi" w:hAnsiTheme="minorHAnsi" w:cs="Calibri"/>
        </w:rPr>
        <w:t xml:space="preserve">hodnoty </w:t>
      </w:r>
      <w:r w:rsidR="005A6459">
        <w:rPr>
          <w:rFonts w:asciiTheme="minorHAnsi" w:hAnsiTheme="minorHAnsi" w:cs="Calibri"/>
        </w:rPr>
        <w:t>položek z výchozího finančního modelu</w:t>
      </w:r>
      <w:r w:rsidR="0088599E">
        <w:rPr>
          <w:rFonts w:asciiTheme="minorHAnsi" w:hAnsiTheme="minorHAnsi" w:cs="Calibri"/>
        </w:rPr>
        <w:t xml:space="preserve"> předloženého Dopravcem v cenové úrovni roku 2018</w:t>
      </w:r>
      <w:r w:rsidR="005A6459">
        <w:rPr>
          <w:rFonts w:asciiTheme="minorHAnsi" w:hAnsiTheme="minorHAnsi" w:cs="Calibri"/>
        </w:rPr>
        <w:t xml:space="preserve">, v ostatních letech se použije </w:t>
      </w:r>
      <w:r w:rsidR="00F359A2">
        <w:rPr>
          <w:rFonts w:asciiTheme="minorHAnsi" w:hAnsiTheme="minorHAnsi" w:cs="Calibri"/>
        </w:rPr>
        <w:t>přepočet podle následující tabulky s tím, že se vždy zohlední index k výchozím datům</w:t>
      </w:r>
      <w:r w:rsidR="005A6459">
        <w:rPr>
          <w:rFonts w:asciiTheme="minorHAnsi" w:hAnsiTheme="minorHAnsi" w:cs="Calibri"/>
        </w:rPr>
        <w:t>)</w:t>
      </w:r>
      <w:r>
        <w:rPr>
          <w:rFonts w:asciiTheme="minorHAnsi" w:hAnsiTheme="minorHAnsi" w:cs="Calibri"/>
        </w:rPr>
        <w:t>:</w:t>
      </w:r>
    </w:p>
    <w:p w14:paraId="041AD5FD" w14:textId="1C275EC2" w:rsidR="00F359A2" w:rsidRDefault="00F359A2" w:rsidP="00F359A2">
      <w:pPr>
        <w:jc w:val="both"/>
        <w:rPr>
          <w:rFonts w:asciiTheme="minorHAnsi" w:hAnsiTheme="minorHAnsi" w:cs="Calibri"/>
        </w:rPr>
      </w:pPr>
    </w:p>
    <w:p w14:paraId="2D6B01D5" w14:textId="7D321B8C" w:rsidR="00F359A2" w:rsidRDefault="00F359A2" w:rsidP="00F359A2">
      <w:pPr>
        <w:jc w:val="both"/>
        <w:rPr>
          <w:rFonts w:asciiTheme="minorHAnsi" w:hAnsiTheme="minorHAnsi" w:cs="Calibri"/>
        </w:rPr>
      </w:pPr>
    </w:p>
    <w:p w14:paraId="0657BB88" w14:textId="50C9EF14" w:rsidR="00F359A2" w:rsidRPr="0059088F" w:rsidRDefault="00F359A2" w:rsidP="0059088F">
      <w:pPr>
        <w:jc w:val="both"/>
        <w:rPr>
          <w:rFonts w:asciiTheme="minorHAnsi" w:hAnsiTheme="minorHAnsi" w:cs="Calibri"/>
        </w:rPr>
      </w:pPr>
      <w:r w:rsidRPr="00F359A2">
        <w:rPr>
          <w:noProof/>
          <w:lang w:eastAsia="cs-CZ"/>
        </w:rPr>
        <w:lastRenderedPageBreak/>
        <w:drawing>
          <wp:inline distT="0" distB="0" distL="0" distR="0" wp14:anchorId="56517B01" wp14:editId="3F6D70CD">
            <wp:extent cx="5760720" cy="813181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EBD77" w14:textId="48F58DC0" w:rsidR="00292B2E" w:rsidRDefault="00292B2E" w:rsidP="002967F1">
      <w:pPr>
        <w:ind w:left="709"/>
        <w:jc w:val="both"/>
        <w:rPr>
          <w:rFonts w:asciiTheme="minorHAnsi" w:hAnsiTheme="minorHAnsi" w:cs="Calibri"/>
        </w:rPr>
      </w:pPr>
    </w:p>
    <w:p w14:paraId="63873A8C" w14:textId="77777777" w:rsidR="00292B2E" w:rsidRDefault="00292B2E" w:rsidP="002967F1">
      <w:pPr>
        <w:ind w:left="709"/>
        <w:jc w:val="both"/>
        <w:rPr>
          <w:rFonts w:asciiTheme="minorHAnsi" w:hAnsiTheme="minorHAnsi" w:cs="Calibri"/>
        </w:rPr>
      </w:pPr>
    </w:p>
    <w:p w14:paraId="3E2D0416" w14:textId="77777777" w:rsidR="0097675B" w:rsidRDefault="0097675B" w:rsidP="002967F1">
      <w:pPr>
        <w:ind w:left="709"/>
        <w:jc w:val="both"/>
        <w:rPr>
          <w:rFonts w:asciiTheme="minorHAnsi" w:hAnsiTheme="minorHAnsi" w:cs="Calibri"/>
        </w:rPr>
      </w:pPr>
    </w:p>
    <w:p w14:paraId="6002940F" w14:textId="103B4380" w:rsidR="00775CF7" w:rsidRDefault="00775CF7" w:rsidP="002967F1">
      <w:pPr>
        <w:ind w:left="709"/>
        <w:jc w:val="both"/>
        <w:rPr>
          <w:rFonts w:asciiTheme="minorHAnsi" w:hAnsiTheme="minorHAnsi" w:cs="Calibri"/>
        </w:rPr>
      </w:pPr>
    </w:p>
    <w:p w14:paraId="4F208565" w14:textId="2DAA5BD8" w:rsidR="00F359A2" w:rsidRDefault="00F359A2" w:rsidP="002967F1">
      <w:pPr>
        <w:ind w:left="709"/>
        <w:jc w:val="both"/>
        <w:rPr>
          <w:rFonts w:asciiTheme="minorHAnsi" w:hAnsiTheme="minorHAnsi" w:cs="Calibri"/>
        </w:rPr>
      </w:pPr>
    </w:p>
    <w:p w14:paraId="7B923360" w14:textId="77777777" w:rsidR="00F359A2" w:rsidRDefault="00F359A2" w:rsidP="002967F1">
      <w:pPr>
        <w:ind w:left="709"/>
        <w:jc w:val="both"/>
        <w:rPr>
          <w:rFonts w:asciiTheme="minorHAnsi" w:hAnsiTheme="minorHAnsi" w:cs="Calibri"/>
        </w:rPr>
      </w:pPr>
    </w:p>
    <w:p w14:paraId="74413759" w14:textId="3F6732BD" w:rsidR="005A6459" w:rsidRPr="005A6459" w:rsidRDefault="00414ED8" w:rsidP="0059088F">
      <w:pPr>
        <w:pStyle w:val="Odstavecseseznamem"/>
        <w:ind w:left="1069"/>
        <w:jc w:val="both"/>
        <w:rPr>
          <w:rFonts w:asciiTheme="minorHAnsi" w:hAnsiTheme="minorHAnsi" w:cs="Calibri"/>
        </w:rPr>
      </w:pPr>
      <w:r w:rsidRPr="005A6459">
        <w:rPr>
          <w:rFonts w:asciiTheme="minorHAnsi" w:hAnsiTheme="minorHAnsi" w:cs="Calibri"/>
        </w:rPr>
        <w:t xml:space="preserve">Na základě upravených položek </w:t>
      </w:r>
      <w:r w:rsidR="005A6459" w:rsidRPr="005A6459">
        <w:rPr>
          <w:rFonts w:asciiTheme="minorHAnsi" w:hAnsiTheme="minorHAnsi" w:cs="Calibri"/>
        </w:rPr>
        <w:t xml:space="preserve">je stanovena nová výše </w:t>
      </w:r>
      <w:r w:rsidR="005A6459" w:rsidRPr="005A6459">
        <w:rPr>
          <w:rFonts w:asciiTheme="minorHAnsi" w:hAnsiTheme="minorHAnsi" w:cstheme="minorHAnsi"/>
          <w:spacing w:val="-1"/>
        </w:rPr>
        <w:t xml:space="preserve">Ceny dopravního výkonu v Kč/vlkm, jednotkové variabilní Ceny dopravního výkonu v Kč/vlkm, </w:t>
      </w:r>
      <w:r w:rsidR="0088599E" w:rsidRPr="005A6459">
        <w:rPr>
          <w:rFonts w:asciiTheme="minorHAnsi" w:hAnsiTheme="minorHAnsi" w:cstheme="minorHAnsi"/>
          <w:spacing w:val="-1"/>
        </w:rPr>
        <w:t xml:space="preserve">jednotkové variabilní </w:t>
      </w:r>
      <w:r w:rsidR="005A6459" w:rsidRPr="005A6459">
        <w:rPr>
          <w:rFonts w:asciiTheme="minorHAnsi" w:hAnsiTheme="minorHAnsi" w:cstheme="minorHAnsi"/>
          <w:spacing w:val="-1"/>
        </w:rPr>
        <w:t xml:space="preserve">Ceny za zdvojenou soupravu v Kč/vlkm. </w:t>
      </w:r>
    </w:p>
    <w:p w14:paraId="68A9E4C6" w14:textId="3E300814" w:rsidR="00414ED8" w:rsidRDefault="005A6459" w:rsidP="00414ED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Nová výše </w:t>
      </w:r>
      <w:r w:rsidR="0088599E">
        <w:rPr>
          <w:rFonts w:asciiTheme="minorHAnsi" w:hAnsiTheme="minorHAnsi" w:cs="Calibri"/>
        </w:rPr>
        <w:t>K</w:t>
      </w:r>
      <w:r>
        <w:rPr>
          <w:rFonts w:asciiTheme="minorHAnsi" w:hAnsiTheme="minorHAnsi" w:cs="Calibri"/>
        </w:rPr>
        <w:t xml:space="preserve">ompenzace pro </w:t>
      </w:r>
      <w:r w:rsidR="0088599E">
        <w:rPr>
          <w:rFonts w:asciiTheme="minorHAnsi" w:hAnsiTheme="minorHAnsi" w:cs="Calibri"/>
        </w:rPr>
        <w:t xml:space="preserve">příslušný kalendářní </w:t>
      </w:r>
      <w:r>
        <w:rPr>
          <w:rFonts w:asciiTheme="minorHAnsi" w:hAnsiTheme="minorHAnsi" w:cs="Calibri"/>
        </w:rPr>
        <w:t xml:space="preserve">rok pak bude stanovena s využitím takto upravených cen. </w:t>
      </w:r>
      <w:r w:rsidR="00414ED8">
        <w:rPr>
          <w:rFonts w:asciiTheme="minorHAnsi" w:hAnsiTheme="minorHAnsi" w:cs="Calibri"/>
        </w:rPr>
        <w:t xml:space="preserve">  </w:t>
      </w:r>
    </w:p>
    <w:p w14:paraId="0A0C37C2" w14:textId="77777777" w:rsidR="0088599E" w:rsidRPr="0088599E" w:rsidRDefault="0088599E" w:rsidP="0088599E">
      <w:pPr>
        <w:shd w:val="clear" w:color="auto" w:fill="FFFFFF"/>
        <w:spacing w:after="120"/>
        <w:ind w:left="709"/>
        <w:jc w:val="center"/>
        <w:rPr>
          <w:rFonts w:ascii="Segoe UI" w:hAnsi="Segoe UI" w:cs="Segoe UI"/>
          <w:b/>
          <w:bCs/>
        </w:rPr>
      </w:pPr>
      <w:r w:rsidRPr="0088599E">
        <w:rPr>
          <w:rFonts w:ascii="Segoe UI" w:hAnsi="Segoe UI" w:cs="Segoe UI"/>
          <w:b/>
          <w:bCs/>
        </w:rPr>
        <w:t>Kskuti =  Nref * CDVi + (Nobji – Nref)*VCDVi – Nni * VCDVi + (Nobj2i – N2ref – Nn2i)*VCDV2i – Si - Vi</w:t>
      </w:r>
    </w:p>
    <w:p w14:paraId="11C3B3C5" w14:textId="77777777" w:rsidR="0088599E" w:rsidRPr="0088599E" w:rsidRDefault="0088599E" w:rsidP="0088599E">
      <w:pPr>
        <w:shd w:val="clear" w:color="auto" w:fill="FFFFFF"/>
        <w:spacing w:after="120"/>
        <w:ind w:left="709"/>
        <w:jc w:val="both"/>
        <w:rPr>
          <w:rFonts w:asciiTheme="minorHAnsi" w:hAnsiTheme="minorHAnsi" w:cstheme="minorHAnsi"/>
          <w:spacing w:val="-1"/>
        </w:rPr>
      </w:pPr>
      <w:r w:rsidRPr="0088599E">
        <w:rPr>
          <w:rFonts w:asciiTheme="minorHAnsi" w:hAnsiTheme="minorHAnsi" w:cstheme="minorHAnsi"/>
          <w:spacing w:val="-1"/>
        </w:rPr>
        <w:tab/>
        <w:t xml:space="preserve">kde: </w:t>
      </w:r>
    </w:p>
    <w:p w14:paraId="1BD43914" w14:textId="77777777" w:rsidR="0088599E" w:rsidRPr="0088599E" w:rsidRDefault="0088599E" w:rsidP="0088599E">
      <w:pPr>
        <w:shd w:val="clear" w:color="auto" w:fill="FFFFFF"/>
        <w:spacing w:after="120"/>
        <w:ind w:left="709"/>
        <w:jc w:val="both"/>
        <w:rPr>
          <w:rFonts w:asciiTheme="minorHAnsi" w:hAnsiTheme="minorHAnsi" w:cstheme="minorHAnsi"/>
          <w:spacing w:val="-1"/>
        </w:rPr>
      </w:pPr>
      <w:r w:rsidRPr="0088599E">
        <w:rPr>
          <w:rFonts w:asciiTheme="minorHAnsi" w:hAnsiTheme="minorHAnsi" w:cstheme="minorHAnsi"/>
          <w:spacing w:val="-1"/>
        </w:rPr>
        <w:tab/>
      </w:r>
      <w:r w:rsidRPr="0088599E">
        <w:rPr>
          <w:rFonts w:asciiTheme="minorHAnsi" w:hAnsiTheme="minorHAnsi" w:cstheme="minorHAnsi"/>
          <w:b/>
          <w:spacing w:val="-1"/>
        </w:rPr>
        <w:t xml:space="preserve">Kskuti </w:t>
      </w:r>
      <w:r w:rsidRPr="0088599E">
        <w:rPr>
          <w:rFonts w:asciiTheme="minorHAnsi" w:hAnsiTheme="minorHAnsi" w:cstheme="minorHAnsi"/>
          <w:spacing w:val="-1"/>
        </w:rPr>
        <w:t>je skutečná výše kompenzace v i-tém kalendářním roce</w:t>
      </w:r>
    </w:p>
    <w:p w14:paraId="379E63B2" w14:textId="77777777" w:rsidR="0088599E" w:rsidRPr="0088599E" w:rsidRDefault="0088599E" w:rsidP="0088599E">
      <w:pPr>
        <w:shd w:val="clear" w:color="auto" w:fill="FFFFFF"/>
        <w:spacing w:after="120"/>
        <w:ind w:left="709"/>
        <w:jc w:val="both"/>
        <w:rPr>
          <w:rFonts w:asciiTheme="minorHAnsi" w:hAnsiTheme="minorHAnsi" w:cstheme="minorHAnsi"/>
          <w:spacing w:val="-1"/>
        </w:rPr>
      </w:pPr>
      <w:r w:rsidRPr="0088599E">
        <w:rPr>
          <w:rFonts w:asciiTheme="minorHAnsi" w:hAnsiTheme="minorHAnsi" w:cstheme="minorHAnsi"/>
          <w:spacing w:val="-1"/>
        </w:rPr>
        <w:tab/>
      </w:r>
      <w:r w:rsidRPr="0088599E">
        <w:rPr>
          <w:rFonts w:asciiTheme="minorHAnsi" w:hAnsiTheme="minorHAnsi" w:cstheme="minorHAnsi"/>
          <w:b/>
          <w:spacing w:val="-1"/>
        </w:rPr>
        <w:t>Nref</w:t>
      </w:r>
      <w:r w:rsidRPr="0088599E">
        <w:rPr>
          <w:rFonts w:asciiTheme="minorHAnsi" w:hAnsiTheme="minorHAnsi" w:cstheme="minorHAnsi"/>
          <w:spacing w:val="-1"/>
        </w:rPr>
        <w:t xml:space="preserve"> je Základní rozsah dopravního výkonu</w:t>
      </w:r>
    </w:p>
    <w:p w14:paraId="52637CAE" w14:textId="77777777" w:rsidR="0088599E" w:rsidRPr="0088599E" w:rsidRDefault="0088599E" w:rsidP="0088599E">
      <w:pPr>
        <w:shd w:val="clear" w:color="auto" w:fill="FFFFFF"/>
        <w:spacing w:after="120"/>
        <w:ind w:left="709"/>
        <w:jc w:val="both"/>
        <w:rPr>
          <w:rFonts w:asciiTheme="minorHAnsi" w:hAnsiTheme="minorHAnsi" w:cstheme="minorHAnsi"/>
          <w:spacing w:val="-1"/>
        </w:rPr>
      </w:pPr>
      <w:r w:rsidRPr="0088599E">
        <w:rPr>
          <w:rFonts w:asciiTheme="minorHAnsi" w:hAnsiTheme="minorHAnsi" w:cstheme="minorHAnsi"/>
          <w:spacing w:val="-1"/>
        </w:rPr>
        <w:tab/>
      </w:r>
      <w:r w:rsidRPr="0088599E">
        <w:rPr>
          <w:rFonts w:asciiTheme="minorHAnsi" w:hAnsiTheme="minorHAnsi" w:cstheme="minorHAnsi"/>
          <w:b/>
          <w:spacing w:val="-1"/>
        </w:rPr>
        <w:t>CDVi</w:t>
      </w:r>
      <w:r w:rsidRPr="0088599E">
        <w:rPr>
          <w:rFonts w:asciiTheme="minorHAnsi" w:hAnsiTheme="minorHAnsi" w:cstheme="minorHAnsi"/>
          <w:spacing w:val="-1"/>
        </w:rPr>
        <w:t xml:space="preserve"> je základní Cena dopravního výkonu v i-tém kalendářním roce</w:t>
      </w:r>
    </w:p>
    <w:p w14:paraId="4DB2F0F5" w14:textId="77777777" w:rsidR="0088599E" w:rsidRPr="0088599E" w:rsidRDefault="0088599E" w:rsidP="0088599E">
      <w:pPr>
        <w:shd w:val="clear" w:color="auto" w:fill="FFFFFF"/>
        <w:spacing w:after="120"/>
        <w:ind w:left="709"/>
        <w:jc w:val="both"/>
        <w:rPr>
          <w:rFonts w:asciiTheme="minorHAnsi" w:hAnsiTheme="minorHAnsi" w:cstheme="minorHAnsi"/>
          <w:spacing w:val="-1"/>
        </w:rPr>
      </w:pPr>
      <w:r w:rsidRPr="0088599E">
        <w:rPr>
          <w:rFonts w:asciiTheme="minorHAnsi" w:hAnsiTheme="minorHAnsi" w:cstheme="minorHAnsi"/>
          <w:spacing w:val="-1"/>
        </w:rPr>
        <w:tab/>
      </w:r>
      <w:r w:rsidRPr="0088599E">
        <w:rPr>
          <w:rFonts w:asciiTheme="minorHAnsi" w:hAnsiTheme="minorHAnsi" w:cstheme="minorHAnsi"/>
          <w:b/>
          <w:spacing w:val="-1"/>
        </w:rPr>
        <w:t>Nobji</w:t>
      </w:r>
      <w:r w:rsidRPr="0088599E">
        <w:rPr>
          <w:rFonts w:asciiTheme="minorHAnsi" w:hAnsiTheme="minorHAnsi" w:cstheme="minorHAnsi"/>
          <w:spacing w:val="-1"/>
        </w:rPr>
        <w:t xml:space="preserve"> je Uskutečněný dopravní výkon v i-tém kalendářním roce</w:t>
      </w:r>
    </w:p>
    <w:p w14:paraId="64D2C75C" w14:textId="77777777" w:rsidR="0088599E" w:rsidRPr="0088599E" w:rsidRDefault="0088599E" w:rsidP="0088599E">
      <w:pPr>
        <w:shd w:val="clear" w:color="auto" w:fill="FFFFFF"/>
        <w:spacing w:after="120"/>
        <w:ind w:left="709"/>
        <w:jc w:val="both"/>
        <w:rPr>
          <w:rFonts w:asciiTheme="minorHAnsi" w:hAnsiTheme="minorHAnsi" w:cstheme="minorHAnsi"/>
          <w:spacing w:val="-1"/>
        </w:rPr>
      </w:pPr>
      <w:r w:rsidRPr="0088599E">
        <w:rPr>
          <w:rFonts w:asciiTheme="minorHAnsi" w:hAnsiTheme="minorHAnsi" w:cstheme="minorHAnsi"/>
          <w:spacing w:val="-1"/>
        </w:rPr>
        <w:tab/>
      </w:r>
      <w:r w:rsidRPr="0088599E">
        <w:rPr>
          <w:rFonts w:asciiTheme="minorHAnsi" w:hAnsiTheme="minorHAnsi" w:cstheme="minorHAnsi"/>
          <w:b/>
          <w:spacing w:val="-1"/>
        </w:rPr>
        <w:t>VCDVi</w:t>
      </w:r>
      <w:r w:rsidRPr="0088599E">
        <w:rPr>
          <w:rFonts w:asciiTheme="minorHAnsi" w:hAnsiTheme="minorHAnsi" w:cstheme="minorHAnsi"/>
          <w:spacing w:val="-1"/>
        </w:rPr>
        <w:t xml:space="preserve"> je variabilní Cena dopravního výkonu v i-tém kalendářním roce</w:t>
      </w:r>
    </w:p>
    <w:p w14:paraId="053704E5" w14:textId="77777777" w:rsidR="0088599E" w:rsidRPr="0088599E" w:rsidRDefault="0088599E" w:rsidP="0088599E">
      <w:pPr>
        <w:shd w:val="clear" w:color="auto" w:fill="FFFFFF"/>
        <w:spacing w:after="120"/>
        <w:ind w:left="1416"/>
        <w:jc w:val="both"/>
        <w:rPr>
          <w:rFonts w:asciiTheme="minorHAnsi" w:hAnsiTheme="minorHAnsi" w:cstheme="minorHAnsi"/>
          <w:spacing w:val="-1"/>
        </w:rPr>
      </w:pPr>
      <w:r w:rsidRPr="0088599E">
        <w:rPr>
          <w:rFonts w:asciiTheme="minorHAnsi" w:hAnsiTheme="minorHAnsi" w:cstheme="minorHAnsi"/>
          <w:b/>
          <w:spacing w:val="-1"/>
        </w:rPr>
        <w:t>Nni</w:t>
      </w:r>
      <w:r w:rsidRPr="0088599E">
        <w:rPr>
          <w:rFonts w:asciiTheme="minorHAnsi" w:hAnsiTheme="minorHAnsi" w:cstheme="minorHAnsi"/>
          <w:spacing w:val="-1"/>
        </w:rPr>
        <w:t xml:space="preserve"> je rozsah Neuplatnitelného dopravního výkonu v i-tém kalendářním roce</w:t>
      </w:r>
    </w:p>
    <w:p w14:paraId="2AC36AF5" w14:textId="77777777" w:rsidR="0088599E" w:rsidRPr="0088599E" w:rsidRDefault="0088599E" w:rsidP="0088599E">
      <w:pPr>
        <w:shd w:val="clear" w:color="auto" w:fill="FFFFFF"/>
        <w:spacing w:after="120"/>
        <w:ind w:left="1416"/>
        <w:jc w:val="both"/>
        <w:rPr>
          <w:rFonts w:asciiTheme="minorHAnsi" w:hAnsiTheme="minorHAnsi" w:cstheme="minorHAnsi"/>
          <w:spacing w:val="-1"/>
        </w:rPr>
      </w:pPr>
      <w:r w:rsidRPr="0088599E">
        <w:rPr>
          <w:rFonts w:asciiTheme="minorHAnsi" w:hAnsiTheme="minorHAnsi" w:cstheme="minorHAnsi"/>
          <w:b/>
          <w:spacing w:val="-1"/>
        </w:rPr>
        <w:t>Si</w:t>
      </w:r>
      <w:r w:rsidRPr="0088599E">
        <w:rPr>
          <w:rFonts w:asciiTheme="minorHAnsi" w:hAnsiTheme="minorHAnsi" w:cstheme="minorHAnsi"/>
          <w:spacing w:val="-1"/>
        </w:rPr>
        <w:t xml:space="preserve"> jsou smluvní sankce, které byly oprávněně uplatněny Objednatelem v i-tém kalendářním roce, byly splatné a nebyly Dopravcem ke dni vyúčtování Kompenzace uhrazeny</w:t>
      </w:r>
    </w:p>
    <w:p w14:paraId="25EB0176" w14:textId="77777777" w:rsidR="0088599E" w:rsidRPr="0088599E" w:rsidRDefault="0088599E" w:rsidP="0088599E">
      <w:pPr>
        <w:shd w:val="clear" w:color="auto" w:fill="FFFFFF"/>
        <w:spacing w:after="120"/>
        <w:ind w:left="1416"/>
        <w:jc w:val="both"/>
        <w:rPr>
          <w:rFonts w:asciiTheme="minorHAnsi" w:hAnsiTheme="minorHAnsi" w:cstheme="minorHAnsi"/>
          <w:spacing w:val="-1"/>
        </w:rPr>
      </w:pPr>
      <w:r w:rsidRPr="0088599E">
        <w:rPr>
          <w:rFonts w:asciiTheme="minorHAnsi" w:hAnsiTheme="minorHAnsi" w:cstheme="minorHAnsi"/>
          <w:b/>
          <w:spacing w:val="-1"/>
        </w:rPr>
        <w:t xml:space="preserve">Vi </w:t>
      </w:r>
      <w:r w:rsidRPr="0088599E">
        <w:rPr>
          <w:rFonts w:asciiTheme="minorHAnsi" w:hAnsiTheme="minorHAnsi" w:cstheme="minorHAnsi"/>
          <w:spacing w:val="-1"/>
        </w:rPr>
        <w:t>jsou výnosy (tržby) Dopravce z prodeje jízdného při provozování Veřejných služeb dle Smlouvy v i-tém kalendářním roce</w:t>
      </w:r>
    </w:p>
    <w:p w14:paraId="43A3D825" w14:textId="77777777" w:rsidR="0088599E" w:rsidRPr="0088599E" w:rsidRDefault="0088599E" w:rsidP="0088599E">
      <w:pPr>
        <w:shd w:val="clear" w:color="auto" w:fill="FFFFFF"/>
        <w:spacing w:after="120"/>
        <w:ind w:left="1416"/>
        <w:jc w:val="both"/>
        <w:rPr>
          <w:rFonts w:asciiTheme="minorHAnsi" w:hAnsiTheme="minorHAnsi" w:cs="Calibri"/>
        </w:rPr>
      </w:pPr>
      <w:r w:rsidRPr="0088599E">
        <w:rPr>
          <w:rFonts w:asciiTheme="minorHAnsi" w:hAnsiTheme="minorHAnsi" w:cs="Segoe UI"/>
          <w:b/>
          <w:bCs/>
        </w:rPr>
        <w:t xml:space="preserve">N2ref </w:t>
      </w:r>
      <w:r w:rsidRPr="0088599E">
        <w:rPr>
          <w:rFonts w:asciiTheme="minorHAnsi" w:hAnsiTheme="minorHAnsi" w:cs="Segoe UI"/>
          <w:bCs/>
        </w:rPr>
        <w:t>je</w:t>
      </w:r>
      <w:r w:rsidRPr="0088599E">
        <w:rPr>
          <w:rFonts w:asciiTheme="minorHAnsi" w:hAnsiTheme="minorHAnsi" w:cs="Calibri"/>
        </w:rPr>
        <w:t xml:space="preserve"> referenční rozsah dopravního výkonu </w:t>
      </w:r>
      <w:r w:rsidRPr="0088599E">
        <w:rPr>
          <w:rFonts w:asciiTheme="minorHAnsi" w:hAnsiTheme="minorHAnsi" w:cstheme="minorHAnsi"/>
          <w:spacing w:val="-1"/>
        </w:rPr>
        <w:t>za zdvojenou soupravu</w:t>
      </w:r>
    </w:p>
    <w:p w14:paraId="7FA7D9D5" w14:textId="77777777" w:rsidR="0088599E" w:rsidRPr="0088599E" w:rsidRDefault="0088599E" w:rsidP="0088599E">
      <w:pPr>
        <w:shd w:val="clear" w:color="auto" w:fill="FFFFFF"/>
        <w:spacing w:after="120"/>
        <w:ind w:left="1416"/>
        <w:jc w:val="both"/>
        <w:rPr>
          <w:rFonts w:asciiTheme="minorHAnsi" w:hAnsiTheme="minorHAnsi" w:cstheme="minorHAnsi"/>
          <w:spacing w:val="-1"/>
        </w:rPr>
      </w:pPr>
      <w:r w:rsidRPr="0088599E">
        <w:rPr>
          <w:rFonts w:asciiTheme="minorHAnsi" w:hAnsiTheme="minorHAnsi" w:cs="Segoe UI"/>
          <w:b/>
          <w:bCs/>
        </w:rPr>
        <w:t xml:space="preserve">Nobj2i </w:t>
      </w:r>
      <w:r w:rsidRPr="0088599E">
        <w:rPr>
          <w:rFonts w:asciiTheme="minorHAnsi" w:hAnsiTheme="minorHAnsi" w:cs="Segoe UI"/>
          <w:bCs/>
        </w:rPr>
        <w:t>je uskutečněný</w:t>
      </w:r>
      <w:r w:rsidRPr="0088599E">
        <w:rPr>
          <w:rFonts w:asciiTheme="minorHAnsi" w:hAnsiTheme="minorHAnsi" w:cs="Segoe UI"/>
          <w:b/>
          <w:bCs/>
        </w:rPr>
        <w:t xml:space="preserve"> </w:t>
      </w:r>
      <w:r w:rsidRPr="0088599E">
        <w:rPr>
          <w:rFonts w:asciiTheme="minorHAnsi" w:hAnsiTheme="minorHAnsi" w:cs="Segoe UI"/>
          <w:bCs/>
        </w:rPr>
        <w:t xml:space="preserve">dopravní výkon </w:t>
      </w:r>
      <w:r w:rsidRPr="0088599E">
        <w:rPr>
          <w:rFonts w:asciiTheme="minorHAnsi" w:hAnsiTheme="minorHAnsi" w:cstheme="minorHAnsi"/>
          <w:spacing w:val="-1"/>
        </w:rPr>
        <w:t xml:space="preserve">za zdvojenou soupravu </w:t>
      </w:r>
      <w:r w:rsidRPr="0088599E">
        <w:rPr>
          <w:rFonts w:asciiTheme="minorHAnsi" w:hAnsiTheme="minorHAnsi" w:cs="Segoe UI"/>
          <w:bCs/>
        </w:rPr>
        <w:t xml:space="preserve">v i-tém kalendářním roce. Pro vyloučení pochybností Smluvní strany sjednávají, že v případě nasazení vícenásobné soupravy se Uskutečněný dopravní výkon </w:t>
      </w:r>
      <w:r w:rsidRPr="0088599E">
        <w:rPr>
          <w:rFonts w:asciiTheme="minorHAnsi" w:hAnsiTheme="minorHAnsi" w:cstheme="minorHAnsi"/>
          <w:spacing w:val="-1"/>
        </w:rPr>
        <w:t xml:space="preserve">za zdvojenou soupravu </w:t>
      </w:r>
      <w:r w:rsidRPr="0088599E">
        <w:rPr>
          <w:rFonts w:asciiTheme="minorHAnsi" w:hAnsiTheme="minorHAnsi" w:cs="Segoe UI"/>
          <w:bCs/>
        </w:rPr>
        <w:t xml:space="preserve">(Nobj2i) pro každou přípřežní jednotku počítá samostatně. </w:t>
      </w:r>
    </w:p>
    <w:p w14:paraId="2F106B70" w14:textId="77777777" w:rsidR="0088599E" w:rsidRPr="0088599E" w:rsidRDefault="0088599E" w:rsidP="0088599E">
      <w:pPr>
        <w:shd w:val="clear" w:color="auto" w:fill="FFFFFF"/>
        <w:spacing w:after="120"/>
        <w:ind w:left="709" w:firstLine="707"/>
        <w:jc w:val="both"/>
        <w:rPr>
          <w:rFonts w:asciiTheme="minorHAnsi" w:hAnsiTheme="minorHAnsi" w:cs="Segoe UI"/>
          <w:bCs/>
        </w:rPr>
      </w:pPr>
      <w:r w:rsidRPr="0088599E">
        <w:rPr>
          <w:rFonts w:asciiTheme="minorHAnsi" w:hAnsiTheme="minorHAnsi" w:cs="Segoe UI"/>
          <w:b/>
          <w:bCs/>
        </w:rPr>
        <w:t>VCDV2i</w:t>
      </w:r>
      <w:r w:rsidRPr="0088599E">
        <w:rPr>
          <w:rFonts w:asciiTheme="minorHAnsi" w:hAnsiTheme="minorHAnsi" w:cs="Calibri"/>
        </w:rPr>
        <w:t xml:space="preserve"> je variabilní Cena za zdvojenou soupravu </w:t>
      </w:r>
      <w:r w:rsidRPr="0088599E">
        <w:rPr>
          <w:rFonts w:asciiTheme="minorHAnsi" w:hAnsiTheme="minorHAnsi" w:cs="Segoe UI"/>
          <w:bCs/>
        </w:rPr>
        <w:t>v i-tém kalendářním roce</w:t>
      </w:r>
    </w:p>
    <w:p w14:paraId="4302E19E" w14:textId="35A9B286" w:rsidR="005A6459" w:rsidRPr="0088599E" w:rsidRDefault="0088599E" w:rsidP="0088599E">
      <w:pPr>
        <w:shd w:val="clear" w:color="auto" w:fill="FFFFFF"/>
        <w:spacing w:after="120"/>
        <w:ind w:left="1416"/>
        <w:rPr>
          <w:rFonts w:ascii="Segoe UI" w:hAnsi="Segoe UI" w:cs="Segoe UI"/>
          <w:b/>
          <w:bCs/>
        </w:rPr>
      </w:pPr>
      <w:r w:rsidRPr="0088599E">
        <w:rPr>
          <w:rFonts w:ascii="Segoe UI" w:hAnsi="Segoe UI" w:cs="Segoe UI"/>
          <w:b/>
          <w:bCs/>
        </w:rPr>
        <w:t xml:space="preserve">Nn2i </w:t>
      </w:r>
      <w:r w:rsidRPr="0088599E">
        <w:rPr>
          <w:rFonts w:ascii="Segoe UI" w:hAnsi="Segoe UI" w:cs="Segoe UI"/>
          <w:bCs/>
        </w:rPr>
        <w:t>je</w:t>
      </w:r>
      <w:r w:rsidRPr="0088599E">
        <w:rPr>
          <w:rFonts w:asciiTheme="minorHAnsi" w:hAnsiTheme="minorHAnsi" w:cstheme="minorHAnsi"/>
          <w:spacing w:val="-1"/>
        </w:rPr>
        <w:t xml:space="preserve"> rozsah Neuplatnitelného dopravního výkonu za zdvojenou soupravu v i-tém kalendářním roce</w:t>
      </w:r>
    </w:p>
    <w:p w14:paraId="72AF1D45" w14:textId="77777777" w:rsidR="005A6459" w:rsidRPr="0088599E" w:rsidRDefault="005A6459" w:rsidP="0088599E">
      <w:pPr>
        <w:pStyle w:val="Odstavecseseznamem"/>
        <w:ind w:left="1069"/>
        <w:jc w:val="both"/>
        <w:rPr>
          <w:rFonts w:asciiTheme="minorHAnsi" w:hAnsiTheme="minorHAnsi" w:cs="Calibri"/>
        </w:rPr>
      </w:pPr>
    </w:p>
    <w:p w14:paraId="087D7CB3" w14:textId="77777777" w:rsidR="001C4FF1" w:rsidRPr="00535A82" w:rsidRDefault="001C4FF1" w:rsidP="00E85F11">
      <w:pPr>
        <w:pStyle w:val="Stednmka1zvraznn21"/>
        <w:pBdr>
          <w:bottom w:val="single" w:sz="4" w:space="1" w:color="auto"/>
        </w:pBdr>
        <w:shd w:val="clear" w:color="auto" w:fill="FFFFFF"/>
        <w:spacing w:after="120"/>
        <w:ind w:left="709"/>
        <w:contextualSpacing w:val="0"/>
        <w:jc w:val="both"/>
        <w:rPr>
          <w:rFonts w:asciiTheme="minorHAnsi" w:hAnsiTheme="minorHAnsi" w:cs="Segoe UI"/>
          <w:spacing w:val="-1"/>
          <w:sz w:val="22"/>
          <w:szCs w:val="22"/>
        </w:rPr>
      </w:pPr>
      <w:bookmarkStart w:id="0" w:name="_GoBack"/>
      <w:bookmarkEnd w:id="0"/>
    </w:p>
    <w:p w14:paraId="7B8DE052" w14:textId="549A0385" w:rsidR="00E33A81" w:rsidRDefault="00325E04" w:rsidP="00051281">
      <w:pPr>
        <w:spacing w:after="160" w:line="259" w:lineRule="auto"/>
        <w:rPr>
          <w:rFonts w:cstheme="minorHAnsi"/>
          <w:spacing w:val="-1"/>
        </w:rPr>
      </w:pPr>
      <w:r>
        <w:rPr>
          <w:rFonts w:asciiTheme="minorHAnsi" w:hAnsiTheme="minorHAnsi" w:cs="Calibri"/>
        </w:rPr>
        <w:br w:type="page"/>
      </w:r>
      <w:r w:rsidR="00E33A81" w:rsidRPr="00BE5027">
        <w:rPr>
          <w:rFonts w:cstheme="minorHAnsi"/>
          <w:spacing w:val="-1"/>
        </w:rPr>
        <w:lastRenderedPageBreak/>
        <w:t>Úprava Kompenzace v důsledku změny nákladů na provozování Dopravních výkonů v souvislosti se</w:t>
      </w:r>
      <w:r w:rsidR="00BE5027" w:rsidRPr="00BE5027">
        <w:rPr>
          <w:rFonts w:cstheme="minorHAnsi"/>
          <w:spacing w:val="-1"/>
        </w:rPr>
        <w:t xml:space="preserve"> </w:t>
      </w:r>
      <w:r w:rsidR="00775A8F" w:rsidRPr="00BE5027">
        <w:rPr>
          <w:rFonts w:cstheme="minorHAnsi"/>
          <w:spacing w:val="-1"/>
        </w:rPr>
        <w:t>změnou výše ceny za použití železniční dopravní cesty</w:t>
      </w:r>
    </w:p>
    <w:p w14:paraId="0CE3B04A" w14:textId="77777777" w:rsidR="00BE5027" w:rsidRPr="007A610E" w:rsidRDefault="00BE5027" w:rsidP="00BE5027">
      <w:pPr>
        <w:rPr>
          <w:sz w:val="16"/>
          <w:szCs w:val="16"/>
        </w:rPr>
      </w:pPr>
    </w:p>
    <w:p w14:paraId="15EEBC29" w14:textId="77777777" w:rsidR="00E33A81" w:rsidRPr="00BE5027" w:rsidRDefault="00A8448E" w:rsidP="00E85F11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120" w:line="240" w:lineRule="auto"/>
        <w:ind w:left="714"/>
        <w:jc w:val="both"/>
        <w:rPr>
          <w:rFonts w:asciiTheme="minorHAnsi" w:hAnsiTheme="minorHAnsi" w:cs="Segoe UI"/>
          <w:b/>
        </w:rPr>
      </w:pPr>
      <w:r>
        <w:rPr>
          <w:rFonts w:asciiTheme="minorHAnsi" w:hAnsiTheme="minorHAnsi" w:cs="Segoe UI"/>
        </w:rPr>
        <w:t xml:space="preserve">Výkaz skutečných nákladů - řádek 10 </w:t>
      </w:r>
      <w:r w:rsidRPr="00BE5027">
        <w:rPr>
          <w:rFonts w:asciiTheme="minorHAnsi" w:hAnsiTheme="minorHAnsi" w:cs="Segoe UI"/>
          <w:b/>
        </w:rPr>
        <w:t>Úhrada za použití dopravní cesty.</w:t>
      </w:r>
    </w:p>
    <w:p w14:paraId="02B529FE" w14:textId="77777777" w:rsidR="00A8448E" w:rsidRPr="007A610E" w:rsidRDefault="00A8448E" w:rsidP="00E85F11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120" w:line="240" w:lineRule="auto"/>
        <w:ind w:left="714"/>
        <w:jc w:val="both"/>
        <w:rPr>
          <w:rFonts w:asciiTheme="minorHAnsi" w:hAnsiTheme="minorHAnsi" w:cs="Segoe UI"/>
          <w:sz w:val="16"/>
          <w:szCs w:val="16"/>
        </w:rPr>
      </w:pPr>
    </w:p>
    <w:p w14:paraId="7B18B87B" w14:textId="77777777" w:rsidR="00775A8F" w:rsidRDefault="00A8448E" w:rsidP="00FB64AE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120" w:line="312" w:lineRule="auto"/>
        <w:ind w:left="714"/>
        <w:jc w:val="both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>V</w:t>
      </w:r>
      <w:r w:rsidR="00775A8F" w:rsidRPr="00535A82">
        <w:rPr>
          <w:rFonts w:asciiTheme="minorHAnsi" w:hAnsiTheme="minorHAnsi" w:cs="Segoe UI"/>
        </w:rPr>
        <w:t xml:space="preserve"> takovém případě se výše </w:t>
      </w:r>
      <w:r w:rsidR="00775A8F">
        <w:rPr>
          <w:rFonts w:asciiTheme="minorHAnsi" w:hAnsiTheme="minorHAnsi" w:cs="Segoe UI"/>
        </w:rPr>
        <w:t>K</w:t>
      </w:r>
      <w:r w:rsidR="00775A8F" w:rsidRPr="00535A82">
        <w:rPr>
          <w:rFonts w:asciiTheme="minorHAnsi" w:hAnsiTheme="minorHAnsi" w:cs="Segoe UI"/>
        </w:rPr>
        <w:t>ompenzace změní o částku odpovídající případnému rozdílu mezi částkou, o kterou se změní platba za použití dopravní cesty požadovaná provozovatelem dráhy za objednané Dopravní výkony v pravidelném řazení a částkou odpovídající výši změny cenové hladiny, Dopravce je povinen doložit požadovanou hodnotu této položky předložením způsobu výpočtu podle aktuálního prohlášení o dráze, včetně vyčíslení rozhodných ukazatelů (zejména plánovaných Dopravních výkonů ve vlkm, dopravních výkonů v hrubých tkm a počtu tras pro příslušné období)</w:t>
      </w:r>
      <w:r>
        <w:rPr>
          <w:rFonts w:asciiTheme="minorHAnsi" w:hAnsiTheme="minorHAnsi" w:cs="Segoe UI"/>
        </w:rPr>
        <w:t>.</w:t>
      </w:r>
    </w:p>
    <w:p w14:paraId="4FCDAA2C" w14:textId="77777777" w:rsidR="002C62E6" w:rsidRPr="001C4FF1" w:rsidRDefault="002C62E6" w:rsidP="00E85F11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120" w:line="240" w:lineRule="auto"/>
        <w:ind w:left="714"/>
        <w:jc w:val="both"/>
        <w:rPr>
          <w:rFonts w:asciiTheme="minorHAnsi" w:hAnsiTheme="minorHAnsi" w:cs="Segoe UI"/>
          <w:spacing w:val="-8"/>
        </w:rPr>
      </w:pPr>
    </w:p>
    <w:p w14:paraId="20064522" w14:textId="77777777" w:rsidR="00E33A81" w:rsidRPr="00BE5027" w:rsidRDefault="00E33A81" w:rsidP="00BE5027">
      <w:pPr>
        <w:pStyle w:val="Nadpis2"/>
        <w:numPr>
          <w:ilvl w:val="0"/>
          <w:numId w:val="4"/>
        </w:numPr>
        <w:rPr>
          <w:rFonts w:cstheme="minorHAnsi"/>
          <w:spacing w:val="-1"/>
        </w:rPr>
      </w:pPr>
      <w:r w:rsidRPr="00BE5027">
        <w:rPr>
          <w:rFonts w:cstheme="minorHAnsi"/>
          <w:spacing w:val="-1"/>
        </w:rPr>
        <w:t>Úprava Kompenzace v důsledku změny nákladů na provozování Dopravních výkonů  se provede v souvislosti se</w:t>
      </w:r>
      <w:r w:rsidR="00BE5027" w:rsidRPr="00BE5027">
        <w:rPr>
          <w:rFonts w:cstheme="minorHAnsi"/>
          <w:spacing w:val="-1"/>
        </w:rPr>
        <w:t xml:space="preserve"> </w:t>
      </w:r>
      <w:r w:rsidR="00775A8F" w:rsidRPr="00BE5027">
        <w:rPr>
          <w:rFonts w:cstheme="minorHAnsi"/>
          <w:spacing w:val="-1"/>
        </w:rPr>
        <w:t xml:space="preserve">zavedením nebo změnou ceny za užití zařízení služeb </w:t>
      </w:r>
    </w:p>
    <w:p w14:paraId="2B96F974" w14:textId="77777777" w:rsidR="00B81961" w:rsidRDefault="00B81961" w:rsidP="00E85F11">
      <w:pPr>
        <w:widowControl w:val="0"/>
        <w:pBdr>
          <w:bottom w:val="single" w:sz="4" w:space="1" w:color="auto"/>
        </w:pBdr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 w:line="240" w:lineRule="auto"/>
        <w:ind w:left="714"/>
        <w:jc w:val="both"/>
        <w:rPr>
          <w:rFonts w:asciiTheme="minorHAnsi" w:hAnsiTheme="minorHAnsi" w:cs="Segoe UI"/>
          <w:spacing w:val="-1"/>
        </w:rPr>
      </w:pPr>
      <w:r w:rsidRPr="00535A82">
        <w:rPr>
          <w:rFonts w:asciiTheme="minorHAnsi" w:hAnsiTheme="minorHAnsi" w:cs="Segoe UI"/>
          <w:spacing w:val="-1"/>
        </w:rPr>
        <w:t>podle § 23d a násl. Zákona o dráhách</w:t>
      </w:r>
      <w:r>
        <w:rPr>
          <w:rFonts w:asciiTheme="minorHAnsi" w:hAnsiTheme="minorHAnsi" w:cs="Segoe UI"/>
          <w:spacing w:val="-1"/>
        </w:rPr>
        <w:t>;</w:t>
      </w:r>
    </w:p>
    <w:p w14:paraId="59EC9149" w14:textId="77777777" w:rsidR="00FB64AE" w:rsidRDefault="00FB64AE" w:rsidP="00E85F11">
      <w:pPr>
        <w:widowControl w:val="0"/>
        <w:pBdr>
          <w:bottom w:val="single" w:sz="4" w:space="1" w:color="auto"/>
        </w:pBdr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 w:line="240" w:lineRule="auto"/>
        <w:ind w:left="714"/>
        <w:jc w:val="both"/>
        <w:rPr>
          <w:rFonts w:asciiTheme="minorHAnsi" w:hAnsiTheme="minorHAnsi" w:cs="Segoe UI"/>
          <w:b/>
          <w:spacing w:val="-1"/>
        </w:rPr>
      </w:pPr>
    </w:p>
    <w:p w14:paraId="638E758F" w14:textId="77777777" w:rsidR="00B81961" w:rsidRPr="00BE5027" w:rsidRDefault="00B81961" w:rsidP="00E85F11">
      <w:pPr>
        <w:widowControl w:val="0"/>
        <w:pBdr>
          <w:bottom w:val="single" w:sz="4" w:space="1" w:color="auto"/>
        </w:pBdr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 w:line="240" w:lineRule="auto"/>
        <w:ind w:left="714"/>
        <w:jc w:val="both"/>
        <w:rPr>
          <w:rFonts w:asciiTheme="minorHAnsi" w:hAnsiTheme="minorHAnsi" w:cs="Segoe UI"/>
          <w:b/>
          <w:spacing w:val="-1"/>
        </w:rPr>
      </w:pPr>
      <w:r>
        <w:rPr>
          <w:rFonts w:asciiTheme="minorHAnsi" w:hAnsiTheme="minorHAnsi" w:cs="Segoe UI"/>
        </w:rPr>
        <w:t xml:space="preserve">Výkaz skutečných nákladů – řádek 11 </w:t>
      </w:r>
      <w:r w:rsidRPr="00BE5027">
        <w:rPr>
          <w:rFonts w:asciiTheme="minorHAnsi" w:hAnsiTheme="minorHAnsi" w:cs="Segoe UI"/>
          <w:b/>
          <w:spacing w:val="-1"/>
        </w:rPr>
        <w:t>Úhrada za použití ostatní infrastruktury</w:t>
      </w:r>
    </w:p>
    <w:p w14:paraId="6B40D932" w14:textId="77777777" w:rsidR="00B81961" w:rsidRPr="00FB64AE" w:rsidRDefault="00B81961" w:rsidP="00FB64AE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120" w:line="312" w:lineRule="auto"/>
        <w:ind w:left="714"/>
        <w:jc w:val="both"/>
        <w:rPr>
          <w:rFonts w:asciiTheme="minorHAnsi" w:hAnsiTheme="minorHAnsi" w:cs="Segoe UI"/>
        </w:rPr>
      </w:pPr>
    </w:p>
    <w:p w14:paraId="31D942BC" w14:textId="77777777" w:rsidR="00775A8F" w:rsidRPr="00FB64AE" w:rsidRDefault="00775A8F" w:rsidP="00FB64AE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120" w:line="312" w:lineRule="auto"/>
        <w:ind w:left="714"/>
        <w:jc w:val="both"/>
        <w:rPr>
          <w:rFonts w:asciiTheme="minorHAnsi" w:hAnsiTheme="minorHAnsi" w:cs="Segoe UI"/>
        </w:rPr>
      </w:pPr>
      <w:r w:rsidRPr="00FB64AE">
        <w:rPr>
          <w:rFonts w:asciiTheme="minorHAnsi" w:hAnsiTheme="minorHAnsi" w:cs="Segoe UI"/>
        </w:rPr>
        <w:t xml:space="preserve">V takovém případě se výše Kompenzace změní o částku, která odpovídá případnému rozdílu mezi částkou, o kterou se změní platba za užití zařízení služeb a částkou uvedenou v řádku č. 11 </w:t>
      </w:r>
      <w:r w:rsidR="00A8448E" w:rsidRPr="00FB64AE">
        <w:rPr>
          <w:rFonts w:asciiTheme="minorHAnsi" w:hAnsiTheme="minorHAnsi" w:cs="Segoe UI"/>
        </w:rPr>
        <w:t xml:space="preserve">(položka Úhrada za použití ostatní infrastruktury) </w:t>
      </w:r>
      <w:r w:rsidRPr="00FB64AE">
        <w:rPr>
          <w:rFonts w:asciiTheme="minorHAnsi" w:hAnsiTheme="minorHAnsi" w:cs="Segoe UI"/>
        </w:rPr>
        <w:t>Výchozího finančního modelu. Dopravce je povinen doložit způsob výpočtu požadované hodnoty této položky</w:t>
      </w:r>
      <w:r w:rsidR="00A8448E" w:rsidRPr="00FB64AE">
        <w:rPr>
          <w:rFonts w:asciiTheme="minorHAnsi" w:hAnsiTheme="minorHAnsi" w:cs="Segoe UI"/>
        </w:rPr>
        <w:t>.</w:t>
      </w:r>
      <w:r w:rsidRPr="00FB64AE">
        <w:rPr>
          <w:rFonts w:asciiTheme="minorHAnsi" w:hAnsiTheme="minorHAnsi" w:cs="Segoe UI"/>
        </w:rPr>
        <w:t xml:space="preserve"> </w:t>
      </w:r>
    </w:p>
    <w:p w14:paraId="76E1EB9A" w14:textId="77777777" w:rsidR="00E33A81" w:rsidRPr="00535A82" w:rsidRDefault="00E33A81" w:rsidP="00E85F11">
      <w:pPr>
        <w:widowControl w:val="0"/>
        <w:pBdr>
          <w:bottom w:val="single" w:sz="4" w:space="1" w:color="auto"/>
        </w:pBdr>
        <w:shd w:val="clear" w:color="auto" w:fill="FFFFFF"/>
        <w:tabs>
          <w:tab w:val="num" w:pos="720"/>
        </w:tabs>
        <w:autoSpaceDE w:val="0"/>
        <w:autoSpaceDN w:val="0"/>
        <w:adjustRightInd w:val="0"/>
        <w:spacing w:after="120" w:line="240" w:lineRule="auto"/>
        <w:ind w:left="714"/>
        <w:jc w:val="both"/>
        <w:rPr>
          <w:rFonts w:asciiTheme="minorHAnsi" w:hAnsiTheme="minorHAnsi" w:cs="Segoe UI"/>
          <w:spacing w:val="-1"/>
        </w:rPr>
      </w:pPr>
    </w:p>
    <w:p w14:paraId="541873D2" w14:textId="77777777" w:rsidR="00BE5027" w:rsidRDefault="00BE5027" w:rsidP="00E33A81">
      <w:pPr>
        <w:ind w:left="709"/>
        <w:jc w:val="both"/>
        <w:rPr>
          <w:rFonts w:asciiTheme="minorHAnsi" w:hAnsiTheme="minorHAnsi" w:cs="Calibri"/>
        </w:rPr>
      </w:pPr>
    </w:p>
    <w:p w14:paraId="49202950" w14:textId="77777777" w:rsidR="007A610E" w:rsidRDefault="007A610E" w:rsidP="006B4703">
      <w:pPr>
        <w:pStyle w:val="Stednmka1zvraznn21"/>
        <w:shd w:val="clear" w:color="auto" w:fill="FFFFFF"/>
        <w:spacing w:after="200"/>
        <w:ind w:left="709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sectPr w:rsidR="007A610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A81DF" w14:textId="77777777" w:rsidR="00846D1A" w:rsidRDefault="00846D1A" w:rsidP="001C4FF1">
      <w:pPr>
        <w:spacing w:after="0" w:line="240" w:lineRule="auto"/>
      </w:pPr>
      <w:r>
        <w:separator/>
      </w:r>
    </w:p>
  </w:endnote>
  <w:endnote w:type="continuationSeparator" w:id="0">
    <w:p w14:paraId="32827BF0" w14:textId="77777777" w:rsidR="00846D1A" w:rsidRDefault="00846D1A" w:rsidP="001C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003594"/>
      <w:docPartObj>
        <w:docPartGallery w:val="Page Numbers (Bottom of Page)"/>
        <w:docPartUnique/>
      </w:docPartObj>
    </w:sdtPr>
    <w:sdtEndPr/>
    <w:sdtContent>
      <w:p w14:paraId="0BF79AD6" w14:textId="0E909EC3" w:rsidR="001C4FF1" w:rsidRDefault="001C4F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281">
          <w:rPr>
            <w:noProof/>
          </w:rPr>
          <w:t>3</w:t>
        </w:r>
        <w:r>
          <w:fldChar w:fldCharType="end"/>
        </w:r>
      </w:p>
    </w:sdtContent>
  </w:sdt>
  <w:p w14:paraId="34FBBC77" w14:textId="77777777" w:rsidR="001C4FF1" w:rsidRDefault="001C4F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A4FB8" w14:textId="77777777" w:rsidR="00846D1A" w:rsidRDefault="00846D1A" w:rsidP="001C4FF1">
      <w:pPr>
        <w:spacing w:after="0" w:line="240" w:lineRule="auto"/>
      </w:pPr>
      <w:r>
        <w:separator/>
      </w:r>
    </w:p>
  </w:footnote>
  <w:footnote w:type="continuationSeparator" w:id="0">
    <w:p w14:paraId="316FAFBA" w14:textId="77777777" w:rsidR="00846D1A" w:rsidRDefault="00846D1A" w:rsidP="001C4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C49A9"/>
    <w:multiLevelType w:val="hybridMultilevel"/>
    <w:tmpl w:val="9EF6E74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81106"/>
    <w:multiLevelType w:val="multilevel"/>
    <w:tmpl w:val="7940F2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93" w:hanging="432"/>
      </w:pPr>
      <w:rPr>
        <w:rFonts w:ascii="Calibri" w:hAnsi="Calibri" w:cs="Calibri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45FE7781"/>
    <w:multiLevelType w:val="multilevel"/>
    <w:tmpl w:val="89423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46946297"/>
    <w:multiLevelType w:val="hybridMultilevel"/>
    <w:tmpl w:val="88023EC8"/>
    <w:lvl w:ilvl="0" w:tplc="B9020A82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BA7522D"/>
    <w:multiLevelType w:val="hybridMultilevel"/>
    <w:tmpl w:val="BB44A9A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10C7F"/>
    <w:multiLevelType w:val="multilevel"/>
    <w:tmpl w:val="50FC50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3693" w:hanging="432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770F5489"/>
    <w:multiLevelType w:val="hybridMultilevel"/>
    <w:tmpl w:val="66A0A790"/>
    <w:lvl w:ilvl="0" w:tplc="7EE0E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8F"/>
    <w:rsid w:val="0001547E"/>
    <w:rsid w:val="00040F40"/>
    <w:rsid w:val="00051281"/>
    <w:rsid w:val="0008273D"/>
    <w:rsid w:val="000855A9"/>
    <w:rsid w:val="000E6DE9"/>
    <w:rsid w:val="000F181F"/>
    <w:rsid w:val="000F6C42"/>
    <w:rsid w:val="001859DF"/>
    <w:rsid w:val="001C4FF1"/>
    <w:rsid w:val="00200313"/>
    <w:rsid w:val="002901FF"/>
    <w:rsid w:val="00292B2E"/>
    <w:rsid w:val="002967F1"/>
    <w:rsid w:val="002C62E6"/>
    <w:rsid w:val="002E1F18"/>
    <w:rsid w:val="002E689E"/>
    <w:rsid w:val="00305993"/>
    <w:rsid w:val="00312F24"/>
    <w:rsid w:val="00325E04"/>
    <w:rsid w:val="003303E1"/>
    <w:rsid w:val="00372930"/>
    <w:rsid w:val="003872C3"/>
    <w:rsid w:val="00390617"/>
    <w:rsid w:val="00392DC5"/>
    <w:rsid w:val="003F239E"/>
    <w:rsid w:val="00400A0B"/>
    <w:rsid w:val="00414ED8"/>
    <w:rsid w:val="00425037"/>
    <w:rsid w:val="00436731"/>
    <w:rsid w:val="004B01DD"/>
    <w:rsid w:val="004D6B83"/>
    <w:rsid w:val="00507432"/>
    <w:rsid w:val="005208BE"/>
    <w:rsid w:val="005631F0"/>
    <w:rsid w:val="00567654"/>
    <w:rsid w:val="00585FBF"/>
    <w:rsid w:val="0059088F"/>
    <w:rsid w:val="0059635D"/>
    <w:rsid w:val="005A0C51"/>
    <w:rsid w:val="005A4354"/>
    <w:rsid w:val="005A6459"/>
    <w:rsid w:val="00616FD7"/>
    <w:rsid w:val="006513F0"/>
    <w:rsid w:val="006B4703"/>
    <w:rsid w:val="006D1357"/>
    <w:rsid w:val="006F4F57"/>
    <w:rsid w:val="00706112"/>
    <w:rsid w:val="00717F01"/>
    <w:rsid w:val="00724DEE"/>
    <w:rsid w:val="00736619"/>
    <w:rsid w:val="00775A8F"/>
    <w:rsid w:val="00775CF7"/>
    <w:rsid w:val="00794A96"/>
    <w:rsid w:val="007A48A7"/>
    <w:rsid w:val="007A610E"/>
    <w:rsid w:val="007C2D44"/>
    <w:rsid w:val="007D01B9"/>
    <w:rsid w:val="008147EE"/>
    <w:rsid w:val="00846D1A"/>
    <w:rsid w:val="0088599E"/>
    <w:rsid w:val="008D4E12"/>
    <w:rsid w:val="00920122"/>
    <w:rsid w:val="00940761"/>
    <w:rsid w:val="00943692"/>
    <w:rsid w:val="0097675B"/>
    <w:rsid w:val="0097749F"/>
    <w:rsid w:val="009979C6"/>
    <w:rsid w:val="009D4882"/>
    <w:rsid w:val="009F5A5C"/>
    <w:rsid w:val="009F69FB"/>
    <w:rsid w:val="00A1738A"/>
    <w:rsid w:val="00A178DC"/>
    <w:rsid w:val="00A35D2A"/>
    <w:rsid w:val="00A4284D"/>
    <w:rsid w:val="00A753E3"/>
    <w:rsid w:val="00A83024"/>
    <w:rsid w:val="00A8448E"/>
    <w:rsid w:val="00AB6C2E"/>
    <w:rsid w:val="00B0287E"/>
    <w:rsid w:val="00B04044"/>
    <w:rsid w:val="00B45627"/>
    <w:rsid w:val="00B522CD"/>
    <w:rsid w:val="00B5545B"/>
    <w:rsid w:val="00B81961"/>
    <w:rsid w:val="00BB46C6"/>
    <w:rsid w:val="00BE5027"/>
    <w:rsid w:val="00BF4ABE"/>
    <w:rsid w:val="00C25F65"/>
    <w:rsid w:val="00C4057D"/>
    <w:rsid w:val="00C52FAE"/>
    <w:rsid w:val="00C72A60"/>
    <w:rsid w:val="00C8580D"/>
    <w:rsid w:val="00CA4BF9"/>
    <w:rsid w:val="00CA7E83"/>
    <w:rsid w:val="00CB52B8"/>
    <w:rsid w:val="00D10E3A"/>
    <w:rsid w:val="00D5544D"/>
    <w:rsid w:val="00D612B6"/>
    <w:rsid w:val="00D64D72"/>
    <w:rsid w:val="00DC33C7"/>
    <w:rsid w:val="00DD5109"/>
    <w:rsid w:val="00E1152E"/>
    <w:rsid w:val="00E11E59"/>
    <w:rsid w:val="00E32155"/>
    <w:rsid w:val="00E33A81"/>
    <w:rsid w:val="00E81C0E"/>
    <w:rsid w:val="00E85F11"/>
    <w:rsid w:val="00EA0246"/>
    <w:rsid w:val="00ED008C"/>
    <w:rsid w:val="00EE60D8"/>
    <w:rsid w:val="00EF6375"/>
    <w:rsid w:val="00F06025"/>
    <w:rsid w:val="00F16DD3"/>
    <w:rsid w:val="00F200C6"/>
    <w:rsid w:val="00F33C2E"/>
    <w:rsid w:val="00F359A2"/>
    <w:rsid w:val="00F93406"/>
    <w:rsid w:val="00FB09EC"/>
    <w:rsid w:val="00FB0FA4"/>
    <w:rsid w:val="00FB64AE"/>
    <w:rsid w:val="00FD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4F3F"/>
  <w15:docId w15:val="{E33A148A-8093-484D-83CB-20FEAD76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A8F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E50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0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ednmka1zvraznn21">
    <w:name w:val="Střední mřížka 1 – zvýraznění 21"/>
    <w:basedOn w:val="Normln"/>
    <w:uiPriority w:val="99"/>
    <w:qFormat/>
    <w:rsid w:val="00775A8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FF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C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FF1"/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BE50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E5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BB46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5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E04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29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29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293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29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293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32BA2-FEA8-4EBB-98ED-6E229227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607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ČD - Informační Systémy, a.s.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Řihák</dc:creator>
  <cp:lastModifiedBy>Novák Martin</cp:lastModifiedBy>
  <cp:revision>3</cp:revision>
  <cp:lastPrinted>2020-04-27T13:30:00Z</cp:lastPrinted>
  <dcterms:created xsi:type="dcterms:W3CDTF">2020-04-27T13:30:00Z</dcterms:created>
  <dcterms:modified xsi:type="dcterms:W3CDTF">2020-05-06T08:30:00Z</dcterms:modified>
</cp:coreProperties>
</file>