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D3633" w:rsidRDefault="008438B5">
      <w:pPr>
        <w:jc w:val="center"/>
        <w:rPr>
          <w:b/>
        </w:rPr>
      </w:pPr>
      <w:r>
        <w:rPr>
          <w:b/>
        </w:rPr>
        <w:t>STANOVY</w:t>
      </w:r>
    </w:p>
    <w:p w14:paraId="00000002" w14:textId="77777777" w:rsidR="00AD3633" w:rsidRPr="007F17BC" w:rsidRDefault="008438B5">
      <w:pPr>
        <w:jc w:val="center"/>
        <w:rPr>
          <w:b/>
        </w:rPr>
      </w:pPr>
      <w:r>
        <w:rPr>
          <w:b/>
        </w:rPr>
        <w:t xml:space="preserve">akciové </w:t>
      </w:r>
      <w:r w:rsidRPr="007F17BC">
        <w:rPr>
          <w:b/>
        </w:rPr>
        <w:t>společnosti Vodárna Zlín a.s.</w:t>
      </w:r>
    </w:p>
    <w:p w14:paraId="00000003" w14:textId="77777777" w:rsidR="00AD3633" w:rsidRPr="007F17BC" w:rsidRDefault="00AD3633">
      <w:pPr>
        <w:jc w:val="center"/>
        <w:rPr>
          <w:b/>
        </w:rPr>
      </w:pPr>
    </w:p>
    <w:p w14:paraId="00000004" w14:textId="77777777" w:rsidR="00AD3633" w:rsidRPr="007F17BC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7F17BC">
        <w:rPr>
          <w:b/>
          <w:color w:val="000000"/>
        </w:rPr>
        <w:t>OBCHODNÍ FIRMA SPOLEČNOSTI</w:t>
      </w:r>
    </w:p>
    <w:p w14:paraId="00000005" w14:textId="77777777" w:rsidR="00AD3633" w:rsidRPr="007F17BC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7F17BC">
        <w:rPr>
          <w:color w:val="000000"/>
        </w:rPr>
        <w:t>Obchodní firma společnosti zní: Vodárna Zlín a.s.</w:t>
      </w:r>
    </w:p>
    <w:p w14:paraId="00000006" w14:textId="77777777" w:rsidR="00AD3633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SÍDLO SPOLEČNOSTI</w:t>
      </w:r>
    </w:p>
    <w:p w14:paraId="00000007" w14:textId="1C22AE2B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Sídlo společnosti je umístěno </w:t>
      </w:r>
      <w:r w:rsidR="00E1311D">
        <w:rPr>
          <w:color w:val="000000"/>
        </w:rPr>
        <w:t>ve městě</w:t>
      </w:r>
      <w:r>
        <w:rPr>
          <w:b/>
          <w:color w:val="000000"/>
        </w:rPr>
        <w:t xml:space="preserve"> </w:t>
      </w:r>
      <w:r>
        <w:rPr>
          <w:color w:val="000000"/>
        </w:rPr>
        <w:t>Zlín.</w:t>
      </w:r>
    </w:p>
    <w:p w14:paraId="00000008" w14:textId="77777777" w:rsidR="00AD3633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PŘEDMĚT PODNIKÁNÍ</w:t>
      </w:r>
    </w:p>
    <w:sdt>
      <w:sdtPr>
        <w:tag w:val="goog_rdk_1"/>
        <w:id w:val="-1308632021"/>
      </w:sdtPr>
      <w:sdtEndPr/>
      <w:sdtContent>
        <w:p w14:paraId="00000009" w14:textId="66AB166F" w:rsidR="00AD3633" w:rsidRDefault="008438B5">
          <w:pPr>
            <w:numPr>
              <w:ilvl w:val="1"/>
              <w:numId w:val="4"/>
            </w:numPr>
            <w:pBdr>
              <w:top w:val="nil"/>
              <w:left w:val="nil"/>
              <w:bottom w:val="nil"/>
              <w:right w:val="nil"/>
              <w:between w:val="nil"/>
            </w:pBdr>
            <w:ind w:left="567" w:hanging="567"/>
            <w:jc w:val="both"/>
          </w:pPr>
          <w:r>
            <w:rPr>
              <w:color w:val="000000"/>
            </w:rPr>
            <w:t>Předmět podnikání společnosti je:</w:t>
          </w:r>
          <w:sdt>
            <w:sdtPr>
              <w:tag w:val="goog_rdk_0"/>
              <w:id w:val="233053452"/>
            </w:sdtPr>
            <w:sdtEndPr/>
            <w:sdtContent/>
          </w:sdt>
        </w:p>
      </w:sdtContent>
    </w:sdt>
    <w:p w14:paraId="322395E7" w14:textId="0D27AE8A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bookmarkStart w:id="0" w:name="_Hlk69468307"/>
      <w:r w:rsidRPr="00FD1143">
        <w:rPr>
          <w:color w:val="000000"/>
        </w:rPr>
        <w:t xml:space="preserve">Silniční motorová </w:t>
      </w:r>
      <w:proofErr w:type="gramStart"/>
      <w:r w:rsidRPr="00FD1143">
        <w:rPr>
          <w:color w:val="000000"/>
        </w:rPr>
        <w:t>doprava - nákladní</w:t>
      </w:r>
      <w:proofErr w:type="gramEnd"/>
      <w:r w:rsidRPr="00FD1143">
        <w:rPr>
          <w:color w:val="000000"/>
        </w:rPr>
        <w:t xml:space="preserve"> provozovaná vozidly nebo jízdními soupravami o největší povolené hmotnosti přesahující 3,5 tuny, jsou-li určeny k přepravě zvířat nebo věcí, - nákladní provozovaná vozidly nebo jízdními soupravami o největší povolené hmotnosti nepřesahující 3,5 tuny, jsou-li určeny</w:t>
      </w:r>
      <w:r>
        <w:rPr>
          <w:color w:val="000000"/>
        </w:rPr>
        <w:t xml:space="preserve"> </w:t>
      </w:r>
      <w:r w:rsidRPr="00FD1143">
        <w:rPr>
          <w:color w:val="000000"/>
        </w:rPr>
        <w:t xml:space="preserve">k přepravě zvířat nebo věcí, </w:t>
      </w:r>
    </w:p>
    <w:p w14:paraId="1A3A923E" w14:textId="792E92F5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Provádění staveb, jejich změn a odstraňování, </w:t>
      </w:r>
    </w:p>
    <w:p w14:paraId="54090766" w14:textId="0AC8C987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Činnost účetních poradců, vedení účetnictví, vedení daňové evidence, </w:t>
      </w:r>
    </w:p>
    <w:p w14:paraId="796DBAB4" w14:textId="53E7F1B8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Nákup, prodej, správa a údržba nemovitostí, </w:t>
      </w:r>
    </w:p>
    <w:p w14:paraId="28E7FB9F" w14:textId="0A867AA8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>Provozování kulturních, kulturně-vzdělávacích a zábavních zařízení, pořádání kulturních produkcí, zábav, výstav, veletrhů, přehlídek, prodejních a obdobných</w:t>
      </w:r>
      <w:r>
        <w:rPr>
          <w:color w:val="000000"/>
        </w:rPr>
        <w:t xml:space="preserve"> </w:t>
      </w:r>
      <w:r w:rsidRPr="00FD1143">
        <w:rPr>
          <w:color w:val="000000"/>
        </w:rPr>
        <w:t xml:space="preserve">akcí, </w:t>
      </w:r>
    </w:p>
    <w:p w14:paraId="4E9CD2FA" w14:textId="536C6055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Zprostředkování obchodu a služeb, </w:t>
      </w:r>
    </w:p>
    <w:p w14:paraId="71568F44" w14:textId="7FB8706C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Poskytování technických služeb, </w:t>
      </w:r>
    </w:p>
    <w:p w14:paraId="20C32ABA" w14:textId="7F9AF8E3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Provozování vodovodů a kanalizací a úprava a rozvod vody, </w:t>
      </w:r>
    </w:p>
    <w:p w14:paraId="7A4AE155" w14:textId="774B080F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Nakládání s odpady (vyjma nebezpečných), </w:t>
      </w:r>
    </w:p>
    <w:p w14:paraId="25B369D3" w14:textId="1481215C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Velkoobchod a maloobchod, </w:t>
      </w:r>
    </w:p>
    <w:p w14:paraId="6EEF8583" w14:textId="38E98E47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Pronájem a půjčování věcí movitých, </w:t>
      </w:r>
    </w:p>
    <w:p w14:paraId="75E1E5D4" w14:textId="73041B0C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Poradenská a konzultační činnost, zpracování odborných studií a posudků, </w:t>
      </w:r>
    </w:p>
    <w:p w14:paraId="763ADDF0" w14:textId="7F8E92B7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Testování, měření, analýzy a kontroly, </w:t>
      </w:r>
    </w:p>
    <w:p w14:paraId="4B613DFE" w14:textId="576EF553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 xml:space="preserve">Reklamní činnost, marketing, mediální zastoupení, </w:t>
      </w:r>
    </w:p>
    <w:p w14:paraId="078B92C3" w14:textId="34AD50CF" w:rsidR="00FD1143" w:rsidRP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>Služby v oblasti administrativní správy a služby organizačně hospodářské</w:t>
      </w:r>
      <w:r>
        <w:rPr>
          <w:color w:val="000000"/>
        </w:rPr>
        <w:t xml:space="preserve"> </w:t>
      </w:r>
      <w:r w:rsidRPr="00FD1143">
        <w:rPr>
          <w:color w:val="000000"/>
        </w:rPr>
        <w:t xml:space="preserve">povahy, </w:t>
      </w:r>
    </w:p>
    <w:p w14:paraId="1959407A" w14:textId="425EC0C8" w:rsidR="00FD1143" w:rsidRDefault="00FD1143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FD1143">
        <w:rPr>
          <w:color w:val="000000"/>
        </w:rPr>
        <w:t>Opravy a údržba potřeb pro domácnost, předmětů kulturní povahy, výrobků</w:t>
      </w:r>
      <w:r>
        <w:rPr>
          <w:color w:val="000000"/>
        </w:rPr>
        <w:t xml:space="preserve"> </w:t>
      </w:r>
      <w:r w:rsidRPr="00FD1143">
        <w:rPr>
          <w:color w:val="000000"/>
        </w:rPr>
        <w:t xml:space="preserve">jemné mechaniky, optických přístrojů a měřidel, </w:t>
      </w:r>
    </w:p>
    <w:p w14:paraId="4816A0CE" w14:textId="06548EDF" w:rsidR="004934E9" w:rsidRDefault="004934E9" w:rsidP="00521E3D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>
        <w:rPr>
          <w:color w:val="000000"/>
        </w:rPr>
        <w:t>Ubytovací služby,</w:t>
      </w:r>
    </w:p>
    <w:p w14:paraId="74F9AE6A" w14:textId="2A2430CE" w:rsidR="004934E9" w:rsidRPr="004934E9" w:rsidRDefault="004934E9" w:rsidP="004934E9">
      <w:pPr>
        <w:pStyle w:val="Odstavecseseznamem"/>
        <w:numPr>
          <w:ilvl w:val="0"/>
          <w:numId w:val="13"/>
        </w:numPr>
        <w:spacing w:after="120"/>
        <w:ind w:left="1077" w:hanging="357"/>
        <w:contextualSpacing w:val="0"/>
        <w:jc w:val="both"/>
        <w:rPr>
          <w:color w:val="000000"/>
        </w:rPr>
      </w:pPr>
      <w:r w:rsidRPr="004934E9">
        <w:rPr>
          <w:color w:val="000000"/>
        </w:rPr>
        <w:t>Poskytování software, poradenství v oblasti informačních technologií, zpracování dat, hostingové a související činnosti a webové portály</w:t>
      </w:r>
    </w:p>
    <w:p w14:paraId="00000038" w14:textId="0DC641B3" w:rsidR="00AD3633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</w:rPr>
      </w:pPr>
      <w:bookmarkStart w:id="1" w:name="_heading=h.gjdgxs" w:colFirst="0" w:colLast="0"/>
      <w:bookmarkEnd w:id="0"/>
      <w:bookmarkEnd w:id="1"/>
      <w:r>
        <w:rPr>
          <w:b/>
          <w:color w:val="000000"/>
        </w:rPr>
        <w:lastRenderedPageBreak/>
        <w:t>JEDNÁNÍ ZA SPOLEČNOST</w:t>
      </w:r>
    </w:p>
    <w:p w14:paraId="55FB2BB6" w14:textId="4F196B0C" w:rsidR="00265BB5" w:rsidRPr="007A4000" w:rsidRDefault="007A4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  <w:r w:rsidRPr="007A4000">
        <w:rPr>
          <w:color w:val="000000"/>
        </w:rPr>
        <w:t xml:space="preserve">Za společnost je oprávněn jednat předseda nebo místopředseda představenstva samostatně, </w:t>
      </w:r>
      <w:r w:rsidR="00CB46BE">
        <w:rPr>
          <w:color w:val="000000"/>
        </w:rPr>
        <w:t>nebo</w:t>
      </w:r>
      <w:r w:rsidRPr="007A4000">
        <w:rPr>
          <w:color w:val="000000"/>
        </w:rPr>
        <w:t xml:space="preserve"> jiný člen představenstva</w:t>
      </w:r>
      <w:r w:rsidR="00CB46BE">
        <w:rPr>
          <w:color w:val="000000"/>
        </w:rPr>
        <w:t>, který k tomu byl představenstvem písemně pověřen.</w:t>
      </w:r>
      <w:r w:rsidRPr="007A4000">
        <w:rPr>
          <w:color w:val="000000"/>
        </w:rPr>
        <w:t xml:space="preserve"> </w:t>
      </w:r>
    </w:p>
    <w:p w14:paraId="0000003A" w14:textId="02AFCCEE" w:rsidR="00AD3633" w:rsidRPr="007A4000" w:rsidRDefault="008438B5" w:rsidP="00265B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color w:val="000000"/>
        </w:rPr>
      </w:pPr>
      <w:r w:rsidRPr="00265BB5">
        <w:rPr>
          <w:b/>
          <w:color w:val="000000"/>
        </w:rPr>
        <w:t>DOBA TRVÁNÍ SPOLEČNOSTI</w:t>
      </w:r>
    </w:p>
    <w:p w14:paraId="0000003B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2" w:name="_Hlk69469241"/>
      <w:r>
        <w:rPr>
          <w:color w:val="000000"/>
        </w:rPr>
        <w:t>Společnost je založena na dobu neurčitou</w:t>
      </w:r>
      <w:bookmarkEnd w:id="2"/>
      <w:r>
        <w:rPr>
          <w:color w:val="000000"/>
        </w:rPr>
        <w:t>.</w:t>
      </w:r>
    </w:p>
    <w:p w14:paraId="0000003C" w14:textId="77777777" w:rsidR="00AD3633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ZÁKLADNÍ KAPITÁL</w:t>
      </w:r>
    </w:p>
    <w:p w14:paraId="0000003D" w14:textId="7740C2DB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Základní kapitál společnosti činí 2.000.000 Kč (dva miliony korun českých). Základní kapitál je splacen v plném rozsahu.</w:t>
      </w:r>
    </w:p>
    <w:p w14:paraId="0000003E" w14:textId="663F49EC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Na postup při zvyšování a snižování základního kapitálu se, není-li stanoveno jinak, použijí příslušná ustanovení zákona č. 90/2012 Sb., o obchodních</w:t>
      </w:r>
      <w:r w:rsidR="00D23AC1">
        <w:rPr>
          <w:color w:val="000000"/>
        </w:rPr>
        <w:t xml:space="preserve"> společnostech a družstvech, ve znění pozdějších předpisů (dále jen „ZOK“ nebo „zákon o obchodních korporacích“).</w:t>
      </w:r>
    </w:p>
    <w:p w14:paraId="0000003F" w14:textId="77777777" w:rsidR="00AD3633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PŘÍPLATKY MIMO ZÁKLADNÍ KAPITÁL</w:t>
      </w:r>
    </w:p>
    <w:p w14:paraId="00000040" w14:textId="1BD30CED" w:rsidR="00AD3633" w:rsidRPr="00BC5C1C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Akcionář může se souhlasem představenstva poskytnout společnosti dobrovolný příplatek mimo základní kapitál. Příplatek je možné poskytnout jako peněžitý nebo nepeněžitý. Na nepeněžitý příplatek mimo základní kapitál se použije § 143 ZOK obdobně.</w:t>
      </w:r>
    </w:p>
    <w:p w14:paraId="5E856D16" w14:textId="23537BF3" w:rsidR="00BB153C" w:rsidRPr="00BC5C1C" w:rsidRDefault="0078417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Valná hromada společnosti může rozhodnout</w:t>
      </w:r>
      <w:r w:rsidR="00DD47C8">
        <w:rPr>
          <w:color w:val="000000"/>
        </w:rPr>
        <w:t xml:space="preserve"> o vrácení příplatku mimo základní kapitál tak</w:t>
      </w:r>
      <w:r>
        <w:rPr>
          <w:color w:val="000000"/>
        </w:rPr>
        <w:t xml:space="preserve">, že </w:t>
      </w:r>
      <w:r w:rsidR="00DD47C8">
        <w:rPr>
          <w:color w:val="000000"/>
        </w:rPr>
        <w:t xml:space="preserve">jiné vlastní zdroje vytvořené </w:t>
      </w:r>
      <w:r w:rsidRPr="00784174">
        <w:rPr>
          <w:color w:val="000000"/>
        </w:rPr>
        <w:t>poskytnutý</w:t>
      </w:r>
      <w:r w:rsidR="00DD47C8">
        <w:rPr>
          <w:color w:val="000000"/>
        </w:rPr>
        <w:t>m</w:t>
      </w:r>
      <w:r w:rsidRPr="00784174">
        <w:rPr>
          <w:color w:val="000000"/>
        </w:rPr>
        <w:t xml:space="preserve"> příplat</w:t>
      </w:r>
      <w:r w:rsidR="00DD47C8">
        <w:rPr>
          <w:color w:val="000000"/>
        </w:rPr>
        <w:t>kem mimo základní kapitál</w:t>
      </w:r>
      <w:r w:rsidRPr="00784174">
        <w:rPr>
          <w:color w:val="000000"/>
        </w:rPr>
        <w:t xml:space="preserve"> bud</w:t>
      </w:r>
      <w:r w:rsidR="00DD47C8">
        <w:rPr>
          <w:color w:val="000000"/>
        </w:rPr>
        <w:t>ou</w:t>
      </w:r>
      <w:r w:rsidRPr="00784174">
        <w:rPr>
          <w:color w:val="000000"/>
        </w:rPr>
        <w:t xml:space="preserve"> </w:t>
      </w:r>
      <w:r w:rsidR="00DD47C8">
        <w:rPr>
          <w:color w:val="000000"/>
        </w:rPr>
        <w:t>zcela či částečně vyplaceny</w:t>
      </w:r>
      <w:r>
        <w:rPr>
          <w:color w:val="000000"/>
        </w:rPr>
        <w:t xml:space="preserve"> </w:t>
      </w:r>
      <w:r w:rsidR="00DD47C8">
        <w:rPr>
          <w:color w:val="000000"/>
        </w:rPr>
        <w:t xml:space="preserve">akcionáři či </w:t>
      </w:r>
      <w:r>
        <w:rPr>
          <w:color w:val="000000"/>
        </w:rPr>
        <w:t>akcionář</w:t>
      </w:r>
      <w:r w:rsidR="00DD47C8">
        <w:rPr>
          <w:color w:val="000000"/>
        </w:rPr>
        <w:t>ům v rozsahu jejich práv spojených s akciemi či konkrétní akcií</w:t>
      </w:r>
      <w:r w:rsidR="00BB153C">
        <w:rPr>
          <w:color w:val="000000"/>
        </w:rPr>
        <w:t>, a to</w:t>
      </w:r>
      <w:r w:rsidR="00DD47C8">
        <w:rPr>
          <w:color w:val="000000"/>
        </w:rPr>
        <w:t xml:space="preserve"> i opakovaně do výše poskytnutých příplatků mimo základní kapitál</w:t>
      </w:r>
      <w:r>
        <w:rPr>
          <w:color w:val="000000"/>
        </w:rPr>
        <w:t>.</w:t>
      </w:r>
    </w:p>
    <w:p w14:paraId="00000043" w14:textId="77777777" w:rsidR="00AD3633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</w:rPr>
      </w:pPr>
      <w:r>
        <w:rPr>
          <w:b/>
          <w:color w:val="000000"/>
        </w:rPr>
        <w:t>AKCIE</w:t>
      </w:r>
    </w:p>
    <w:p w14:paraId="00000044" w14:textId="64ECAC06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Základní kapitál společnosti je rozdělen na čtyři (4) akcie, každá o jmenovité hodnotě 500.000 Kč</w:t>
      </w:r>
      <w:r w:rsidR="00D23AC1">
        <w:rPr>
          <w:color w:val="000000"/>
        </w:rPr>
        <w:t xml:space="preserve"> (pět set tisíc korun českých)</w:t>
      </w:r>
      <w:r>
        <w:rPr>
          <w:color w:val="000000"/>
        </w:rPr>
        <w:t>.</w:t>
      </w:r>
    </w:p>
    <w:p w14:paraId="00000045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Akcie společnosti jsou listinnými akciemi na jméno, tedy cenné papíry ve formě na řad.</w:t>
      </w:r>
    </w:p>
    <w:p w14:paraId="00000046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Společnost vydala následující druhy akcií:</w:t>
      </w:r>
    </w:p>
    <w:p w14:paraId="00000047" w14:textId="39F40372" w:rsidR="00AD3633" w:rsidRDefault="00BB153C">
      <w:pPr>
        <w:keepNext/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709"/>
        <w:jc w:val="both"/>
        <w:rPr>
          <w:b/>
          <w:color w:val="000000"/>
        </w:rPr>
      </w:pPr>
      <w:bookmarkStart w:id="3" w:name="_Hlk80618195"/>
      <w:r>
        <w:rPr>
          <w:b/>
          <w:color w:val="000000"/>
        </w:rPr>
        <w:t>Akcie B</w:t>
      </w:r>
    </w:p>
    <w:p w14:paraId="00000048" w14:textId="6134F9AA" w:rsidR="00AD3633" w:rsidRDefault="008438B5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1418"/>
        <w:jc w:val="both"/>
        <w:rPr>
          <w:color w:val="000000"/>
        </w:rPr>
      </w:pPr>
      <w:r>
        <w:rPr>
          <w:color w:val="000000"/>
          <w:u w:val="single"/>
        </w:rPr>
        <w:t>Název</w:t>
      </w:r>
      <w:r>
        <w:rPr>
          <w:color w:val="000000"/>
        </w:rPr>
        <w:t>:</w:t>
      </w:r>
      <w:r>
        <w:rPr>
          <w:color w:val="000000"/>
        </w:rPr>
        <w:tab/>
      </w:r>
      <w:r w:rsidR="00BB153C">
        <w:rPr>
          <w:color w:val="000000"/>
        </w:rPr>
        <w:t>Akcie B</w:t>
      </w:r>
    </w:p>
    <w:p w14:paraId="00000049" w14:textId="77777777" w:rsidR="00AD3633" w:rsidRDefault="008438B5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1418"/>
        <w:jc w:val="both"/>
        <w:rPr>
          <w:color w:val="000000"/>
        </w:rPr>
      </w:pPr>
      <w:r>
        <w:rPr>
          <w:color w:val="000000"/>
          <w:u w:val="single"/>
        </w:rPr>
        <w:t>Počet</w:t>
      </w:r>
      <w:r>
        <w:rPr>
          <w:color w:val="000000"/>
        </w:rPr>
        <w:t>:</w:t>
      </w:r>
      <w:r>
        <w:rPr>
          <w:color w:val="000000"/>
        </w:rPr>
        <w:tab/>
        <w:t>jeden (1) kus</w:t>
      </w:r>
    </w:p>
    <w:p w14:paraId="4200A891" w14:textId="59DF6E1D" w:rsidR="004C4AB5" w:rsidRDefault="008438B5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2124" w:hanging="706"/>
        <w:jc w:val="both"/>
        <w:rPr>
          <w:color w:val="000000"/>
        </w:rPr>
      </w:pPr>
      <w:r>
        <w:rPr>
          <w:color w:val="000000"/>
          <w:u w:val="single"/>
        </w:rPr>
        <w:t>Práva</w:t>
      </w:r>
      <w:r>
        <w:rPr>
          <w:color w:val="000000"/>
        </w:rPr>
        <w:t>:</w:t>
      </w:r>
      <w:r>
        <w:rPr>
          <w:color w:val="000000"/>
        </w:rPr>
        <w:tab/>
        <w:t>S </w:t>
      </w:r>
      <w:r w:rsidR="00BB153C">
        <w:rPr>
          <w:color w:val="000000"/>
        </w:rPr>
        <w:t>Akcií B</w:t>
      </w:r>
      <w:r>
        <w:rPr>
          <w:color w:val="000000"/>
        </w:rPr>
        <w:t xml:space="preserve"> jsou spojena práva dle </w:t>
      </w:r>
      <w:r w:rsidR="00D23AC1">
        <w:rPr>
          <w:color w:val="000000"/>
        </w:rPr>
        <w:t>zákona o obchodních korporacích</w:t>
      </w:r>
      <w:r>
        <w:rPr>
          <w:color w:val="000000"/>
        </w:rPr>
        <w:t>, s výjimkou práva na podíl na zisku a jiných vlastních zdrojích, které s </w:t>
      </w:r>
      <w:r w:rsidR="004C4AB5">
        <w:rPr>
          <w:color w:val="000000"/>
        </w:rPr>
        <w:t>Akcií B</w:t>
      </w:r>
      <w:r>
        <w:rPr>
          <w:color w:val="000000"/>
        </w:rPr>
        <w:t xml:space="preserve"> spojeno není</w:t>
      </w:r>
      <w:r w:rsidR="00650897">
        <w:rPr>
          <w:color w:val="000000"/>
        </w:rPr>
        <w:t>, není-li dále stanoveno jinak</w:t>
      </w:r>
      <w:r>
        <w:rPr>
          <w:color w:val="000000"/>
        </w:rPr>
        <w:t xml:space="preserve">. </w:t>
      </w:r>
    </w:p>
    <w:p w14:paraId="0C798C15" w14:textId="554E92AA" w:rsidR="004C4AB5" w:rsidRPr="00E55879" w:rsidRDefault="004C4AB5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2124" w:hanging="706"/>
        <w:jc w:val="both"/>
        <w:rPr>
          <w:color w:val="000000"/>
        </w:rPr>
      </w:pPr>
      <w:r w:rsidRPr="00BC5C1C">
        <w:rPr>
          <w:color w:val="000000"/>
        </w:rPr>
        <w:tab/>
        <w:t xml:space="preserve">S Akcií B je spojeno </w:t>
      </w:r>
      <w:r w:rsidR="008931A5">
        <w:rPr>
          <w:color w:val="000000"/>
        </w:rPr>
        <w:t xml:space="preserve">samostatně nepřevoditelné </w:t>
      </w:r>
      <w:r w:rsidRPr="00BC5C1C">
        <w:rPr>
          <w:color w:val="000000"/>
        </w:rPr>
        <w:t xml:space="preserve">právo na </w:t>
      </w:r>
      <w:r w:rsidR="00DD47C8" w:rsidRPr="00BC5C1C">
        <w:rPr>
          <w:color w:val="000000"/>
        </w:rPr>
        <w:t xml:space="preserve">vyplacení jiných vlastních zdrojů vytvořených </w:t>
      </w:r>
      <w:r w:rsidRPr="00BC5C1C">
        <w:rPr>
          <w:color w:val="000000"/>
        </w:rPr>
        <w:t>poskytnut</w:t>
      </w:r>
      <w:r w:rsidR="00DD47C8" w:rsidRPr="00BC5C1C">
        <w:rPr>
          <w:color w:val="000000"/>
        </w:rPr>
        <w:t>ým</w:t>
      </w:r>
      <w:r w:rsidRPr="00BC5C1C">
        <w:rPr>
          <w:color w:val="000000"/>
        </w:rPr>
        <w:t xml:space="preserve"> příplatk</w:t>
      </w:r>
      <w:r w:rsidR="00DD47C8" w:rsidRPr="00BC5C1C">
        <w:rPr>
          <w:color w:val="000000"/>
        </w:rPr>
        <w:t>em</w:t>
      </w:r>
      <w:r w:rsidRPr="00BC5C1C">
        <w:rPr>
          <w:color w:val="000000"/>
        </w:rPr>
        <w:t xml:space="preserve"> mimo základní kapitál až do výše </w:t>
      </w:r>
      <w:r w:rsidR="00B16595" w:rsidRPr="00B16595">
        <w:rPr>
          <w:color w:val="000000"/>
        </w:rPr>
        <w:t>1/4 (jedné čtvrtiny) takových vlastních zdrojů</w:t>
      </w:r>
      <w:r w:rsidRPr="00BC5C1C">
        <w:rPr>
          <w:color w:val="000000"/>
        </w:rPr>
        <w:t xml:space="preserve">, a to na základě </w:t>
      </w:r>
      <w:r w:rsidRPr="00BC5C1C">
        <w:rPr>
          <w:color w:val="000000"/>
        </w:rPr>
        <w:lastRenderedPageBreak/>
        <w:t xml:space="preserve">rozhodnutí valné hromady společnosti, avšak </w:t>
      </w:r>
      <w:r w:rsidR="00DD47C8" w:rsidRPr="00BE431F">
        <w:rPr>
          <w:color w:val="000000"/>
        </w:rPr>
        <w:t xml:space="preserve">konkrétní </w:t>
      </w:r>
      <w:r w:rsidRPr="00BE431F">
        <w:rPr>
          <w:color w:val="000000"/>
        </w:rPr>
        <w:t xml:space="preserve">právo </w:t>
      </w:r>
      <w:r w:rsidR="00DD47C8" w:rsidRPr="00BE431F">
        <w:rPr>
          <w:color w:val="000000"/>
        </w:rPr>
        <w:t>na vyplacení</w:t>
      </w:r>
      <w:r w:rsidR="00DD47C8" w:rsidRPr="00BC5C1C">
        <w:rPr>
          <w:color w:val="000000"/>
        </w:rPr>
        <w:t xml:space="preserve"> </w:t>
      </w:r>
      <w:r w:rsidRPr="00BC5C1C">
        <w:rPr>
          <w:color w:val="000000"/>
        </w:rPr>
        <w:t xml:space="preserve">může vzniknout nejdříve </w:t>
      </w:r>
      <w:r w:rsidR="00DD47C8" w:rsidRPr="00BC5C1C">
        <w:rPr>
          <w:color w:val="000000"/>
        </w:rPr>
        <w:t>1. 1. 2030</w:t>
      </w:r>
      <w:r w:rsidRPr="00BC5C1C">
        <w:rPr>
          <w:color w:val="000000"/>
        </w:rPr>
        <w:t>.</w:t>
      </w:r>
    </w:p>
    <w:p w14:paraId="0000004A" w14:textId="79353AC5" w:rsidR="00AD3633" w:rsidRPr="00E55879" w:rsidRDefault="004C4AB5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2124" w:hanging="706"/>
        <w:jc w:val="both"/>
        <w:rPr>
          <w:color w:val="000000"/>
        </w:rPr>
      </w:pPr>
      <w:r w:rsidRPr="00BC5C1C">
        <w:rPr>
          <w:color w:val="000000"/>
        </w:rPr>
        <w:tab/>
      </w:r>
      <w:r w:rsidR="008438B5" w:rsidRPr="00E55879">
        <w:rPr>
          <w:color w:val="000000"/>
        </w:rPr>
        <w:t>S </w:t>
      </w:r>
      <w:r w:rsidR="0062554E" w:rsidRPr="00E55879">
        <w:rPr>
          <w:color w:val="000000"/>
        </w:rPr>
        <w:t>A</w:t>
      </w:r>
      <w:r w:rsidR="008438B5" w:rsidRPr="00E55879">
        <w:rPr>
          <w:color w:val="000000"/>
        </w:rPr>
        <w:t>kcií</w:t>
      </w:r>
      <w:r w:rsidR="0062554E" w:rsidRPr="00E55879">
        <w:rPr>
          <w:color w:val="000000"/>
        </w:rPr>
        <w:t xml:space="preserve"> B</w:t>
      </w:r>
      <w:r w:rsidR="008438B5" w:rsidRPr="00E55879">
        <w:rPr>
          <w:color w:val="000000"/>
        </w:rPr>
        <w:t xml:space="preserve"> je dále spojeno </w:t>
      </w:r>
      <w:r w:rsidR="008438B5" w:rsidRPr="008B5843">
        <w:rPr>
          <w:color w:val="000000"/>
        </w:rPr>
        <w:t>právo jmenovat tři (3) členy představenstva</w:t>
      </w:r>
      <w:r w:rsidR="008438B5" w:rsidRPr="00E55879">
        <w:rPr>
          <w:color w:val="000000"/>
        </w:rPr>
        <w:t xml:space="preserve"> a takto jmenované členy odvolat.</w:t>
      </w:r>
    </w:p>
    <w:p w14:paraId="5B581FDB" w14:textId="027E931F" w:rsidR="00DD47C8" w:rsidRDefault="00DD47C8">
      <w:pPr>
        <w:pBdr>
          <w:top w:val="nil"/>
          <w:left w:val="nil"/>
          <w:bottom w:val="nil"/>
          <w:right w:val="nil"/>
          <w:between w:val="nil"/>
        </w:pBdr>
        <w:tabs>
          <w:tab w:val="left" w:pos="2127"/>
        </w:tabs>
        <w:ind w:left="2124" w:hanging="706"/>
        <w:jc w:val="both"/>
        <w:rPr>
          <w:color w:val="000000"/>
        </w:rPr>
      </w:pPr>
      <w:r>
        <w:rPr>
          <w:color w:val="000000"/>
        </w:rPr>
        <w:tab/>
        <w:t>S Akcií B je spojeno hlasovací právo.</w:t>
      </w:r>
    </w:p>
    <w:p w14:paraId="0000004B" w14:textId="0A1C92E7" w:rsidR="00AD3633" w:rsidRDefault="00BB153C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708"/>
        <w:jc w:val="both"/>
        <w:rPr>
          <w:b/>
          <w:color w:val="000000"/>
        </w:rPr>
      </w:pPr>
      <w:r>
        <w:rPr>
          <w:b/>
          <w:color w:val="000000"/>
        </w:rPr>
        <w:t>Akcie A</w:t>
      </w:r>
    </w:p>
    <w:p w14:paraId="0000004C" w14:textId="053C5ACC" w:rsidR="00AD3633" w:rsidRDefault="008438B5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</w:rPr>
      </w:pPr>
      <w:r>
        <w:rPr>
          <w:color w:val="000000"/>
          <w:u w:val="single"/>
        </w:rPr>
        <w:t>Název</w:t>
      </w:r>
      <w:r>
        <w:rPr>
          <w:color w:val="000000"/>
        </w:rPr>
        <w:t>:</w:t>
      </w:r>
      <w:r>
        <w:rPr>
          <w:color w:val="000000"/>
        </w:rPr>
        <w:tab/>
      </w:r>
      <w:r w:rsidR="004C4AB5">
        <w:rPr>
          <w:color w:val="000000"/>
        </w:rPr>
        <w:t>Akcie A</w:t>
      </w:r>
    </w:p>
    <w:p w14:paraId="0000004D" w14:textId="77777777" w:rsidR="00AD3633" w:rsidRDefault="008438B5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</w:rPr>
      </w:pPr>
      <w:r>
        <w:rPr>
          <w:color w:val="000000"/>
          <w:u w:val="single"/>
        </w:rPr>
        <w:t>Počet</w:t>
      </w:r>
      <w:r>
        <w:rPr>
          <w:color w:val="000000"/>
        </w:rPr>
        <w:t>:</w:t>
      </w:r>
      <w:r>
        <w:rPr>
          <w:color w:val="000000"/>
        </w:rPr>
        <w:tab/>
        <w:t>tři (3) kusy</w:t>
      </w:r>
    </w:p>
    <w:p w14:paraId="0000004E" w14:textId="0D9E6B07" w:rsidR="00AD3633" w:rsidRDefault="008438B5">
      <w:pPr>
        <w:pBdr>
          <w:top w:val="nil"/>
          <w:left w:val="nil"/>
          <w:bottom w:val="nil"/>
          <w:right w:val="nil"/>
          <w:between w:val="nil"/>
        </w:pBdr>
        <w:ind w:left="2124" w:hanging="706"/>
        <w:jc w:val="both"/>
        <w:rPr>
          <w:color w:val="000000"/>
        </w:rPr>
      </w:pPr>
      <w:r>
        <w:rPr>
          <w:color w:val="000000"/>
          <w:u w:val="single"/>
        </w:rPr>
        <w:t>Práva</w:t>
      </w:r>
      <w:r>
        <w:rPr>
          <w:color w:val="000000"/>
        </w:rPr>
        <w:t>:</w:t>
      </w:r>
      <w:r>
        <w:rPr>
          <w:color w:val="000000"/>
        </w:rPr>
        <w:tab/>
        <w:t>S </w:t>
      </w:r>
      <w:r w:rsidR="004C4AB5">
        <w:rPr>
          <w:color w:val="000000"/>
        </w:rPr>
        <w:t>A</w:t>
      </w:r>
      <w:r>
        <w:rPr>
          <w:color w:val="000000"/>
        </w:rPr>
        <w:t>kcií</w:t>
      </w:r>
      <w:r w:rsidR="004C4AB5">
        <w:rPr>
          <w:color w:val="000000"/>
        </w:rPr>
        <w:t xml:space="preserve"> A</w:t>
      </w:r>
      <w:r>
        <w:rPr>
          <w:color w:val="000000"/>
        </w:rPr>
        <w:t xml:space="preserve"> jsou spojena práva dle ZOK, a dále je s ní spojeno přednostní právo na pevný podíl na </w:t>
      </w:r>
      <w:r w:rsidRPr="0062554E">
        <w:rPr>
          <w:color w:val="000000"/>
        </w:rPr>
        <w:t xml:space="preserve">zisku </w:t>
      </w:r>
      <w:r w:rsidRPr="00BC5C1C">
        <w:rPr>
          <w:color w:val="000000"/>
        </w:rPr>
        <w:t>podle těchto stanov</w:t>
      </w:r>
      <w:r w:rsidRPr="0062554E">
        <w:rPr>
          <w:color w:val="000000"/>
        </w:rPr>
        <w:t>.</w:t>
      </w:r>
    </w:p>
    <w:p w14:paraId="0000004F" w14:textId="41B51D46" w:rsidR="00AD3633" w:rsidRDefault="004C4AB5">
      <w:pPr>
        <w:pBdr>
          <w:top w:val="nil"/>
          <w:left w:val="nil"/>
          <w:bottom w:val="nil"/>
          <w:right w:val="nil"/>
          <w:between w:val="nil"/>
        </w:pBdr>
        <w:ind w:left="2124"/>
        <w:jc w:val="both"/>
        <w:rPr>
          <w:color w:val="000000"/>
        </w:rPr>
      </w:pPr>
      <w:r>
        <w:rPr>
          <w:color w:val="000000"/>
        </w:rPr>
        <w:t xml:space="preserve">Podíl </w:t>
      </w:r>
      <w:r w:rsidR="008438B5">
        <w:rPr>
          <w:color w:val="000000"/>
        </w:rPr>
        <w:t xml:space="preserve">na zisku spojený s každou jednou </w:t>
      </w:r>
      <w:r>
        <w:rPr>
          <w:color w:val="000000"/>
        </w:rPr>
        <w:t>A</w:t>
      </w:r>
      <w:r w:rsidR="008438B5">
        <w:rPr>
          <w:color w:val="000000"/>
        </w:rPr>
        <w:t>kcií</w:t>
      </w:r>
      <w:r>
        <w:rPr>
          <w:color w:val="000000"/>
        </w:rPr>
        <w:t xml:space="preserve"> A</w:t>
      </w:r>
      <w:r w:rsidR="008438B5">
        <w:rPr>
          <w:color w:val="000000"/>
        </w:rPr>
        <w:t xml:space="preserve"> se určí jako poměr jmenovité hodnoty </w:t>
      </w:r>
      <w:r>
        <w:rPr>
          <w:color w:val="000000"/>
        </w:rPr>
        <w:t>A</w:t>
      </w:r>
      <w:r w:rsidR="008438B5">
        <w:rPr>
          <w:color w:val="000000"/>
        </w:rPr>
        <w:t>kcie</w:t>
      </w:r>
      <w:r>
        <w:rPr>
          <w:color w:val="000000"/>
        </w:rPr>
        <w:t xml:space="preserve"> A</w:t>
      </w:r>
      <w:r w:rsidR="008438B5">
        <w:rPr>
          <w:color w:val="000000"/>
        </w:rPr>
        <w:t xml:space="preserve"> ke jmenovitým hodnotám všech </w:t>
      </w:r>
      <w:r>
        <w:rPr>
          <w:color w:val="000000"/>
        </w:rPr>
        <w:t>A</w:t>
      </w:r>
      <w:r w:rsidR="008438B5">
        <w:rPr>
          <w:color w:val="000000"/>
        </w:rPr>
        <w:t>kcií</w:t>
      </w:r>
      <w:r>
        <w:rPr>
          <w:color w:val="000000"/>
        </w:rPr>
        <w:t xml:space="preserve"> A</w:t>
      </w:r>
      <w:r w:rsidR="008438B5">
        <w:rPr>
          <w:color w:val="000000"/>
        </w:rPr>
        <w:t>.</w:t>
      </w:r>
    </w:p>
    <w:p w14:paraId="00000050" w14:textId="5BBF15BA" w:rsidR="00AD3633" w:rsidRDefault="008438B5" w:rsidP="004C4AB5">
      <w:pPr>
        <w:pBdr>
          <w:top w:val="nil"/>
          <w:left w:val="nil"/>
          <w:bottom w:val="nil"/>
          <w:right w:val="nil"/>
          <w:between w:val="nil"/>
        </w:pBdr>
        <w:ind w:left="2124"/>
        <w:jc w:val="both"/>
        <w:rPr>
          <w:color w:val="000000"/>
        </w:rPr>
      </w:pPr>
      <w:r>
        <w:rPr>
          <w:color w:val="000000"/>
        </w:rPr>
        <w:t>S </w:t>
      </w:r>
      <w:r w:rsidR="004C4AB5">
        <w:rPr>
          <w:color w:val="000000"/>
        </w:rPr>
        <w:t>A</w:t>
      </w:r>
      <w:r>
        <w:rPr>
          <w:color w:val="000000"/>
        </w:rPr>
        <w:t>kcií</w:t>
      </w:r>
      <w:r w:rsidR="004C4AB5">
        <w:rPr>
          <w:color w:val="000000"/>
        </w:rPr>
        <w:t xml:space="preserve"> A</w:t>
      </w:r>
      <w:r>
        <w:rPr>
          <w:color w:val="000000"/>
        </w:rPr>
        <w:t xml:space="preserve"> je spojeno hlasovací právo.</w:t>
      </w:r>
    </w:p>
    <w:p w14:paraId="447DB1E0" w14:textId="425D67B6" w:rsidR="004C4AB5" w:rsidRDefault="004C4AB5">
      <w:pPr>
        <w:pBdr>
          <w:top w:val="nil"/>
          <w:left w:val="nil"/>
          <w:bottom w:val="nil"/>
          <w:right w:val="nil"/>
          <w:between w:val="nil"/>
        </w:pBdr>
        <w:ind w:left="2124"/>
        <w:jc w:val="both"/>
        <w:rPr>
          <w:color w:val="000000"/>
        </w:rPr>
      </w:pPr>
      <w:r>
        <w:rPr>
          <w:color w:val="000000"/>
        </w:rPr>
        <w:t xml:space="preserve">S každou Akcií A je </w:t>
      </w:r>
      <w:r w:rsidRPr="00BC5C1C">
        <w:rPr>
          <w:color w:val="000000"/>
        </w:rPr>
        <w:t xml:space="preserve">spojeno právo </w:t>
      </w:r>
      <w:r w:rsidR="00DD47C8" w:rsidRPr="00BC5C1C">
        <w:rPr>
          <w:color w:val="000000"/>
        </w:rPr>
        <w:t xml:space="preserve">na vyplacení jiných vlastních zdrojů vytvořených poskytnutým příplatkem mimo základní kapitál až do výše </w:t>
      </w:r>
      <w:r w:rsidR="00B16595" w:rsidRPr="00B16595">
        <w:rPr>
          <w:color w:val="000000"/>
        </w:rPr>
        <w:t>1/4 (jedné čtvrtiny) takových vlastních zdrojů</w:t>
      </w:r>
      <w:r w:rsidRPr="00B16595">
        <w:rPr>
          <w:color w:val="000000"/>
        </w:rPr>
        <w:t>,</w:t>
      </w:r>
      <w:r w:rsidRPr="00BC5C1C">
        <w:rPr>
          <w:color w:val="000000"/>
        </w:rPr>
        <w:t xml:space="preserve"> a to na základě rozhodnutí valné hromady společnosti.</w:t>
      </w:r>
    </w:p>
    <w:p w14:paraId="00000051" w14:textId="4CB161FA" w:rsidR="00AD3633" w:rsidRDefault="008438B5">
      <w:pPr>
        <w:pBdr>
          <w:top w:val="nil"/>
          <w:left w:val="nil"/>
          <w:bottom w:val="nil"/>
          <w:right w:val="nil"/>
          <w:between w:val="nil"/>
        </w:pBdr>
        <w:ind w:left="2124"/>
        <w:jc w:val="both"/>
        <w:rPr>
          <w:color w:val="000000"/>
        </w:rPr>
      </w:pPr>
      <w:r w:rsidRPr="00BE431F">
        <w:rPr>
          <w:color w:val="000000"/>
        </w:rPr>
        <w:t xml:space="preserve">S každou jednou </w:t>
      </w:r>
      <w:r w:rsidR="0062554E" w:rsidRPr="00BE431F">
        <w:rPr>
          <w:color w:val="000000"/>
        </w:rPr>
        <w:t>A</w:t>
      </w:r>
      <w:r w:rsidRPr="00BE431F">
        <w:rPr>
          <w:color w:val="000000"/>
        </w:rPr>
        <w:t>kcií</w:t>
      </w:r>
      <w:r w:rsidR="0062554E" w:rsidRPr="00BE431F">
        <w:rPr>
          <w:color w:val="000000"/>
        </w:rPr>
        <w:t xml:space="preserve"> A</w:t>
      </w:r>
      <w:r w:rsidRPr="00BE431F">
        <w:rPr>
          <w:color w:val="000000"/>
        </w:rPr>
        <w:t xml:space="preserve"> je dále spojeno právo jmenovat jednoho (1) člena dozorčí rady</w:t>
      </w:r>
      <w:r>
        <w:rPr>
          <w:color w:val="000000"/>
        </w:rPr>
        <w:t xml:space="preserve"> a takto jmenovaného člena odvolat.</w:t>
      </w:r>
    </w:p>
    <w:bookmarkEnd w:id="3"/>
    <w:p w14:paraId="00000052" w14:textId="3B17F2A6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Akcie na jméno se zapisuje do seznamu akcionářů, který vede společnost. Do seznamu akcionářů se zapisuje název druhu akcie, mají-li být vydány akcie různých druhů, její jmenovitá hodnota, jméno a bydliště nebo sídlo akcionáře, číslo bankovního účtu, číselné označení listinné akcie a</w:t>
      </w:r>
      <w:r w:rsidR="003D17AC">
        <w:rPr>
          <w:color w:val="000000"/>
        </w:rPr>
        <w:t> </w:t>
      </w:r>
      <w:r>
        <w:rPr>
          <w:color w:val="000000"/>
        </w:rPr>
        <w:t xml:space="preserve">změny zapisovaných údajů. Do seznamu akcionářů se zapisuje také oddělení nebo převod </w:t>
      </w:r>
      <w:r w:rsidRPr="00BE431F">
        <w:rPr>
          <w:color w:val="000000"/>
        </w:rPr>
        <w:t xml:space="preserve">samostatně převoditelného </w:t>
      </w:r>
      <w:r w:rsidRPr="006B1ED3">
        <w:rPr>
          <w:color w:val="000000"/>
        </w:rPr>
        <w:t>práva</w:t>
      </w:r>
      <w:r>
        <w:rPr>
          <w:color w:val="000000"/>
        </w:rPr>
        <w:t xml:space="preserve">. Má se za to, že ve vztahu ke společnosti je akcionářem ten, kdo je zapsán v seznamu akcionářů. </w:t>
      </w:r>
    </w:p>
    <w:p w14:paraId="00000053" w14:textId="0A8049AB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S každou jednou akcií o jmenovité hodnotě 500.000 Kč (pět set tisíc korun českých) je spojen jeden (1) hlas. Celkový počet hlasů ve společnosti jsou čtyři (4) hlasy.</w:t>
      </w:r>
    </w:p>
    <w:p w14:paraId="00000054" w14:textId="77777777" w:rsidR="00AD3633" w:rsidRDefault="008438B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>
        <w:rPr>
          <w:b/>
          <w:color w:val="000000"/>
        </w:rPr>
        <w:t>OMEZENÁ PŘEVODITELNOST AKCIÍ</w:t>
      </w:r>
    </w:p>
    <w:p w14:paraId="00000055" w14:textId="0C030BC1" w:rsidR="00AD3633" w:rsidRPr="0062554E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Převoditelnost všech akcií na jméno je omezena tak, že jejich převod je možný jen na stávající akcionáře společnosti, tedy osoby, které jsou již v okamžiku realizace převodu akcie či akcií akcionáři </w:t>
      </w:r>
      <w:r w:rsidRPr="0062554E">
        <w:rPr>
          <w:color w:val="000000"/>
        </w:rPr>
        <w:t>společnosti</w:t>
      </w:r>
      <w:r w:rsidR="007F7F96">
        <w:rPr>
          <w:color w:val="000000"/>
        </w:rPr>
        <w:t>.</w:t>
      </w:r>
    </w:p>
    <w:p w14:paraId="00000056" w14:textId="77777777" w:rsidR="00AD3633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>
        <w:rPr>
          <w:b/>
          <w:color w:val="000000"/>
        </w:rPr>
        <w:t>ORGÁNY SPOLEČNOSTI</w:t>
      </w:r>
    </w:p>
    <w:p w14:paraId="00000057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Společnost zvolila dualistický systém vnitřní struktury. Orgány společnosti jsou:</w:t>
      </w:r>
      <w:r>
        <w:rPr>
          <w:color w:val="000000"/>
        </w:rPr>
        <w:tab/>
      </w:r>
    </w:p>
    <w:p w14:paraId="00000058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 w:hanging="709"/>
        <w:jc w:val="both"/>
      </w:pPr>
      <w:r>
        <w:rPr>
          <w:color w:val="000000"/>
        </w:rPr>
        <w:t>valná hromada,</w:t>
      </w:r>
      <w:r>
        <w:rPr>
          <w:color w:val="000000"/>
        </w:rPr>
        <w:tab/>
      </w:r>
    </w:p>
    <w:p w14:paraId="00000059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276" w:hanging="709"/>
        <w:jc w:val="both"/>
      </w:pPr>
      <w:r>
        <w:rPr>
          <w:color w:val="000000"/>
        </w:rPr>
        <w:lastRenderedPageBreak/>
        <w:t>představenstvo,</w:t>
      </w:r>
      <w:r>
        <w:rPr>
          <w:color w:val="000000"/>
        </w:rPr>
        <w:tab/>
      </w:r>
    </w:p>
    <w:p w14:paraId="0000005A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276" w:hanging="709"/>
        <w:jc w:val="both"/>
      </w:pPr>
      <w:r>
        <w:rPr>
          <w:color w:val="000000"/>
        </w:rPr>
        <w:t>dozorčí rada.</w:t>
      </w:r>
      <w:r>
        <w:rPr>
          <w:color w:val="000000"/>
        </w:rPr>
        <w:tab/>
      </w:r>
    </w:p>
    <w:p w14:paraId="0000005B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4" w:name="_heading=h.30j0zll" w:colFirst="0" w:colLast="0"/>
      <w:bookmarkEnd w:id="4"/>
      <w:r>
        <w:rPr>
          <w:color w:val="000000"/>
        </w:rPr>
        <w:t>V případě, že má společnost jediného akcionáře, nekoná se valná hromada a její působnost vykonává tento akcionář. Rozhodnutí přijaté v působnosti valné hromady doručí akcionář buď k rukám jakéhokoliv člena představenstva nebo na adresu sídla společnosti anebo na e-mailovou adresu společnosti. Členové orgánů jsou povinni předkládat návrhy rozhodnutí jedinému akcionáři s dostatečným časovým předstihem. Jediný akcionář může určit lhůtu, v níž mu má být návrh konkrétního rozhodnutí předložen.</w:t>
      </w:r>
    </w:p>
    <w:p w14:paraId="0000005C" w14:textId="77777777" w:rsidR="00AD3633" w:rsidRDefault="008438B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>
        <w:rPr>
          <w:b/>
          <w:color w:val="000000"/>
        </w:rPr>
        <w:t>POSTAVENÍ A PŮSOBNOST VALNÉ HROMADY</w:t>
      </w:r>
    </w:p>
    <w:p w14:paraId="0000005D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Valná hromada je nejvyšším orgánem společnosti.</w:t>
      </w:r>
      <w:r>
        <w:rPr>
          <w:color w:val="000000"/>
        </w:rPr>
        <w:tab/>
      </w:r>
    </w:p>
    <w:p w14:paraId="0000005E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Do působnosti valné hromady náleží rozhodnutí o otázkách, které zákon nebo tyto stanovy zahrnují do působnosti valné hromady. Do působnosti valné hromady náleží též:</w:t>
      </w:r>
      <w:r>
        <w:rPr>
          <w:color w:val="000000"/>
        </w:rPr>
        <w:tab/>
      </w:r>
      <w:r>
        <w:rPr>
          <w:color w:val="000000"/>
        </w:rPr>
        <w:tab/>
      </w:r>
    </w:p>
    <w:p w14:paraId="0000005F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5" w:name="_heading=h.1fob9te" w:colFirst="0" w:colLast="0"/>
      <w:bookmarkEnd w:id="5"/>
      <w:r>
        <w:rPr>
          <w:color w:val="000000"/>
        </w:rPr>
        <w:t>rozhodování o změně stanov, nejde-li o změnu v důsledku zvýšení základního kapitálu pověřeným představenstvem ve smyslu ustanovení § 511 a násl. ZOK nebo o změnu, ke které došlo na základě jiných právních skutečností,</w:t>
      </w:r>
      <w:r>
        <w:rPr>
          <w:color w:val="000000"/>
        </w:rPr>
        <w:tab/>
      </w:r>
    </w:p>
    <w:p w14:paraId="00000060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6" w:name="_heading=h.3znysh7" w:colFirst="0" w:colLast="0"/>
      <w:bookmarkEnd w:id="6"/>
      <w:r>
        <w:rPr>
          <w:color w:val="000000"/>
        </w:rPr>
        <w:t>rozhodování o změně výše základního kapitálu a o pověření představenstva ke zvýšení základního kapitálu,</w:t>
      </w:r>
      <w:r>
        <w:rPr>
          <w:color w:val="000000"/>
        </w:rPr>
        <w:tab/>
      </w:r>
    </w:p>
    <w:p w14:paraId="00000061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7" w:name="_heading=h.2et92p0" w:colFirst="0" w:colLast="0"/>
      <w:bookmarkEnd w:id="7"/>
      <w:r>
        <w:rPr>
          <w:color w:val="000000"/>
        </w:rPr>
        <w:t>rozhodování o možnosti započtení peněžité pohledávky vůči společnosti proti pohledávce na splacení emisního kursu,</w:t>
      </w:r>
      <w:r>
        <w:rPr>
          <w:color w:val="000000"/>
        </w:rPr>
        <w:tab/>
      </w:r>
    </w:p>
    <w:p w14:paraId="00000062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8" w:name="_heading=h.tyjcwt" w:colFirst="0" w:colLast="0"/>
      <w:bookmarkEnd w:id="8"/>
      <w:r>
        <w:rPr>
          <w:color w:val="000000"/>
        </w:rPr>
        <w:t>rozhodování o vydání vyměnitelných nebo prioritních dluhopisů,</w:t>
      </w:r>
      <w:r>
        <w:rPr>
          <w:color w:val="000000"/>
        </w:rPr>
        <w:tab/>
      </w:r>
    </w:p>
    <w:p w14:paraId="00000063" w14:textId="3A6646AB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9" w:name="_heading=h.3dy6vkm" w:colFirst="0" w:colLast="0"/>
      <w:bookmarkEnd w:id="9"/>
      <w:r>
        <w:rPr>
          <w:color w:val="000000"/>
        </w:rPr>
        <w:t>volba a odvolání členů představenstva s výjimkou členů, které je oprávněn jmenovat a</w:t>
      </w:r>
      <w:r w:rsidR="003D17AC">
        <w:rPr>
          <w:color w:val="000000"/>
        </w:rPr>
        <w:t> </w:t>
      </w:r>
      <w:r>
        <w:rPr>
          <w:color w:val="000000"/>
        </w:rPr>
        <w:t xml:space="preserve">odvolat vlastník </w:t>
      </w:r>
      <w:r w:rsidR="006B7BFF">
        <w:rPr>
          <w:color w:val="000000"/>
        </w:rPr>
        <w:t>Akcie B</w:t>
      </w:r>
      <w:r>
        <w:rPr>
          <w:color w:val="000000"/>
        </w:rPr>
        <w:t>,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00000064" w14:textId="40C6E073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volba a odvolání členů dozorčí rady s výjimkou členů, které jsou oprávněni jmenovat a</w:t>
      </w:r>
      <w:r w:rsidR="003D17AC">
        <w:rPr>
          <w:color w:val="000000"/>
        </w:rPr>
        <w:t> </w:t>
      </w:r>
      <w:r>
        <w:rPr>
          <w:color w:val="000000"/>
        </w:rPr>
        <w:t xml:space="preserve">odvolat vlastníci </w:t>
      </w:r>
      <w:r w:rsidR="00943764">
        <w:rPr>
          <w:color w:val="000000"/>
        </w:rPr>
        <w:t>Akcií A</w:t>
      </w:r>
      <w:r>
        <w:rPr>
          <w:color w:val="000000"/>
        </w:rPr>
        <w:t>,</w:t>
      </w:r>
      <w:r>
        <w:rPr>
          <w:color w:val="000000"/>
        </w:rPr>
        <w:tab/>
      </w:r>
    </w:p>
    <w:p w14:paraId="00000065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schválení řádné, mimořádné nebo konsolidované účetní závěrky a v případech stanovených zákonem i mezitímní účetní závěrky,</w:t>
      </w:r>
      <w:r>
        <w:rPr>
          <w:color w:val="000000"/>
        </w:rPr>
        <w:tab/>
      </w:r>
    </w:p>
    <w:p w14:paraId="429DD185" w14:textId="16A5B969" w:rsidR="0062554E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10" w:name="_heading=h.1t3h5sf" w:colFirst="0" w:colLast="0"/>
      <w:bookmarkEnd w:id="10"/>
      <w:r w:rsidRPr="00E55879">
        <w:rPr>
          <w:color w:val="000000"/>
        </w:rPr>
        <w:t>rozhodnutí o rozdělení zisku nebo jiných vlastních zdrojů, nebo o úhradě ztráty, a to nad rámec přednostního práva na pevný podíl na zisku spojeného s</w:t>
      </w:r>
      <w:r w:rsidR="006B7BFF" w:rsidRPr="00E55879">
        <w:rPr>
          <w:color w:val="000000"/>
        </w:rPr>
        <w:t> Akciemi A</w:t>
      </w:r>
      <w:r w:rsidR="00E55879">
        <w:rPr>
          <w:color w:val="000000"/>
        </w:rPr>
        <w:t xml:space="preserve">, včetně </w:t>
      </w:r>
      <w:r w:rsidR="0062554E" w:rsidRPr="00E55879">
        <w:rPr>
          <w:color w:val="000000"/>
        </w:rPr>
        <w:t>rozhodnutí o vrácení příplatku mimo základní kapitál ve formě rozdělení jiných vlastních zdrojů vytvořených poskytnutým příplatkem mimo základní kapitál ve prospěch akcionáře či akcionářů v rozsahu jejich práv spojených s akcií či akciemi;</w:t>
      </w:r>
    </w:p>
    <w:p w14:paraId="00000067" w14:textId="310E05CE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11" w:name="_heading=h.4d34og8" w:colFirst="0" w:colLast="0"/>
      <w:bookmarkEnd w:id="11"/>
      <w:r>
        <w:rPr>
          <w:color w:val="000000"/>
        </w:rPr>
        <w:t>rozhodování o podání žádosti k přijetí účastnických cenných papírů společnosti k</w:t>
      </w:r>
      <w:r w:rsidR="003D17AC">
        <w:rPr>
          <w:color w:val="000000"/>
        </w:rPr>
        <w:t> </w:t>
      </w:r>
      <w:r>
        <w:rPr>
          <w:color w:val="000000"/>
        </w:rPr>
        <w:t>obchodování na evropském regulovaném trhu nebo o vyřazení těchto cenných papírů z obchodování na evropském regulovaném trhu,</w:t>
      </w:r>
      <w:r>
        <w:rPr>
          <w:color w:val="000000"/>
        </w:rPr>
        <w:tab/>
      </w:r>
    </w:p>
    <w:p w14:paraId="00000068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12" w:name="_heading=h.2s8eyo1" w:colFirst="0" w:colLast="0"/>
      <w:bookmarkEnd w:id="12"/>
      <w:r>
        <w:rPr>
          <w:color w:val="000000"/>
        </w:rPr>
        <w:t>rozhodnutí o zrušení společnosti s likvidací,</w:t>
      </w:r>
      <w:r>
        <w:rPr>
          <w:color w:val="000000"/>
        </w:rPr>
        <w:tab/>
      </w:r>
    </w:p>
    <w:p w14:paraId="00000069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13" w:name="_heading=h.17dp8vu" w:colFirst="0" w:colLast="0"/>
      <w:bookmarkEnd w:id="13"/>
      <w:r>
        <w:rPr>
          <w:color w:val="000000"/>
        </w:rPr>
        <w:lastRenderedPageBreak/>
        <w:t>jmenování a odvolání likvidátora,</w:t>
      </w:r>
      <w:r>
        <w:rPr>
          <w:color w:val="000000"/>
        </w:rPr>
        <w:tab/>
      </w:r>
    </w:p>
    <w:p w14:paraId="0000006A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14" w:name="_heading=h.3rdcrjn" w:colFirst="0" w:colLast="0"/>
      <w:bookmarkEnd w:id="14"/>
      <w:r>
        <w:rPr>
          <w:color w:val="000000"/>
        </w:rPr>
        <w:t>schválení konečné zprávy o průběhu likvidace a návrhu na použití likvidačního zůstatku,</w:t>
      </w:r>
      <w:r>
        <w:rPr>
          <w:color w:val="000000"/>
        </w:rPr>
        <w:tab/>
      </w:r>
    </w:p>
    <w:p w14:paraId="0000006B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schválení převodu nebo zastavení závodu nebo takové části jmění, která by znamenala podstatnou změnu dosavadní struktury závodu nebo podstatnou změnu skutečného podnikání nebo činnosti společnosti,</w:t>
      </w:r>
      <w:r>
        <w:rPr>
          <w:color w:val="000000"/>
        </w:rPr>
        <w:tab/>
      </w:r>
    </w:p>
    <w:p w14:paraId="0000006C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rozhodnutí o převzetí účinků jednání učiněných za společnost před jejím vznikem</w:t>
      </w:r>
    </w:p>
    <w:p w14:paraId="0000006D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schválení smlouvy o tiché společnosti a jiných smluv, jimiž se zakládá právo na podílu na zisku nebo jiných vlastních zdrojích společnosti,</w:t>
      </w:r>
    </w:p>
    <w:p w14:paraId="0000006E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schválení pachtu závodu společnosti nebo takové části jmění, která by znamenala podstatnou změnu dosavadní struktury závodu nebo podstatnou změnu skutečného podnikání nebo činnosti společnosti,</w:t>
      </w:r>
    </w:p>
    <w:p w14:paraId="0000006F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15" w:name="_heading=h.26in1rg" w:colFirst="0" w:colLast="0"/>
      <w:bookmarkEnd w:id="15"/>
      <w:r>
        <w:rPr>
          <w:color w:val="000000"/>
        </w:rPr>
        <w:t>rozhodnutí o přeměně společnosti, ledaže zákon upravující přeměny obchodních společností a družstev stanoví jinak,</w:t>
      </w:r>
      <w:r>
        <w:rPr>
          <w:color w:val="000000"/>
        </w:rPr>
        <w:tab/>
      </w:r>
    </w:p>
    <w:p w14:paraId="00000070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16" w:name="_heading=h.lnxbz9" w:colFirst="0" w:colLast="0"/>
      <w:bookmarkEnd w:id="16"/>
      <w:r>
        <w:rPr>
          <w:color w:val="000000"/>
        </w:rPr>
        <w:t xml:space="preserve">udělování pokynů představenstvu a schvalování zásad činnosti představenstva, nejsou-li v rozporu s právními předpisy; valná hromada může zejména </w:t>
      </w:r>
      <w:r w:rsidRPr="00B85F1A">
        <w:rPr>
          <w:color w:val="000000"/>
        </w:rPr>
        <w:t>zakázat</w:t>
      </w:r>
      <w:r>
        <w:rPr>
          <w:color w:val="000000"/>
        </w:rPr>
        <w:t xml:space="preserve"> členovi představenstva určité právní jednání, je-li to v zájmu společnosti,</w:t>
      </w:r>
    </w:p>
    <w:p w14:paraId="00000071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schvalování smlouvy o výkonu funkce a plnění podle § 61 ZOK,</w:t>
      </w:r>
    </w:p>
    <w:p w14:paraId="00000072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17" w:name="_heading=h.35nkun2" w:colFirst="0" w:colLast="0"/>
      <w:bookmarkEnd w:id="17"/>
      <w:r>
        <w:rPr>
          <w:color w:val="000000"/>
        </w:rPr>
        <w:t xml:space="preserve">rozhodnutí o změně druhu nebo formy akcií, </w:t>
      </w:r>
    </w:p>
    <w:p w14:paraId="00000074" w14:textId="2BA12525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bookmarkStart w:id="18" w:name="_heading=h.1ksv4uv" w:colFirst="0" w:colLast="0"/>
      <w:bookmarkEnd w:id="18"/>
      <w:r>
        <w:rPr>
          <w:color w:val="000000"/>
        </w:rPr>
        <w:t xml:space="preserve">schválení podnikatelského plánu společnosti </w:t>
      </w:r>
      <w:r w:rsidR="004264A5">
        <w:rPr>
          <w:color w:val="000000"/>
        </w:rPr>
        <w:t xml:space="preserve">včetně dlouhodobého finančního plánu a jeho aktualizace </w:t>
      </w:r>
      <w:r>
        <w:rPr>
          <w:color w:val="000000"/>
        </w:rPr>
        <w:t>a</w:t>
      </w:r>
    </w:p>
    <w:p w14:paraId="00000075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další rozhodnutí, která zákon nebo stanovy svěřují do působnosti valné hromady.</w:t>
      </w:r>
    </w:p>
    <w:p w14:paraId="00000076" w14:textId="77777777" w:rsidR="00AD3633" w:rsidRDefault="008438B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>
        <w:rPr>
          <w:b/>
          <w:color w:val="000000"/>
        </w:rPr>
        <w:t>ÚČAST NA VALNÉ HROMADĚ</w:t>
      </w:r>
    </w:p>
    <w:p w14:paraId="00000077" w14:textId="71696812" w:rsidR="00AD3633" w:rsidRPr="00D3628F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Akcionář se zúčastňuje valné hromady osobně nebo v zastoupení. Plná moc pro zastupování na valné hromadě musí být písemná a musí z ní vyplývat, zda byla udělena pro zastoupení na jedné nebo na více valných hromadách.</w:t>
      </w:r>
      <w:r w:rsidR="00604E6E">
        <w:rPr>
          <w:color w:val="000000"/>
        </w:rPr>
        <w:t xml:space="preserve"> Podpis akcionáře (zmocnitele) na plné moci musí být úředně ověřen. </w:t>
      </w:r>
    </w:p>
    <w:p w14:paraId="73CA6D8D" w14:textId="110E37E2" w:rsidR="00D3628F" w:rsidRPr="009F6155" w:rsidRDefault="00D3628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Kromě akcionářů se valné hromady účastní i členové představenstva, </w:t>
      </w:r>
      <w:r w:rsidRPr="00DF404C">
        <w:rPr>
          <w:color w:val="000000"/>
        </w:rPr>
        <w:t>členové dozorčí</w:t>
      </w:r>
      <w:r>
        <w:rPr>
          <w:color w:val="000000"/>
        </w:rPr>
        <w:t xml:space="preserve"> rady a</w:t>
      </w:r>
      <w:r w:rsidR="003D17AC">
        <w:rPr>
          <w:color w:val="000000"/>
        </w:rPr>
        <w:t> </w:t>
      </w:r>
      <w:r>
        <w:rPr>
          <w:color w:val="000000"/>
        </w:rPr>
        <w:t>osoby pověřené představenstvem k technickému zabezpečení průběhu valné hromady, jakož i další osoby dle rozhodnutí představenstva</w:t>
      </w:r>
      <w:r w:rsidRPr="009F6155">
        <w:rPr>
          <w:color w:val="000000"/>
        </w:rPr>
        <w:t>.</w:t>
      </w:r>
      <w:r w:rsidRPr="009F6155" w:rsidDel="00D3628F">
        <w:t xml:space="preserve"> </w:t>
      </w:r>
      <w:sdt>
        <w:sdtPr>
          <w:tag w:val="goog_rdk_105"/>
          <w:id w:val="299512843"/>
          <w:showingPlcHdr/>
        </w:sdtPr>
        <w:sdtEndPr/>
        <w:sdtContent>
          <w:r w:rsidR="00BC5C1C">
            <w:t xml:space="preserve">     </w:t>
          </w:r>
        </w:sdtContent>
      </w:sdt>
    </w:p>
    <w:p w14:paraId="00000079" w14:textId="5B079E83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Přítomní akcionáři se zapisují do listiny přítomných, která musí mít náležitosti dle příslušných ustanovení </w:t>
      </w:r>
      <w:r w:rsidR="00D23AC1">
        <w:rPr>
          <w:color w:val="000000"/>
        </w:rPr>
        <w:t>zákona o obchodních korporacích</w:t>
      </w:r>
      <w:r>
        <w:rPr>
          <w:color w:val="000000"/>
        </w:rPr>
        <w:t>. Pokud společnost odmítne zápis určité osoby do listiny přítomných provést, uvede se tato skutečnost do listiny přítomných včetně důvodů odmítnutí.</w:t>
      </w:r>
    </w:p>
    <w:p w14:paraId="0000007A" w14:textId="77777777" w:rsidR="00AD3633" w:rsidRDefault="008438B5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>
        <w:rPr>
          <w:b/>
          <w:color w:val="000000"/>
        </w:rPr>
        <w:lastRenderedPageBreak/>
        <w:t>SVOLÁNÍ VALNÉ HROMADY</w:t>
      </w:r>
    </w:p>
    <w:p w14:paraId="0000007B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Valná hromada se koná minimálně 1x (jedenkrát) za účetní období. Řádnou účetní závěrku projedná valná hromada nejpozději do 5 (pěti) měsíců od posledního dne předcházejícího účetního období.</w:t>
      </w:r>
    </w:p>
    <w:p w14:paraId="0000007C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Valnou hromadu svolává představenstvo, popřípadě jeho člen, pokud ji představenstvo bez zbytečného odkladu nesvolá a ZOK svolání valné hromady vyžaduje, anebo pokud představenstvo není dlouhodobě schopno se usnášet, ledaže zákon stanoví jinak.</w:t>
      </w:r>
    </w:p>
    <w:p w14:paraId="0000007D" w14:textId="522F5D3B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Představenstvo svolá valnou hromadu bez zbytečného odkladu poté, co zjistí, že celková ztráta společnosti na základě účetní závěrky dosáhla takové výše, že při jejím uhrazení z disponibilních zdrojů společnosti by neuhrazená ztráta dosáhla poloviny základního kapitálu nebo to lze s</w:t>
      </w:r>
      <w:r w:rsidR="003D17AC">
        <w:rPr>
          <w:color w:val="000000"/>
        </w:rPr>
        <w:t> </w:t>
      </w:r>
      <w:r>
        <w:rPr>
          <w:color w:val="000000"/>
        </w:rPr>
        <w:t>ohledem na všechny okolnosti očekávat, nebo z jiného vážného důvodu, a navrhne valné hromadě zrušení společnosti nebo přijetí jiného vhodného opatření.</w:t>
      </w:r>
      <w:r>
        <w:rPr>
          <w:color w:val="000000"/>
        </w:rPr>
        <w:tab/>
        <w:t xml:space="preserve"> </w:t>
      </w:r>
    </w:p>
    <w:p w14:paraId="0000007E" w14:textId="77777777" w:rsidR="00AD3633" w:rsidRPr="00BE431F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V případě, kdy společnost </w:t>
      </w:r>
      <w:r w:rsidRPr="00BE431F">
        <w:rPr>
          <w:color w:val="000000"/>
        </w:rPr>
        <w:t>nemá zvolené představenstvo nebo zvolené představenstvo dlouhodobě neplní své povinnosti a valnou hromadu nesvolá ani jeho člen, svolá valnou hromadu dozorčí rada; ta může valnou hromadu svolat také tehdy, vyžadují-li to zájmy společnosti. Dozorčí rada zároveň navrhne potřebná opatření. Pokud dozorčí rada valnou hromadu nesvolá, může ji svolat kterýkoliv člen dozorčí rady.</w:t>
      </w:r>
      <w:r w:rsidRPr="00BE431F">
        <w:rPr>
          <w:color w:val="000000"/>
        </w:rPr>
        <w:tab/>
        <w:t xml:space="preserve"> </w:t>
      </w:r>
    </w:p>
    <w:p w14:paraId="00000080" w14:textId="6E52D00E" w:rsidR="00AD3633" w:rsidRDefault="00C501D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sdt>
        <w:sdtPr>
          <w:tag w:val="goog_rdk_107"/>
          <w:id w:val="-2081592905"/>
        </w:sdtPr>
        <w:sdtEndPr/>
        <w:sdtContent/>
      </w:sdt>
      <w:r w:rsidR="008438B5" w:rsidRPr="00BE431F">
        <w:rPr>
          <w:color w:val="000000"/>
        </w:rPr>
        <w:t>Svolavatel nejméně 30 (třicet) dnů před dnem konání valné hromady uveřejní pozvánku na valnou hromadu na internetových stránkách společnosti a v sídle společnosti a nejméně 30 (třicet) dnů před dnem konání valné hromady akcionářům</w:t>
      </w:r>
      <w:r w:rsidR="008438B5">
        <w:rPr>
          <w:color w:val="000000"/>
        </w:rPr>
        <w:t xml:space="preserve"> zašle pozvánku na valnou hromadu, a to písemně nebo zásilkou zaslanou do datové schránky akcionáře, pokud má akcionář datovou schránku zřízenou.</w:t>
      </w:r>
      <w:r w:rsidR="008931A5">
        <w:rPr>
          <w:color w:val="000000"/>
        </w:rPr>
        <w:t xml:space="preserve"> Pozvánka bude rovněž zaslána na emailové adresy členů dozorčí rady alespoň deset (10) dní před konáním valné hromady.</w:t>
      </w:r>
    </w:p>
    <w:p w14:paraId="00000081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</w:pPr>
      <w:r>
        <w:rPr>
          <w:color w:val="000000"/>
        </w:rPr>
        <w:t>Pozvánka na valnou hromadu obsahuje alespoň:</w:t>
      </w:r>
      <w:r>
        <w:rPr>
          <w:color w:val="000000"/>
        </w:rPr>
        <w:tab/>
        <w:t xml:space="preserve"> </w:t>
      </w:r>
    </w:p>
    <w:p w14:paraId="00000082" w14:textId="7F2054EC" w:rsidR="00AD3633" w:rsidRDefault="00D23AC1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 xml:space="preserve">obchodní </w:t>
      </w:r>
      <w:r w:rsidR="008438B5">
        <w:rPr>
          <w:color w:val="000000"/>
        </w:rPr>
        <w:t>firmu a sídlo společnosti,</w:t>
      </w:r>
      <w:r w:rsidR="008438B5">
        <w:rPr>
          <w:color w:val="000000"/>
        </w:rPr>
        <w:tab/>
        <w:t xml:space="preserve"> </w:t>
      </w:r>
    </w:p>
    <w:p w14:paraId="00000083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místo, datum a hodinu konání valné hromady,</w:t>
      </w:r>
      <w:r>
        <w:rPr>
          <w:color w:val="000000"/>
        </w:rPr>
        <w:tab/>
        <w:t xml:space="preserve"> </w:t>
      </w:r>
    </w:p>
    <w:p w14:paraId="00000084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označení, zda se svolává řádná nebo náhradní valná hromada,</w:t>
      </w:r>
      <w:r>
        <w:rPr>
          <w:color w:val="000000"/>
        </w:rPr>
        <w:tab/>
        <w:t xml:space="preserve"> </w:t>
      </w:r>
    </w:p>
    <w:p w14:paraId="00000085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pořad valné hromady, včetně uvedení osoby, je-li navrhována jako člen voleného orgánu společnosti,</w:t>
      </w:r>
      <w:r>
        <w:rPr>
          <w:color w:val="000000"/>
        </w:rPr>
        <w:tab/>
        <w:t xml:space="preserve"> </w:t>
      </w:r>
    </w:p>
    <w:p w14:paraId="00000086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rozhodný den k účasti na valné hromadě, pokud byl určen, a vysvětlení jeho významu pro hlasování na valné hromadě,</w:t>
      </w:r>
      <w:r>
        <w:rPr>
          <w:color w:val="000000"/>
        </w:rPr>
        <w:tab/>
        <w:t xml:space="preserve"> </w:t>
      </w:r>
    </w:p>
    <w:p w14:paraId="00000087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návrh usnesení valné hromady a jeho zdůvodnění; není-li návrh usnesení předkládán, obsahuje pozvánka na valnou hromadu vyjádření představenstva společnosti ke každé navrhované záležitosti,</w:t>
      </w:r>
      <w:r>
        <w:rPr>
          <w:color w:val="000000"/>
        </w:rPr>
        <w:tab/>
        <w:t xml:space="preserve"> </w:t>
      </w:r>
    </w:p>
    <w:p w14:paraId="00000088" w14:textId="7777777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lhůtu pro doručení vyjádření akcionáře k pořadu valné hromady, je-li umožněno korespondenční hlasování, která nesmí být kratší než 15 (slovy: patnáct) dnů; pro začátek jejího běhu je rozhodné doručení pozvánky akcionáři.</w:t>
      </w:r>
    </w:p>
    <w:p w14:paraId="00000089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lastRenderedPageBreak/>
        <w:t>Místo, datum a hodina konání valné hromady se stanoví tak, aby nepřiměřeně neomezovalo právo akcionáře se jí zúčastnit. Valná hromada se koná zpravidla v sídle společnosti.</w:t>
      </w:r>
      <w:r>
        <w:rPr>
          <w:color w:val="000000"/>
        </w:rPr>
        <w:tab/>
        <w:t xml:space="preserve"> </w:t>
      </w:r>
    </w:p>
    <w:p w14:paraId="0000008A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Záležitosti, které nebyly zařazeny na pořad jednání valné hromady, lze na jejím jednání projednat nebo rozhodnout jen tehdy, projeví-li s tím souhlas všichni akcionáři.</w:t>
      </w:r>
    </w:p>
    <w:p w14:paraId="0000008B" w14:textId="269C5F31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Pokud s tím budou souhlasit všichni akcionáři, může se valná hromada konat i bez splnění požadavků stanovených zákonem a stanovami pro svolání valné hromady.</w:t>
      </w:r>
      <w:r>
        <w:rPr>
          <w:color w:val="000000"/>
        </w:rPr>
        <w:tab/>
      </w:r>
      <w:r w:rsidR="004B4C8F">
        <w:rPr>
          <w:color w:val="000000"/>
        </w:rPr>
        <w:t xml:space="preserve">V takovém případě svolavatel o konání valné hromady vyrozumí členy orgánů společnosti alespoň pět (5) pracovních dní přede dnem konání valné hromady. </w:t>
      </w:r>
    </w:p>
    <w:p w14:paraId="0000008C" w14:textId="77777777" w:rsidR="00AD3633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>
        <w:rPr>
          <w:b/>
          <w:color w:val="000000"/>
        </w:rPr>
        <w:t>ROZHODOVÁNÍ VALNÉ HROMADY</w:t>
      </w:r>
    </w:p>
    <w:p w14:paraId="0000008D" w14:textId="46ECE51A" w:rsidR="00AD3633" w:rsidRPr="00BE431F" w:rsidRDefault="00C501D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sdt>
        <w:sdtPr>
          <w:tag w:val="goog_rdk_108"/>
          <w:id w:val="-1525092915"/>
        </w:sdtPr>
        <w:sdtEndPr/>
        <w:sdtContent/>
      </w:sdt>
      <w:r w:rsidR="008438B5">
        <w:rPr>
          <w:color w:val="000000"/>
        </w:rPr>
        <w:t xml:space="preserve">Řádná valná hromada je schopná usnášení, jsou-li přítomni akcionáři vlastnící akcie, jejichž jmenovitá hodnota </w:t>
      </w:r>
      <w:r w:rsidR="00604E6E">
        <w:rPr>
          <w:color w:val="000000"/>
        </w:rPr>
        <w:t xml:space="preserve">dosahuje 100 </w:t>
      </w:r>
      <w:r w:rsidR="008438B5">
        <w:rPr>
          <w:color w:val="000000"/>
        </w:rPr>
        <w:t>% (</w:t>
      </w:r>
      <w:r w:rsidR="00604E6E">
        <w:rPr>
          <w:color w:val="000000"/>
        </w:rPr>
        <w:t xml:space="preserve">sto </w:t>
      </w:r>
      <w:r w:rsidR="008438B5">
        <w:rPr>
          <w:color w:val="000000"/>
        </w:rPr>
        <w:t>procent) základního kapitálu.</w:t>
      </w:r>
      <w:r w:rsidR="00AE6F6C">
        <w:rPr>
          <w:color w:val="000000"/>
        </w:rPr>
        <w:t xml:space="preserve"> </w:t>
      </w:r>
      <w:r w:rsidR="00E748F7" w:rsidDel="00E748F7">
        <w:rPr>
          <w:color w:val="000000"/>
        </w:rPr>
        <w:t xml:space="preserve"> </w:t>
      </w:r>
      <w:r w:rsidR="00C740D5">
        <w:rPr>
          <w:color w:val="000000"/>
        </w:rPr>
        <w:t xml:space="preserve">To platí i v případě, pokud </w:t>
      </w:r>
      <w:r w:rsidR="00C740D5" w:rsidRPr="00BE431F">
        <w:rPr>
          <w:color w:val="000000"/>
        </w:rPr>
        <w:t xml:space="preserve">je svolána náhradní valná hromada podle </w:t>
      </w:r>
      <w:r w:rsidR="00693F7B" w:rsidRPr="00BE431F">
        <w:rPr>
          <w:color w:val="000000"/>
        </w:rPr>
        <w:t>§ 414 ZOK.</w:t>
      </w:r>
    </w:p>
    <w:p w14:paraId="0000008E" w14:textId="48DB8A88" w:rsidR="00AD3633" w:rsidRPr="00BE431F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BE431F">
        <w:rPr>
          <w:color w:val="000000"/>
        </w:rPr>
        <w:t xml:space="preserve">Valná hromada rozhoduje prostou většinou hlasů přítomných akcionářů, není-li k rozhodnutí zapotřebí kvalifikované většiny dle </w:t>
      </w:r>
      <w:r w:rsidR="00D23AC1">
        <w:rPr>
          <w:color w:val="000000"/>
        </w:rPr>
        <w:t>zákona</w:t>
      </w:r>
      <w:r w:rsidRPr="00BE431F">
        <w:rPr>
          <w:color w:val="000000"/>
        </w:rPr>
        <w:t>, nebo nestanoví-li tyto stanovy vyšší požadovanou většinu hlasů.</w:t>
      </w:r>
    </w:p>
    <w:p w14:paraId="0000008F" w14:textId="281851C4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BE431F">
        <w:rPr>
          <w:color w:val="000000"/>
        </w:rPr>
        <w:t>K přijetí rozhodnutí v působnosti valné hromady dle článků 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>.2.1, 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>.2.2, 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>.2.3, 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 xml:space="preserve">.2.4, </w:t>
      </w:r>
      <w:sdt>
        <w:sdtPr>
          <w:tag w:val="goog_rdk_109"/>
          <w:id w:val="1295487816"/>
        </w:sdtPr>
        <w:sdtEndPr/>
        <w:sdtContent/>
      </w:sdt>
      <w:r w:rsidRPr="00BE431F">
        <w:rPr>
          <w:color w:val="000000"/>
        </w:rPr>
        <w:t>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 xml:space="preserve">.2.5, </w:t>
      </w:r>
      <w:r w:rsidR="009E00C8" w:rsidRPr="00BE431F">
        <w:rPr>
          <w:color w:val="000000"/>
        </w:rPr>
        <w:t>1</w:t>
      </w:r>
      <w:r w:rsidR="00B142CC" w:rsidRPr="00BE431F">
        <w:rPr>
          <w:color w:val="000000"/>
        </w:rPr>
        <w:t>1</w:t>
      </w:r>
      <w:r w:rsidR="009E00C8" w:rsidRPr="00BE431F">
        <w:rPr>
          <w:color w:val="000000"/>
        </w:rPr>
        <w:t xml:space="preserve">.2.6, </w:t>
      </w:r>
      <w:r w:rsidRPr="00BE431F">
        <w:rPr>
          <w:color w:val="000000"/>
        </w:rPr>
        <w:t>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>.2.8, 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>.2.9, 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>.2.10, 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>.2.11, 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 xml:space="preserve">.2.12, </w:t>
      </w:r>
      <w:r w:rsidR="00AE6F6C" w:rsidRPr="00BE431F">
        <w:rPr>
          <w:color w:val="000000"/>
        </w:rPr>
        <w:t>1</w:t>
      </w:r>
      <w:r w:rsidR="00B142CC" w:rsidRPr="00BE431F">
        <w:rPr>
          <w:color w:val="000000"/>
        </w:rPr>
        <w:t>1</w:t>
      </w:r>
      <w:r w:rsidR="00AE6F6C" w:rsidRPr="00BE431F">
        <w:rPr>
          <w:color w:val="000000"/>
        </w:rPr>
        <w:t xml:space="preserve">.2.13, </w:t>
      </w:r>
      <w:r w:rsidR="00B142CC" w:rsidRPr="00BE431F">
        <w:rPr>
          <w:color w:val="000000"/>
        </w:rPr>
        <w:t xml:space="preserve">11.2.16, </w:t>
      </w:r>
      <w:r w:rsidRPr="00BE431F">
        <w:rPr>
          <w:color w:val="000000"/>
        </w:rPr>
        <w:t>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>.2.17, 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>.2.18</w:t>
      </w:r>
      <w:r w:rsidR="00B142CC" w:rsidRPr="00BE431F">
        <w:rPr>
          <w:color w:val="000000"/>
        </w:rPr>
        <w:t>,</w:t>
      </w:r>
      <w:r w:rsidRPr="00BE431F">
        <w:rPr>
          <w:color w:val="000000"/>
        </w:rPr>
        <w:t xml:space="preserve"> 1</w:t>
      </w:r>
      <w:r w:rsidR="00B142CC" w:rsidRPr="00BE431F">
        <w:rPr>
          <w:color w:val="000000"/>
        </w:rPr>
        <w:t>1</w:t>
      </w:r>
      <w:r w:rsidRPr="00BE431F">
        <w:rPr>
          <w:color w:val="000000"/>
        </w:rPr>
        <w:t xml:space="preserve">.2.20 </w:t>
      </w:r>
      <w:r w:rsidR="00B142CC" w:rsidRPr="00BE431F">
        <w:rPr>
          <w:color w:val="000000"/>
        </w:rPr>
        <w:t>a</w:t>
      </w:r>
      <w:r w:rsidR="003D17AC" w:rsidRPr="00BE431F">
        <w:rPr>
          <w:color w:val="000000"/>
        </w:rPr>
        <w:t> </w:t>
      </w:r>
      <w:r w:rsidR="00B142CC" w:rsidRPr="00BE431F">
        <w:rPr>
          <w:color w:val="000000"/>
        </w:rPr>
        <w:t xml:space="preserve">11.2.21 </w:t>
      </w:r>
      <w:r w:rsidRPr="00BE431F">
        <w:rPr>
          <w:color w:val="000000"/>
        </w:rPr>
        <w:t xml:space="preserve">těchto stanov je zapotřebí souhlasu </w:t>
      </w:r>
      <w:proofErr w:type="gramStart"/>
      <w:r w:rsidRPr="00BE431F">
        <w:rPr>
          <w:color w:val="000000"/>
        </w:rPr>
        <w:t>100%</w:t>
      </w:r>
      <w:proofErr w:type="gramEnd"/>
      <w:r w:rsidR="00D23AC1">
        <w:rPr>
          <w:color w:val="000000"/>
        </w:rPr>
        <w:t xml:space="preserve"> (stoprocentní)</w:t>
      </w:r>
      <w:r w:rsidRPr="00BE431F">
        <w:rPr>
          <w:color w:val="000000"/>
        </w:rPr>
        <w:t xml:space="preserve"> většiny přítomných</w:t>
      </w:r>
      <w:r>
        <w:rPr>
          <w:color w:val="000000"/>
        </w:rPr>
        <w:t xml:space="preserve"> akcionářů.</w:t>
      </w:r>
    </w:p>
    <w:p w14:paraId="00000090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Mají-li být na valné hromadě podle programu přijata rozhodnutí, jejichž platné přijetí vyžaduje osvědčení veřejnou listinou (notářským zápisem), zajistí svolavatel přítomnost notáře na valné hromadě.</w:t>
      </w:r>
    </w:p>
    <w:p w14:paraId="00000091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Na valné hromadě se hlasuje aklamací, pokud valná hromada nerozhodne jinak.</w:t>
      </w:r>
      <w:r>
        <w:rPr>
          <w:color w:val="000000"/>
        </w:rPr>
        <w:tab/>
      </w:r>
    </w:p>
    <w:p w14:paraId="00000092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19" w:name="_heading=h.44sinio" w:colFirst="0" w:colLast="0"/>
      <w:bookmarkEnd w:id="19"/>
      <w:r>
        <w:rPr>
          <w:color w:val="000000"/>
        </w:rPr>
        <w:t xml:space="preserve">Připouští </w:t>
      </w:r>
      <w:r w:rsidRPr="00BE431F">
        <w:rPr>
          <w:color w:val="000000"/>
        </w:rPr>
        <w:t>se rozhodování per rollam</w:t>
      </w:r>
      <w:r>
        <w:rPr>
          <w:color w:val="000000"/>
        </w:rPr>
        <w:t xml:space="preserve"> podle § 418 až 420 ZOK.</w:t>
      </w:r>
    </w:p>
    <w:p w14:paraId="00000093" w14:textId="77777777" w:rsidR="00AD3633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>
        <w:rPr>
          <w:b/>
          <w:color w:val="000000"/>
        </w:rPr>
        <w:t>PŘEDSTAVENSTVO</w:t>
      </w:r>
    </w:p>
    <w:p w14:paraId="00000094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Statutárním orgánem společnosti je představenstvo.  </w:t>
      </w:r>
      <w:r>
        <w:rPr>
          <w:color w:val="000000"/>
        </w:rPr>
        <w:tab/>
      </w:r>
    </w:p>
    <w:p w14:paraId="00000095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Statutárnímu orgánu náleží veškerá působnost, kterou stanovy nebo zákon nesvěří jinému orgánu právnické osoby.</w:t>
      </w:r>
      <w:r>
        <w:rPr>
          <w:color w:val="000000"/>
        </w:rPr>
        <w:tab/>
      </w:r>
    </w:p>
    <w:p w14:paraId="00000096" w14:textId="3AFAB3E0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Představenstvu přísluší obchodní vedení společnosti. Představenstvo se řídí zásadami a pokyny schválenými valnou hromadou, pokud jsou v souladu s právními předpisy a stanovami. Nikdo však není oprávněn udělovat představenstvu pokyny týkající se obchodního vedení; tím není dotčen § 51 odst. 2 ZOK ani povinnost představenstva vyžádat si předchozí souhlas dozorčí rady s jednáními uvedenými v článku </w:t>
      </w:r>
      <w:r w:rsidR="000B4EF4">
        <w:rPr>
          <w:color w:val="000000"/>
        </w:rPr>
        <w:t>16</w:t>
      </w:r>
      <w:r>
        <w:rPr>
          <w:color w:val="000000"/>
        </w:rPr>
        <w:t>.2 těchto stanov.</w:t>
      </w:r>
    </w:p>
    <w:p w14:paraId="00000097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Představenstvo zajišťuje řádné vedení účetnictví, předkládá valné hromadě ke schválení řádnou, mimořádnou, konsolidovanou, případně mezitímní účetní závěrku a v souladu se stanovami také případný návrh na rozdělení zisku nebo jiných vlastních zdrojů nebo úhradu ztráty.</w:t>
      </w:r>
    </w:p>
    <w:p w14:paraId="0000009A" w14:textId="5704A3CF" w:rsidR="00AD3633" w:rsidRPr="00BE431F" w:rsidRDefault="008438B5" w:rsidP="00BC5C1C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lastRenderedPageBreak/>
        <w:t>Představenstvo dále zpracovává a předkládá valné hromadě ke schválení</w:t>
      </w:r>
      <w:r w:rsidR="00E55879">
        <w:t xml:space="preserve"> </w:t>
      </w:r>
      <w:r>
        <w:rPr>
          <w:color w:val="000000"/>
        </w:rPr>
        <w:t>podnikatelský plán společnosti</w:t>
      </w:r>
      <w:r w:rsidR="005A7308">
        <w:rPr>
          <w:color w:val="000000"/>
        </w:rPr>
        <w:t xml:space="preserve"> </w:t>
      </w:r>
      <w:r w:rsidR="005A7308" w:rsidRPr="00BE431F">
        <w:rPr>
          <w:color w:val="000000"/>
        </w:rPr>
        <w:t>včetně dlouhodob</w:t>
      </w:r>
      <w:r w:rsidR="005A7308" w:rsidRPr="00BE431F">
        <w:t>ého finančního plánu</w:t>
      </w:r>
      <w:r w:rsidRPr="00BE431F">
        <w:rPr>
          <w:color w:val="000000"/>
        </w:rPr>
        <w:t xml:space="preserve"> a jeho aktualizaci</w:t>
      </w:r>
      <w:r w:rsidR="008C68BA">
        <w:rPr>
          <w:color w:val="000000"/>
        </w:rPr>
        <w:t>, spolu se stanoviskem dozorčí rady</w:t>
      </w:r>
      <w:r w:rsidRPr="00BE431F">
        <w:rPr>
          <w:color w:val="000000"/>
        </w:rPr>
        <w:t>.</w:t>
      </w:r>
    </w:p>
    <w:p w14:paraId="0000009B" w14:textId="3F8C4596" w:rsidR="00AD3633" w:rsidRPr="00BE431F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BE431F">
        <w:rPr>
          <w:color w:val="000000"/>
        </w:rPr>
        <w:t xml:space="preserve">Představenstvo má </w:t>
      </w:r>
      <w:r w:rsidR="00C31648" w:rsidRPr="00BE431F">
        <w:rPr>
          <w:color w:val="000000"/>
        </w:rPr>
        <w:t xml:space="preserve">sedm </w:t>
      </w:r>
      <w:r w:rsidRPr="00BE431F">
        <w:rPr>
          <w:color w:val="000000"/>
        </w:rPr>
        <w:t>(</w:t>
      </w:r>
      <w:r w:rsidR="00C31648" w:rsidRPr="00BE431F">
        <w:rPr>
          <w:color w:val="000000"/>
        </w:rPr>
        <w:t>7</w:t>
      </w:r>
      <w:r w:rsidRPr="00BE431F">
        <w:rPr>
          <w:color w:val="000000"/>
        </w:rPr>
        <w:t xml:space="preserve">) členů, z nichž tři jsou jmenování a odvoláváni akcionářem vlastnícím </w:t>
      </w:r>
      <w:r w:rsidR="006B7BFF" w:rsidRPr="00BE431F">
        <w:rPr>
          <w:color w:val="000000"/>
        </w:rPr>
        <w:t>Akcii B</w:t>
      </w:r>
      <w:r w:rsidRPr="00BE431F">
        <w:rPr>
          <w:color w:val="000000"/>
        </w:rPr>
        <w:t xml:space="preserve">, zbylé členy volí a odvolává valná hromada. </w:t>
      </w:r>
    </w:p>
    <w:p w14:paraId="0000009C" w14:textId="43773152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BE431F">
        <w:rPr>
          <w:color w:val="000000"/>
        </w:rPr>
        <w:t>Délka funkčního období člena představenstva</w:t>
      </w:r>
      <w:r>
        <w:rPr>
          <w:color w:val="000000"/>
        </w:rPr>
        <w:t xml:space="preserve"> je </w:t>
      </w:r>
      <w:r w:rsidR="005A7308" w:rsidRPr="008B5843">
        <w:rPr>
          <w:color w:val="000000"/>
        </w:rPr>
        <w:t xml:space="preserve">osm </w:t>
      </w:r>
      <w:r w:rsidRPr="008B5843">
        <w:rPr>
          <w:color w:val="000000"/>
        </w:rPr>
        <w:t>(</w:t>
      </w:r>
      <w:r w:rsidR="005A7308" w:rsidRPr="008B5843">
        <w:rPr>
          <w:color w:val="000000"/>
        </w:rPr>
        <w:t>8</w:t>
      </w:r>
      <w:r w:rsidRPr="008B5843">
        <w:rPr>
          <w:color w:val="000000"/>
        </w:rPr>
        <w:t>)</w:t>
      </w:r>
      <w:r>
        <w:rPr>
          <w:color w:val="000000"/>
        </w:rPr>
        <w:t xml:space="preserve"> </w:t>
      </w:r>
      <w:r w:rsidR="005A7308">
        <w:rPr>
          <w:color w:val="000000"/>
        </w:rPr>
        <w:t>let</w:t>
      </w:r>
      <w:r>
        <w:rPr>
          <w:color w:val="000000"/>
        </w:rPr>
        <w:t xml:space="preserve">. Opětovná volba členů představenstva je možná. </w:t>
      </w:r>
      <w:r>
        <w:rPr>
          <w:color w:val="000000"/>
        </w:rPr>
        <w:tab/>
      </w:r>
    </w:p>
    <w:p w14:paraId="0000009D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20" w:name="_heading=h.2jxsxqh" w:colFirst="0" w:colLast="0"/>
      <w:bookmarkEnd w:id="20"/>
      <w:r>
        <w:rPr>
          <w:color w:val="000000"/>
        </w:rPr>
        <w:t>Představenstvo volí a odvolává ze svých členů předsedu a místopředsedu představenstva. Při volbě a odvolání předsedy a místopředsedy představenstva dotyčná osoba o svém zvolení nehlasuje.</w:t>
      </w:r>
    </w:p>
    <w:p w14:paraId="0000009E" w14:textId="79323B14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21" w:name="_heading=h.z337ya" w:colFirst="0" w:colLast="0"/>
      <w:bookmarkEnd w:id="21"/>
      <w:r>
        <w:rPr>
          <w:color w:val="000000"/>
        </w:rPr>
        <w:t xml:space="preserve">Představenstvo zasedá podle potřeb společnosti, </w:t>
      </w:r>
      <w:r w:rsidR="00514097">
        <w:rPr>
          <w:color w:val="000000"/>
        </w:rPr>
        <w:t>zpravidla šestkrát</w:t>
      </w:r>
      <w:r>
        <w:rPr>
          <w:color w:val="000000"/>
        </w:rPr>
        <w:t xml:space="preserve"> ročně. Zasedání představenstva svolává předseda představenstva, v jeho nepřítomnosti místopředseda představenstva, písemnou nebo elektronickou pozvánkou, v níž uvede místo, datum, dobu zasedání a pořad jeho jednání. Pozvánka musí být doručena nejméně pět (5) dnů před konáním zasedání a spolu s ní i podklady, které mají být představenstvem projednány.  Hrozí-li nebezpečí z prodlení, lze tuto lhůtu zkrátit v nezbytně nutném rozsahu. Předseda představenstva je povinen svolat zasedání představenstva bez zbytečného odkladu na žádost jakéhokoliv člena představenstva nebo na žádost dozorčí rady. Nesvolá-li předseda představenstva zasedání bez zbytečného odkladu, může jej svolat jakýkoliv člen představenstva společnosti nebo dozorčí rada.</w:t>
      </w:r>
    </w:p>
    <w:p w14:paraId="0000009F" w14:textId="372B8579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Představenstvo je způsobilé rozhodovat, je-li na zasedání přítomna nadpoloviční většina jeho členů. K přijetí rozhodnutí ve všech záležitostech projednávaných představenstvem je zapotřebí, aby pro ně hlasovala nadpoloviční většina přítomných členů představenstva. Každý člen představenstva má 1</w:t>
      </w:r>
      <w:r w:rsidR="00D23AC1">
        <w:rPr>
          <w:color w:val="000000"/>
        </w:rPr>
        <w:t xml:space="preserve"> (jeden)</w:t>
      </w:r>
      <w:r>
        <w:rPr>
          <w:color w:val="000000"/>
        </w:rPr>
        <w:t xml:space="preserve"> hlas. V případě rovnosti hlasů rozhoduje hlas předsedajícího.</w:t>
      </w:r>
    </w:p>
    <w:p w14:paraId="000000A0" w14:textId="6F80D59E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BE431F">
        <w:rPr>
          <w:color w:val="000000"/>
        </w:rPr>
        <w:t xml:space="preserve">Představenstvo </w:t>
      </w:r>
      <w:r w:rsidR="004B4C8F">
        <w:rPr>
          <w:color w:val="000000"/>
        </w:rPr>
        <w:t xml:space="preserve">na zasedání vždy pozve členy dozorčí rady a umožní jim účast na jednání představenstva, dále </w:t>
      </w:r>
      <w:r w:rsidRPr="00BE431F">
        <w:rPr>
          <w:color w:val="000000"/>
        </w:rPr>
        <w:t>může přizvat</w:t>
      </w:r>
      <w:r>
        <w:rPr>
          <w:color w:val="000000"/>
        </w:rPr>
        <w:t xml:space="preserve"> i členy jiných orgánů, její zaměstnance nebo jiné osoby. </w:t>
      </w:r>
    </w:p>
    <w:p w14:paraId="000000A1" w14:textId="039763ED" w:rsidR="00AD3633" w:rsidRPr="003830F2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Představenstvo se může usnášet i mimo zasedání, pokud s tím souhlasí všichni členové představenstva.  V takovém případě se připouští i písemné hlasování nebo hlasování s využitím technických prostředků. Hlasující členové se pak považují za přítomné osoby. Veškerou organizační činnost spojenou s rozhodováním mimo zasedání představenstva zajišťuje předseda představenstva, v případě jeho nepřítomnosti místopředseda představenstva. Neplynou-li pravidla písemného hlasování nebo hlasování s využitím technických prostředků ze zákona nebo těchto stanov, určí je představenstvo svým usnesením.</w:t>
      </w:r>
      <w:r w:rsidR="004B4C8F">
        <w:rPr>
          <w:color w:val="000000"/>
        </w:rPr>
        <w:t xml:space="preserve"> O přijatých usneseních budou informováni členové dozorčí rady bez zbytečného odkladu po jejich přijetí.</w:t>
      </w:r>
    </w:p>
    <w:p w14:paraId="416B25DA" w14:textId="035655D3" w:rsidR="003830F2" w:rsidRDefault="003830F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1D16D5">
        <w:t xml:space="preserve">Připouští se hlasování s využitím technických prostředků prostřednictvím přímého dvousměrného dálkového přenosu umožňujícího </w:t>
      </w:r>
      <w:proofErr w:type="spellStart"/>
      <w:r w:rsidRPr="001D16D5">
        <w:t>zvukověobrazovou</w:t>
      </w:r>
      <w:proofErr w:type="spellEnd"/>
      <w:r w:rsidRPr="001D16D5">
        <w:t xml:space="preserve"> dvousměrnou komunikaci mezi zasedáním orgánu a členem představenstva (např. videokonference)</w:t>
      </w:r>
      <w:r>
        <w:rPr>
          <w:color w:val="000000"/>
        </w:rPr>
        <w:t>.</w:t>
      </w:r>
    </w:p>
    <w:p w14:paraId="000000A3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22" w:name="_heading=h.3j2qqm3" w:colFirst="0" w:colLast="0"/>
      <w:bookmarkEnd w:id="22"/>
      <w:r>
        <w:rPr>
          <w:color w:val="000000"/>
        </w:rPr>
        <w:t xml:space="preserve">Na členy </w:t>
      </w:r>
      <w:sdt>
        <w:sdtPr>
          <w:tag w:val="goog_rdk_123"/>
          <w:id w:val="-615138857"/>
        </w:sdtPr>
        <w:sdtEndPr/>
        <w:sdtContent/>
      </w:sdt>
      <w:r>
        <w:rPr>
          <w:color w:val="000000"/>
        </w:rPr>
        <w:t xml:space="preserve">představenstva se vztahuje </w:t>
      </w:r>
      <w:r w:rsidRPr="00BE431F">
        <w:rPr>
          <w:color w:val="000000"/>
        </w:rPr>
        <w:t>zákaz konkurence</w:t>
      </w:r>
      <w:r>
        <w:rPr>
          <w:color w:val="000000"/>
        </w:rPr>
        <w:t xml:space="preserve"> za podmínek stanovených v § 441 ZOK, ledaže: </w:t>
      </w:r>
    </w:p>
    <w:p w14:paraId="000000A4" w14:textId="5F74CCD4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lastRenderedPageBreak/>
        <w:t>valná hromada byla při volbě člena představenstva takovým členem představenstva na některou z okolností podle § 441 ZOK výslovně upozorněna nebo vznikla-li tato skutečnost později a člen představenstva na ni písemně upozornil představenstvo a</w:t>
      </w:r>
      <w:r w:rsidR="003D17AC">
        <w:rPr>
          <w:color w:val="000000"/>
        </w:rPr>
        <w:t> </w:t>
      </w:r>
      <w:r>
        <w:rPr>
          <w:color w:val="000000"/>
        </w:rPr>
        <w:t>dozorčí radu; nebo</w:t>
      </w:r>
    </w:p>
    <w:p w14:paraId="000000A5" w14:textId="364396A7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 xml:space="preserve">existuje okolnost podle § 441 ZOK při jmenování člena představenstva akcionářem vlastnícím </w:t>
      </w:r>
      <w:r w:rsidR="006B7BFF">
        <w:rPr>
          <w:color w:val="000000"/>
        </w:rPr>
        <w:t>Akcii B</w:t>
      </w:r>
      <w:r>
        <w:rPr>
          <w:color w:val="000000"/>
        </w:rPr>
        <w:t xml:space="preserve"> nebo u něj vznikne později a člen představenstva na ni písemně upozornil představenstvo a dozorčí radu,</w:t>
      </w:r>
    </w:p>
    <w:p w14:paraId="000000A6" w14:textId="3C8FFB6B" w:rsidR="00AD3633" w:rsidRDefault="008438B5">
      <w:pPr>
        <w:ind w:left="567"/>
        <w:jc w:val="both"/>
      </w:pPr>
      <w:r>
        <w:t xml:space="preserve">pak se má za to, že takový člen představenstva činnost, které se zákaz týká, zakázanou nemá. </w:t>
      </w:r>
      <w:r w:rsidR="009F5884">
        <w:t xml:space="preserve">Výše uvedené omezení se netýká </w:t>
      </w:r>
      <w:r w:rsidR="009F5884">
        <w:rPr>
          <w:color w:val="000000"/>
        </w:rPr>
        <w:t xml:space="preserve">osob propojených s akcionářem vlastnícím </w:t>
      </w:r>
      <w:r w:rsidR="006B7BFF">
        <w:rPr>
          <w:color w:val="000000"/>
        </w:rPr>
        <w:t>Akcii B</w:t>
      </w:r>
      <w:r w:rsidR="009F5884">
        <w:rPr>
          <w:color w:val="000000"/>
        </w:rPr>
        <w:t>.</w:t>
      </w:r>
      <w:r w:rsidR="009F5884">
        <w:t xml:space="preserve"> </w:t>
      </w:r>
      <w:r>
        <w:t xml:space="preserve">To neplatí, pokud valná hromada vyslovila </w:t>
      </w:r>
      <w:r w:rsidR="004B4C8F">
        <w:t xml:space="preserve">všemi hlasy přítomných akcionářů </w:t>
      </w:r>
      <w:r>
        <w:t>nesouhlas s činností podle §</w:t>
      </w:r>
      <w:r w:rsidR="004B4C8F">
        <w:t> </w:t>
      </w:r>
      <w:r>
        <w:t>4</w:t>
      </w:r>
      <w:r w:rsidR="00A932F4">
        <w:t>4</w:t>
      </w:r>
      <w:r>
        <w:t xml:space="preserve">1 ZOK do </w:t>
      </w:r>
      <w:r w:rsidRPr="00BE431F">
        <w:t>jednoho měsíce</w:t>
      </w:r>
      <w:r>
        <w:t xml:space="preserve"> ode dne, kdy byla na okolnosti podle § 4</w:t>
      </w:r>
      <w:r w:rsidR="00A932F4">
        <w:t>4</w:t>
      </w:r>
      <w:r>
        <w:t>1 ZOK upozorněna. Upozornění se uvede v pozvánce na valnou hromadu a na pořad jejího jednání musí být zařazeno hlasování o případném nesouhlasu s konkurenčním jednáním.</w:t>
      </w:r>
    </w:p>
    <w:p w14:paraId="000000A7" w14:textId="4975E679" w:rsidR="00AD3633" w:rsidRPr="00794572" w:rsidRDefault="008438B5" w:rsidP="009D650D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 w:rsidRPr="00794572">
        <w:rPr>
          <w:b/>
          <w:color w:val="000000"/>
        </w:rPr>
        <w:t>DOZORČÍ RADA</w:t>
      </w:r>
    </w:p>
    <w:p w14:paraId="000000A8" w14:textId="0F9ABF6C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Dozorčí rada jako kontrolní orgán společnosti dohlíží na výkon působnosti představenstva a na činnost společnosti a vykonává další působnost dle </w:t>
      </w:r>
      <w:r w:rsidR="00D23AC1">
        <w:rPr>
          <w:color w:val="000000"/>
        </w:rPr>
        <w:t>zákona o obchodních korporacích</w:t>
      </w:r>
      <w:r>
        <w:rPr>
          <w:color w:val="000000"/>
        </w:rPr>
        <w:t>.</w:t>
      </w:r>
    </w:p>
    <w:bookmarkStart w:id="23" w:name="_heading=h.1y810tw" w:colFirst="0" w:colLast="0"/>
    <w:bookmarkEnd w:id="23"/>
    <w:p w14:paraId="000000A9" w14:textId="77777777" w:rsidR="00AD3633" w:rsidRDefault="00C501D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sdt>
        <w:sdtPr>
          <w:tag w:val="goog_rdk_125"/>
          <w:id w:val="-164937293"/>
        </w:sdtPr>
        <w:sdtEndPr/>
        <w:sdtContent/>
      </w:sdt>
      <w:sdt>
        <w:sdtPr>
          <w:tag w:val="goog_rdk_126"/>
          <w:id w:val="-1169560107"/>
        </w:sdtPr>
        <w:sdtEndPr/>
        <w:sdtContent/>
      </w:sdt>
      <w:r w:rsidR="008438B5">
        <w:rPr>
          <w:color w:val="000000"/>
        </w:rPr>
        <w:t>Dozorčí rada dále dává předchozí souhlas s následujícími jednáními představenstva:</w:t>
      </w:r>
    </w:p>
    <w:p w14:paraId="6F03DC2A" w14:textId="0844BEDE" w:rsidR="00514097" w:rsidRPr="00514097" w:rsidRDefault="00514097" w:rsidP="0051409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ind w:left="1418" w:hanging="851"/>
        <w:jc w:val="both"/>
        <w:rPr>
          <w:color w:val="000000"/>
        </w:rPr>
      </w:pPr>
      <w:bookmarkStart w:id="24" w:name="_heading=h.4i7ojhp" w:colFirst="0" w:colLast="0"/>
      <w:bookmarkStart w:id="25" w:name="_Ref64894878"/>
      <w:bookmarkEnd w:id="24"/>
      <w:r w:rsidRPr="00514097">
        <w:rPr>
          <w:color w:val="000000"/>
        </w:rPr>
        <w:t xml:space="preserve">při poskytování či přijetí půjček, úvěrů nebo vydání dluhopisů v hodnotě převyšující částku </w:t>
      </w:r>
      <w:proofErr w:type="gramStart"/>
      <w:r w:rsidRPr="00514097">
        <w:rPr>
          <w:color w:val="000000"/>
        </w:rPr>
        <w:t>500.000,-</w:t>
      </w:r>
      <w:proofErr w:type="gramEnd"/>
      <w:r w:rsidRPr="00514097">
        <w:rPr>
          <w:color w:val="000000"/>
        </w:rPr>
        <w:t xml:space="preserve"> Kč</w:t>
      </w:r>
      <w:r w:rsidR="00916A0A">
        <w:rPr>
          <w:color w:val="000000"/>
        </w:rPr>
        <w:t xml:space="preserve"> (pět set tisíc korun českých)</w:t>
      </w:r>
      <w:r w:rsidRPr="00514097">
        <w:rPr>
          <w:color w:val="000000"/>
        </w:rPr>
        <w:t>, včetně poskytování záruk a uzavírání směnečných obchodů nad uvedenou výši (</w:t>
      </w:r>
      <w:r w:rsidRPr="00BE431F">
        <w:rPr>
          <w:color w:val="000000"/>
        </w:rPr>
        <w:t>za půjčku nebo úvěr se nepovažuje účast společnosti na cash-</w:t>
      </w:r>
      <w:proofErr w:type="spellStart"/>
      <w:r w:rsidRPr="00BE431F">
        <w:rPr>
          <w:color w:val="000000"/>
        </w:rPr>
        <w:t>poolingu</w:t>
      </w:r>
      <w:proofErr w:type="spellEnd"/>
      <w:r w:rsidRPr="00BE431F">
        <w:rPr>
          <w:color w:val="000000"/>
        </w:rPr>
        <w:t xml:space="preserve"> v rámci skupiny </w:t>
      </w:r>
      <w:proofErr w:type="spellStart"/>
      <w:r w:rsidRPr="00BE431F">
        <w:rPr>
          <w:color w:val="000000"/>
        </w:rPr>
        <w:t>Veolia</w:t>
      </w:r>
      <w:proofErr w:type="spellEnd"/>
      <w:r w:rsidRPr="00514097">
        <w:rPr>
          <w:color w:val="000000"/>
        </w:rPr>
        <w:t>);</w:t>
      </w:r>
      <w:bookmarkEnd w:id="25"/>
      <w:r w:rsidRPr="00514097">
        <w:rPr>
          <w:color w:val="000000"/>
        </w:rPr>
        <w:t xml:space="preserve"> </w:t>
      </w:r>
    </w:p>
    <w:p w14:paraId="02222063" w14:textId="54662391" w:rsidR="00514097" w:rsidRPr="00514097" w:rsidRDefault="00514097" w:rsidP="0051409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ind w:left="1418" w:hanging="851"/>
        <w:jc w:val="both"/>
        <w:rPr>
          <w:color w:val="000000"/>
        </w:rPr>
      </w:pPr>
      <w:bookmarkStart w:id="26" w:name="_Ref64894880"/>
      <w:r w:rsidRPr="00514097">
        <w:rPr>
          <w:color w:val="000000"/>
        </w:rPr>
        <w:t xml:space="preserve">při rozhodování o nabývání a zcizování nemovitého majetku ve vlastnictví společnosti s plněním přesahující </w:t>
      </w:r>
      <w:proofErr w:type="gramStart"/>
      <w:r w:rsidRPr="00514097">
        <w:rPr>
          <w:color w:val="000000"/>
        </w:rPr>
        <w:t>500.000,-</w:t>
      </w:r>
      <w:proofErr w:type="gramEnd"/>
      <w:r w:rsidRPr="00514097">
        <w:rPr>
          <w:color w:val="000000"/>
        </w:rPr>
        <w:t xml:space="preserve"> Kč</w:t>
      </w:r>
      <w:r w:rsidR="00916A0A">
        <w:rPr>
          <w:color w:val="000000"/>
        </w:rPr>
        <w:t xml:space="preserve"> (pět set tisíc korun českých)</w:t>
      </w:r>
      <w:r w:rsidRPr="00514097">
        <w:rPr>
          <w:color w:val="000000"/>
        </w:rPr>
        <w:t xml:space="preserve"> vůči stejné osobě v průběhu (1) jednoho kalendářního roku;</w:t>
      </w:r>
      <w:bookmarkEnd w:id="26"/>
      <w:r w:rsidRPr="00514097">
        <w:rPr>
          <w:color w:val="000000"/>
        </w:rPr>
        <w:t xml:space="preserve"> </w:t>
      </w:r>
    </w:p>
    <w:p w14:paraId="72412372" w14:textId="6B1E9326" w:rsidR="00514097" w:rsidRPr="00514097" w:rsidRDefault="00514097" w:rsidP="0051409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ind w:left="1418" w:hanging="851"/>
        <w:jc w:val="both"/>
        <w:rPr>
          <w:color w:val="000000"/>
        </w:rPr>
      </w:pPr>
      <w:bookmarkStart w:id="27" w:name="_Ref74923362"/>
      <w:r w:rsidRPr="00514097">
        <w:rPr>
          <w:color w:val="000000"/>
        </w:rPr>
        <w:t xml:space="preserve">při uzavírání či změnách smluv, na jejichž základě vznikne společnosti závazek ve výši přesahující </w:t>
      </w:r>
      <w:proofErr w:type="gramStart"/>
      <w:r w:rsidRPr="00514097">
        <w:rPr>
          <w:color w:val="000000"/>
        </w:rPr>
        <w:t>10.000.000,-</w:t>
      </w:r>
      <w:proofErr w:type="gramEnd"/>
      <w:r w:rsidRPr="00514097">
        <w:rPr>
          <w:color w:val="000000"/>
        </w:rPr>
        <w:t xml:space="preserve"> Kč</w:t>
      </w:r>
      <w:r w:rsidR="00916A0A">
        <w:rPr>
          <w:color w:val="000000"/>
        </w:rPr>
        <w:t xml:space="preserve"> (deset milionů korun českých)</w:t>
      </w:r>
      <w:r w:rsidRPr="00514097">
        <w:rPr>
          <w:color w:val="000000"/>
        </w:rPr>
        <w:t xml:space="preserve"> v souvislosti s jednou obchodní záležitostí vůči stejné osobě v průběhu (1) jednoho kalendářního roku, to neplatí pro</w:t>
      </w:r>
      <w:bookmarkEnd w:id="27"/>
    </w:p>
    <w:p w14:paraId="47F9B012" w14:textId="312D988E" w:rsidR="00514097" w:rsidRPr="00514097" w:rsidRDefault="00514097" w:rsidP="003D17A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ind w:left="2268" w:hanging="850"/>
        <w:jc w:val="both"/>
        <w:rPr>
          <w:color w:val="000000"/>
        </w:rPr>
      </w:pPr>
      <w:bookmarkStart w:id="28" w:name="_Ref74923383"/>
      <w:r w:rsidRPr="00514097">
        <w:rPr>
          <w:color w:val="000000"/>
        </w:rPr>
        <w:t>uzavírání smluv o poskytnutí služeb se zákazníky společnosti v rámci jejího předmětu podnikání a běžné obchodní činnosti;</w:t>
      </w:r>
      <w:bookmarkEnd w:id="28"/>
    </w:p>
    <w:p w14:paraId="69929AC0" w14:textId="34869488" w:rsidR="00514097" w:rsidRPr="00514097" w:rsidRDefault="00514097" w:rsidP="003D17A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ind w:left="2268" w:hanging="850"/>
        <w:jc w:val="both"/>
        <w:rPr>
          <w:color w:val="000000"/>
        </w:rPr>
      </w:pPr>
      <w:r w:rsidRPr="00514097">
        <w:rPr>
          <w:color w:val="000000"/>
        </w:rPr>
        <w:t>nákup služby čištění odpadních vod v Otrokovicích (odpadní voda předaná jinému provozovateli);</w:t>
      </w:r>
    </w:p>
    <w:p w14:paraId="3847B3C2" w14:textId="0E9D4A10" w:rsidR="00514097" w:rsidRPr="00514097" w:rsidRDefault="00514097" w:rsidP="003D17A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ind w:left="2268" w:hanging="850"/>
        <w:jc w:val="both"/>
        <w:rPr>
          <w:color w:val="000000"/>
        </w:rPr>
      </w:pPr>
      <w:r w:rsidRPr="00514097">
        <w:rPr>
          <w:color w:val="000000"/>
        </w:rPr>
        <w:t>nákup surové vody k výrobě vody;</w:t>
      </w:r>
    </w:p>
    <w:p w14:paraId="31C7E48E" w14:textId="700D5C30" w:rsidR="00514097" w:rsidRPr="00514097" w:rsidRDefault="00514097" w:rsidP="003D17A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ind w:left="2268" w:hanging="850"/>
        <w:jc w:val="both"/>
        <w:rPr>
          <w:color w:val="000000"/>
        </w:rPr>
      </w:pPr>
      <w:r w:rsidRPr="00514097">
        <w:rPr>
          <w:color w:val="000000"/>
        </w:rPr>
        <w:t>nákup pitné vody předané;</w:t>
      </w:r>
    </w:p>
    <w:p w14:paraId="5C97F593" w14:textId="6B1C68C6" w:rsidR="00514097" w:rsidRPr="00514097" w:rsidRDefault="00514097" w:rsidP="003D17AC">
      <w:pPr>
        <w:numPr>
          <w:ilvl w:val="3"/>
          <w:numId w:val="4"/>
        </w:numPr>
        <w:pBdr>
          <w:top w:val="nil"/>
          <w:left w:val="nil"/>
          <w:bottom w:val="nil"/>
          <w:right w:val="nil"/>
          <w:between w:val="nil"/>
        </w:pBdr>
        <w:ind w:left="2268" w:hanging="850"/>
        <w:jc w:val="both"/>
        <w:rPr>
          <w:color w:val="000000"/>
        </w:rPr>
      </w:pPr>
      <w:bookmarkStart w:id="29" w:name="_Ref74923395"/>
      <w:r w:rsidRPr="00514097">
        <w:rPr>
          <w:color w:val="000000"/>
        </w:rPr>
        <w:t>Nákup elektrické energie,</w:t>
      </w:r>
      <w:bookmarkEnd w:id="29"/>
    </w:p>
    <w:p w14:paraId="4CB4E803" w14:textId="23C84E35" w:rsidR="00514097" w:rsidRPr="00514097" w:rsidRDefault="00514097" w:rsidP="00514097">
      <w:pPr>
        <w:pBdr>
          <w:top w:val="nil"/>
          <w:left w:val="nil"/>
          <w:bottom w:val="nil"/>
          <w:right w:val="nil"/>
          <w:between w:val="nil"/>
        </w:pBdr>
        <w:ind w:left="1418"/>
        <w:jc w:val="both"/>
        <w:rPr>
          <w:color w:val="000000"/>
        </w:rPr>
      </w:pPr>
      <w:r w:rsidRPr="00514097">
        <w:rPr>
          <w:color w:val="000000"/>
        </w:rPr>
        <w:lastRenderedPageBreak/>
        <w:t>ledaže jde o smlouvy s </w:t>
      </w:r>
      <w:r w:rsidR="0016382C">
        <w:rPr>
          <w:color w:val="000000"/>
        </w:rPr>
        <w:t>p</w:t>
      </w:r>
      <w:r w:rsidRPr="00514097">
        <w:rPr>
          <w:color w:val="000000"/>
        </w:rPr>
        <w:t xml:space="preserve">ropojenými osobami, na něž dopadají </w:t>
      </w:r>
      <w:r w:rsidR="0016382C">
        <w:rPr>
          <w:color w:val="000000"/>
        </w:rPr>
        <w:t>č</w:t>
      </w:r>
      <w:r w:rsidRPr="00514097">
        <w:rPr>
          <w:color w:val="000000"/>
        </w:rPr>
        <w:t xml:space="preserve">lánky </w:t>
      </w:r>
      <w:r w:rsidRPr="00514097">
        <w:rPr>
          <w:color w:val="000000"/>
        </w:rPr>
        <w:fldChar w:fldCharType="begin"/>
      </w:r>
      <w:r w:rsidRPr="00514097">
        <w:rPr>
          <w:color w:val="000000"/>
        </w:rPr>
        <w:instrText xml:space="preserve"> REF _Ref74330458 \r \h </w:instrText>
      </w:r>
      <w:r w:rsidRPr="00514097">
        <w:rPr>
          <w:color w:val="000000"/>
        </w:rPr>
      </w:r>
      <w:r w:rsidRPr="00514097">
        <w:rPr>
          <w:color w:val="000000"/>
        </w:rPr>
        <w:fldChar w:fldCharType="separate"/>
      </w:r>
      <w:r w:rsidR="003D17AC">
        <w:rPr>
          <w:color w:val="000000"/>
        </w:rPr>
        <w:t>16.2.5</w:t>
      </w:r>
      <w:r w:rsidRPr="00514097">
        <w:rPr>
          <w:color w:val="000000"/>
        </w:rPr>
        <w:fldChar w:fldCharType="end"/>
      </w:r>
      <w:r w:rsidRPr="00514097">
        <w:rPr>
          <w:color w:val="000000"/>
        </w:rPr>
        <w:t xml:space="preserve"> a </w:t>
      </w:r>
      <w:r w:rsidRPr="00514097">
        <w:rPr>
          <w:color w:val="000000"/>
        </w:rPr>
        <w:fldChar w:fldCharType="begin"/>
      </w:r>
      <w:r w:rsidRPr="00514097">
        <w:rPr>
          <w:color w:val="000000"/>
        </w:rPr>
        <w:instrText xml:space="preserve"> REF _Ref74330460 \r \h </w:instrText>
      </w:r>
      <w:r w:rsidRPr="00514097">
        <w:rPr>
          <w:color w:val="000000"/>
        </w:rPr>
      </w:r>
      <w:r w:rsidRPr="00514097">
        <w:rPr>
          <w:color w:val="000000"/>
        </w:rPr>
        <w:fldChar w:fldCharType="separate"/>
      </w:r>
      <w:r w:rsidR="003D17AC">
        <w:rPr>
          <w:color w:val="000000"/>
        </w:rPr>
        <w:t>16.2.6</w:t>
      </w:r>
      <w:r w:rsidRPr="00514097">
        <w:rPr>
          <w:color w:val="000000"/>
        </w:rPr>
        <w:fldChar w:fldCharType="end"/>
      </w:r>
      <w:r w:rsidR="0016382C">
        <w:rPr>
          <w:color w:val="000000"/>
        </w:rPr>
        <w:t xml:space="preserve"> těchto stanov</w:t>
      </w:r>
      <w:r w:rsidRPr="00514097">
        <w:rPr>
          <w:color w:val="000000"/>
        </w:rPr>
        <w:t>.</w:t>
      </w:r>
    </w:p>
    <w:p w14:paraId="53358C3D" w14:textId="0D93231E" w:rsidR="00514097" w:rsidRPr="00514097" w:rsidRDefault="00514097" w:rsidP="0051409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ind w:left="1418" w:hanging="851"/>
        <w:jc w:val="both"/>
        <w:rPr>
          <w:color w:val="000000"/>
        </w:rPr>
      </w:pPr>
      <w:r w:rsidRPr="00514097">
        <w:rPr>
          <w:color w:val="000000"/>
        </w:rPr>
        <w:t xml:space="preserve">při rozhodování o </w:t>
      </w:r>
      <w:r w:rsidR="00AE052E">
        <w:rPr>
          <w:color w:val="000000"/>
        </w:rPr>
        <w:t xml:space="preserve">(i) </w:t>
      </w:r>
      <w:r w:rsidRPr="00BE431F">
        <w:rPr>
          <w:color w:val="000000"/>
        </w:rPr>
        <w:t xml:space="preserve">prodeji, </w:t>
      </w:r>
      <w:r w:rsidR="00AE052E">
        <w:rPr>
          <w:color w:val="000000"/>
        </w:rPr>
        <w:t>(</w:t>
      </w:r>
      <w:proofErr w:type="spellStart"/>
      <w:r w:rsidR="00AE052E">
        <w:rPr>
          <w:color w:val="000000"/>
        </w:rPr>
        <w:t>ii</w:t>
      </w:r>
      <w:proofErr w:type="spellEnd"/>
      <w:r w:rsidR="00AE052E">
        <w:rPr>
          <w:color w:val="000000"/>
        </w:rPr>
        <w:t xml:space="preserve">) </w:t>
      </w:r>
      <w:r w:rsidRPr="00BE431F">
        <w:rPr>
          <w:color w:val="000000"/>
        </w:rPr>
        <w:t xml:space="preserve">nájmu, </w:t>
      </w:r>
      <w:r w:rsidR="00AE052E">
        <w:rPr>
          <w:color w:val="000000"/>
        </w:rPr>
        <w:t>(</w:t>
      </w:r>
      <w:proofErr w:type="spellStart"/>
      <w:r w:rsidR="00AE052E">
        <w:rPr>
          <w:color w:val="000000"/>
        </w:rPr>
        <w:t>iii</w:t>
      </w:r>
      <w:proofErr w:type="spellEnd"/>
      <w:r w:rsidR="00AE052E">
        <w:rPr>
          <w:color w:val="000000"/>
        </w:rPr>
        <w:t xml:space="preserve">) </w:t>
      </w:r>
      <w:r w:rsidRPr="00BE431F">
        <w:rPr>
          <w:color w:val="000000"/>
        </w:rPr>
        <w:t xml:space="preserve">směně nebo </w:t>
      </w:r>
      <w:r w:rsidR="00AE052E">
        <w:rPr>
          <w:color w:val="000000"/>
        </w:rPr>
        <w:t>(</w:t>
      </w:r>
      <w:proofErr w:type="spellStart"/>
      <w:r w:rsidR="00AE052E">
        <w:rPr>
          <w:color w:val="000000"/>
        </w:rPr>
        <w:t>iv</w:t>
      </w:r>
      <w:proofErr w:type="spellEnd"/>
      <w:r w:rsidR="00AE052E">
        <w:rPr>
          <w:color w:val="000000"/>
        </w:rPr>
        <w:t>)</w:t>
      </w:r>
      <w:r w:rsidRPr="00BE431F">
        <w:rPr>
          <w:color w:val="000000"/>
        </w:rPr>
        <w:t xml:space="preserve"> jiném nakládání s ostatním majetkem společnosti</w:t>
      </w:r>
      <w:r w:rsidR="00AE052E">
        <w:rPr>
          <w:color w:val="000000"/>
        </w:rPr>
        <w:t>, v každém jednotlivém případě</w:t>
      </w:r>
      <w:r w:rsidRPr="00BE431F">
        <w:rPr>
          <w:color w:val="000000"/>
        </w:rPr>
        <w:t xml:space="preserve"> ve výši přesahující částku </w:t>
      </w:r>
      <w:proofErr w:type="gramStart"/>
      <w:r w:rsidRPr="00BE431F">
        <w:rPr>
          <w:color w:val="000000"/>
        </w:rPr>
        <w:t>1.000.000,-</w:t>
      </w:r>
      <w:proofErr w:type="gramEnd"/>
      <w:r w:rsidRPr="00514097">
        <w:rPr>
          <w:color w:val="000000"/>
        </w:rPr>
        <w:t xml:space="preserve"> Kč</w:t>
      </w:r>
      <w:r w:rsidR="00916A0A">
        <w:rPr>
          <w:color w:val="000000"/>
        </w:rPr>
        <w:t xml:space="preserve"> (jeden milion korun českých)</w:t>
      </w:r>
      <w:r w:rsidRPr="00514097">
        <w:rPr>
          <w:color w:val="000000"/>
        </w:rPr>
        <w:t>;</w:t>
      </w:r>
    </w:p>
    <w:p w14:paraId="4851CF22" w14:textId="0D248D4C" w:rsidR="00514097" w:rsidRPr="00514097" w:rsidRDefault="00514097" w:rsidP="0051409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ind w:left="1418" w:hanging="851"/>
        <w:jc w:val="both"/>
        <w:rPr>
          <w:color w:val="000000"/>
        </w:rPr>
      </w:pPr>
      <w:bookmarkStart w:id="30" w:name="_Ref74330458"/>
      <w:r w:rsidRPr="00514097">
        <w:rPr>
          <w:color w:val="000000"/>
        </w:rPr>
        <w:t>při uzavírání nových smluv s </w:t>
      </w:r>
      <w:r w:rsidR="007F17BC">
        <w:rPr>
          <w:color w:val="000000"/>
        </w:rPr>
        <w:t>p</w:t>
      </w:r>
      <w:r w:rsidRPr="00514097">
        <w:rPr>
          <w:color w:val="000000"/>
        </w:rPr>
        <w:t xml:space="preserve">ropojenými osobami společnosti a/nebo </w:t>
      </w:r>
      <w:r w:rsidR="003D17AC">
        <w:rPr>
          <w:color w:val="000000"/>
        </w:rPr>
        <w:t>akcionářů</w:t>
      </w:r>
      <w:r w:rsidRPr="00514097">
        <w:rPr>
          <w:color w:val="000000"/>
        </w:rPr>
        <w:t xml:space="preserve"> (společníci, dceřiné společnosti apod.) nebo jednostranných jednáních činěných vůči těmto osobám při hodnotě závazku ve výši přesahující 2.000.000 Kč</w:t>
      </w:r>
      <w:r w:rsidR="00916A0A">
        <w:rPr>
          <w:color w:val="000000"/>
        </w:rPr>
        <w:t xml:space="preserve"> (dva miliony korun českých)</w:t>
      </w:r>
      <w:r w:rsidRPr="00514097">
        <w:rPr>
          <w:color w:val="000000"/>
        </w:rPr>
        <w:t xml:space="preserve"> v souvislosti s</w:t>
      </w:r>
      <w:r w:rsidR="003D17AC">
        <w:rPr>
          <w:color w:val="000000"/>
        </w:rPr>
        <w:t> </w:t>
      </w:r>
      <w:r w:rsidRPr="00514097">
        <w:rPr>
          <w:color w:val="000000"/>
        </w:rPr>
        <w:t>jednou obchodní záležitostí;</w:t>
      </w:r>
      <w:bookmarkEnd w:id="30"/>
    </w:p>
    <w:p w14:paraId="0584366E" w14:textId="3E0DC45A" w:rsidR="00514097" w:rsidRDefault="007F17BC" w:rsidP="0051409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ind w:left="1418" w:hanging="851"/>
        <w:jc w:val="both"/>
        <w:rPr>
          <w:rFonts w:asciiTheme="minorHAnsi" w:hAnsiTheme="minorHAnsi" w:cstheme="minorHAnsi"/>
        </w:rPr>
      </w:pPr>
      <w:bookmarkStart w:id="31" w:name="_Ref74330460"/>
      <w:r w:rsidRPr="00C26204">
        <w:rPr>
          <w:rFonts w:asciiTheme="minorHAnsi" w:hAnsiTheme="minorHAnsi" w:cstheme="minorHAnsi"/>
        </w:rPr>
        <w:t xml:space="preserve">při změnách již existujících smluv dle </w:t>
      </w:r>
      <w:r>
        <w:rPr>
          <w:rFonts w:asciiTheme="minorHAnsi" w:hAnsiTheme="minorHAnsi" w:cstheme="minorHAnsi"/>
        </w:rPr>
        <w:t>č</w:t>
      </w:r>
      <w:r w:rsidRPr="00C26204">
        <w:rPr>
          <w:rFonts w:asciiTheme="minorHAnsi" w:hAnsiTheme="minorHAnsi" w:cstheme="minorHAnsi"/>
        </w:rPr>
        <w:t xml:space="preserve">lánků </w:t>
      </w:r>
      <w:r w:rsidRPr="00C26204">
        <w:rPr>
          <w:rFonts w:asciiTheme="minorHAnsi" w:hAnsiTheme="minorHAnsi" w:cstheme="minorHAnsi"/>
        </w:rPr>
        <w:fldChar w:fldCharType="begin"/>
      </w:r>
      <w:r w:rsidRPr="00C26204">
        <w:rPr>
          <w:rFonts w:asciiTheme="minorHAnsi" w:hAnsiTheme="minorHAnsi" w:cstheme="minorHAnsi"/>
        </w:rPr>
        <w:instrText xml:space="preserve"> REF _Ref64894878 \r \h  \* MERGEFORMAT </w:instrText>
      </w:r>
      <w:r w:rsidRPr="00C26204">
        <w:rPr>
          <w:rFonts w:asciiTheme="minorHAnsi" w:hAnsiTheme="minorHAnsi" w:cstheme="minorHAnsi"/>
        </w:rPr>
      </w:r>
      <w:r w:rsidRPr="00C26204">
        <w:rPr>
          <w:rFonts w:asciiTheme="minorHAnsi" w:hAnsiTheme="minorHAnsi" w:cstheme="minorHAnsi"/>
        </w:rPr>
        <w:fldChar w:fldCharType="separate"/>
      </w:r>
      <w:r w:rsidR="003D17AC">
        <w:rPr>
          <w:rFonts w:asciiTheme="minorHAnsi" w:hAnsiTheme="minorHAnsi" w:cstheme="minorHAnsi"/>
        </w:rPr>
        <w:t>16.2.1</w:t>
      </w:r>
      <w:r w:rsidRPr="00C26204">
        <w:rPr>
          <w:rFonts w:asciiTheme="minorHAnsi" w:hAnsiTheme="minorHAnsi" w:cstheme="minorHAnsi"/>
        </w:rPr>
        <w:fldChar w:fldCharType="end"/>
      </w:r>
      <w:r w:rsidRPr="00C26204">
        <w:rPr>
          <w:rFonts w:asciiTheme="minorHAnsi" w:hAnsiTheme="minorHAnsi" w:cstheme="minorHAnsi"/>
        </w:rPr>
        <w:t xml:space="preserve"> až </w:t>
      </w:r>
      <w:r w:rsidRPr="00C26204">
        <w:rPr>
          <w:rFonts w:asciiTheme="minorHAnsi" w:hAnsiTheme="minorHAnsi" w:cstheme="minorHAnsi"/>
        </w:rPr>
        <w:fldChar w:fldCharType="begin"/>
      </w:r>
      <w:r w:rsidRPr="00C26204">
        <w:rPr>
          <w:rFonts w:asciiTheme="minorHAnsi" w:hAnsiTheme="minorHAnsi" w:cstheme="minorHAnsi"/>
        </w:rPr>
        <w:instrText xml:space="preserve"> REF _Ref74330458 \r \h  \* MERGEFORMAT </w:instrText>
      </w:r>
      <w:r w:rsidRPr="00C26204">
        <w:rPr>
          <w:rFonts w:asciiTheme="minorHAnsi" w:hAnsiTheme="minorHAnsi" w:cstheme="minorHAnsi"/>
        </w:rPr>
      </w:r>
      <w:r w:rsidRPr="00C26204">
        <w:rPr>
          <w:rFonts w:asciiTheme="minorHAnsi" w:hAnsiTheme="minorHAnsi" w:cstheme="minorHAnsi"/>
        </w:rPr>
        <w:fldChar w:fldCharType="separate"/>
      </w:r>
      <w:r w:rsidR="003D17AC">
        <w:rPr>
          <w:rFonts w:asciiTheme="minorHAnsi" w:hAnsiTheme="minorHAnsi" w:cstheme="minorHAnsi"/>
        </w:rPr>
        <w:t>16.2.5</w:t>
      </w:r>
      <w:r w:rsidRPr="00C26204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 těchto stanov</w:t>
      </w:r>
      <w:r w:rsidRPr="00C26204">
        <w:rPr>
          <w:rFonts w:asciiTheme="minorHAnsi" w:hAnsiTheme="minorHAnsi" w:cstheme="minorHAnsi"/>
        </w:rPr>
        <w:t>, představující navýšení sjednané ceny plnění o více než 2 %</w:t>
      </w:r>
      <w:r w:rsidR="002F1E4E">
        <w:rPr>
          <w:rFonts w:asciiTheme="minorHAnsi" w:hAnsiTheme="minorHAnsi" w:cstheme="minorHAnsi"/>
        </w:rPr>
        <w:t xml:space="preserve"> (dvě procenta)</w:t>
      </w:r>
      <w:r w:rsidRPr="00C26204">
        <w:rPr>
          <w:rFonts w:asciiTheme="minorHAnsi" w:hAnsiTheme="minorHAnsi" w:cstheme="minorHAnsi"/>
        </w:rPr>
        <w:t xml:space="preserve"> nad úroveň indexace ročního plnění o výši meziroční inflace</w:t>
      </w:r>
      <w:r w:rsidR="0087367A">
        <w:rPr>
          <w:rFonts w:asciiTheme="minorHAnsi" w:hAnsiTheme="minorHAnsi" w:cstheme="minorHAnsi"/>
        </w:rPr>
        <w:t xml:space="preserve"> </w:t>
      </w:r>
      <w:r w:rsidR="0087367A" w:rsidRPr="0087367A">
        <w:rPr>
          <w:rFonts w:asciiTheme="minorHAnsi" w:hAnsiTheme="minorHAnsi" w:cstheme="minorHAnsi"/>
        </w:rPr>
        <w:t xml:space="preserve">vyjádřené </w:t>
      </w:r>
      <w:r w:rsidR="0087367A" w:rsidRPr="0087367A">
        <w:rPr>
          <w:rFonts w:asciiTheme="minorHAnsi" w:hAnsiTheme="minorHAnsi" w:cstheme="minorHAnsi"/>
          <w:bdr w:val="none" w:sz="0" w:space="0" w:color="auto" w:frame="1"/>
          <w:shd w:val="clear" w:color="auto" w:fill="FFFFFF"/>
        </w:rPr>
        <w:t>přírůstkem průměrného indexu spotřebitelských cen</w:t>
      </w:r>
      <w:r w:rsidR="0087367A" w:rsidRPr="0087367A">
        <w:rPr>
          <w:rFonts w:asciiTheme="minorHAnsi" w:hAnsiTheme="minorHAnsi" w:cstheme="minorHAnsi"/>
        </w:rPr>
        <w:t xml:space="preserve"> za dvanáct měsíců předcházejících takovou změnu </w:t>
      </w:r>
      <w:r w:rsidR="0087367A" w:rsidRPr="0087367A">
        <w:rPr>
          <w:rFonts w:asciiTheme="minorHAnsi" w:hAnsiTheme="minorHAnsi" w:cstheme="minorHAnsi"/>
          <w:color w:val="000000"/>
        </w:rPr>
        <w:t>(nebo obdobným koeficientem inflace, který tento v budoucnu případně nahradí</w:t>
      </w:r>
      <w:r w:rsidR="0087367A" w:rsidRPr="00EE347D">
        <w:rPr>
          <w:rFonts w:asciiTheme="minorHAnsi" w:hAnsiTheme="minorHAnsi" w:cstheme="minorHAnsi"/>
          <w:color w:val="000000"/>
        </w:rPr>
        <w:t>)</w:t>
      </w:r>
      <w:r w:rsidRPr="00C26204">
        <w:rPr>
          <w:rFonts w:asciiTheme="minorHAnsi" w:hAnsiTheme="minorHAnsi" w:cstheme="minorHAnsi"/>
        </w:rPr>
        <w:t>; t</w:t>
      </w:r>
      <w:r w:rsidRPr="007F17BC">
        <w:rPr>
          <w:rFonts w:asciiTheme="minorHAnsi" w:hAnsiTheme="minorHAnsi" w:cstheme="minorHAnsi"/>
        </w:rPr>
        <w:t xml:space="preserve">o neplatí pro vyloučené smlouvy dle článku </w:t>
      </w:r>
      <w:r w:rsidRPr="007F17BC">
        <w:rPr>
          <w:rFonts w:asciiTheme="minorHAnsi" w:hAnsiTheme="minorHAnsi" w:cstheme="minorHAnsi"/>
        </w:rPr>
        <w:fldChar w:fldCharType="begin"/>
      </w:r>
      <w:r w:rsidRPr="007F17BC">
        <w:rPr>
          <w:rFonts w:asciiTheme="minorHAnsi" w:hAnsiTheme="minorHAnsi" w:cstheme="minorHAnsi"/>
        </w:rPr>
        <w:instrText xml:space="preserve"> REF _Ref74923362 \r \h </w:instrText>
      </w:r>
      <w:r>
        <w:rPr>
          <w:rFonts w:asciiTheme="minorHAnsi" w:hAnsiTheme="minorHAnsi" w:cstheme="minorHAnsi"/>
        </w:rPr>
        <w:instrText xml:space="preserve"> \* MERGEFORMAT </w:instrText>
      </w:r>
      <w:r w:rsidRPr="007F17BC">
        <w:rPr>
          <w:rFonts w:asciiTheme="minorHAnsi" w:hAnsiTheme="minorHAnsi" w:cstheme="minorHAnsi"/>
        </w:rPr>
      </w:r>
      <w:r w:rsidRPr="007F17BC">
        <w:rPr>
          <w:rFonts w:asciiTheme="minorHAnsi" w:hAnsiTheme="minorHAnsi" w:cstheme="minorHAnsi"/>
        </w:rPr>
        <w:fldChar w:fldCharType="separate"/>
      </w:r>
      <w:r w:rsidR="003D17AC">
        <w:rPr>
          <w:rFonts w:asciiTheme="minorHAnsi" w:hAnsiTheme="minorHAnsi" w:cstheme="minorHAnsi"/>
        </w:rPr>
        <w:t>16.2.3</w:t>
      </w:r>
      <w:r w:rsidRPr="007F17BC">
        <w:rPr>
          <w:rFonts w:asciiTheme="minorHAnsi" w:hAnsiTheme="minorHAnsi" w:cstheme="minorHAnsi"/>
        </w:rPr>
        <w:fldChar w:fldCharType="end"/>
      </w:r>
      <w:r w:rsidRPr="007F17BC">
        <w:rPr>
          <w:rFonts w:asciiTheme="minorHAnsi" w:hAnsiTheme="minorHAnsi" w:cstheme="minorHAnsi"/>
        </w:rPr>
        <w:t xml:space="preserve"> bodů </w:t>
      </w:r>
      <w:r w:rsidRPr="007F17BC">
        <w:rPr>
          <w:rFonts w:asciiTheme="minorHAnsi" w:hAnsiTheme="minorHAnsi" w:cstheme="minorHAnsi"/>
        </w:rPr>
        <w:fldChar w:fldCharType="begin"/>
      </w:r>
      <w:r w:rsidRPr="007F17BC">
        <w:rPr>
          <w:rFonts w:asciiTheme="minorHAnsi" w:hAnsiTheme="minorHAnsi" w:cstheme="minorHAnsi"/>
        </w:rPr>
        <w:instrText xml:space="preserve"> REF _Ref74923383 \r \h </w:instrText>
      </w:r>
      <w:r>
        <w:rPr>
          <w:rFonts w:asciiTheme="minorHAnsi" w:hAnsiTheme="minorHAnsi" w:cstheme="minorHAnsi"/>
        </w:rPr>
        <w:instrText xml:space="preserve"> \* MERGEFORMAT </w:instrText>
      </w:r>
      <w:r w:rsidRPr="007F17BC">
        <w:rPr>
          <w:rFonts w:asciiTheme="minorHAnsi" w:hAnsiTheme="minorHAnsi" w:cstheme="minorHAnsi"/>
        </w:rPr>
      </w:r>
      <w:r w:rsidRPr="007F17BC">
        <w:rPr>
          <w:rFonts w:asciiTheme="minorHAnsi" w:hAnsiTheme="minorHAnsi" w:cstheme="minorHAnsi"/>
        </w:rPr>
        <w:fldChar w:fldCharType="separate"/>
      </w:r>
      <w:r w:rsidR="003D17AC">
        <w:rPr>
          <w:rFonts w:asciiTheme="minorHAnsi" w:hAnsiTheme="minorHAnsi" w:cstheme="minorHAnsi"/>
        </w:rPr>
        <w:t>16.2.3.1</w:t>
      </w:r>
      <w:r w:rsidRPr="007F17BC">
        <w:rPr>
          <w:rFonts w:asciiTheme="minorHAnsi" w:hAnsiTheme="minorHAnsi" w:cstheme="minorHAnsi"/>
        </w:rPr>
        <w:fldChar w:fldCharType="end"/>
      </w:r>
      <w:r w:rsidRPr="007F17BC">
        <w:rPr>
          <w:rFonts w:asciiTheme="minorHAnsi" w:hAnsiTheme="minorHAnsi" w:cstheme="minorHAnsi"/>
        </w:rPr>
        <w:t xml:space="preserve"> až </w:t>
      </w:r>
      <w:r w:rsidRPr="007F17BC">
        <w:rPr>
          <w:rFonts w:asciiTheme="minorHAnsi" w:hAnsiTheme="minorHAnsi" w:cstheme="minorHAnsi"/>
        </w:rPr>
        <w:fldChar w:fldCharType="begin"/>
      </w:r>
      <w:r w:rsidRPr="007F17BC">
        <w:rPr>
          <w:rFonts w:asciiTheme="minorHAnsi" w:hAnsiTheme="minorHAnsi" w:cstheme="minorHAnsi"/>
        </w:rPr>
        <w:instrText xml:space="preserve"> REF _Ref74923395 \r \h </w:instrText>
      </w:r>
      <w:r>
        <w:rPr>
          <w:rFonts w:asciiTheme="minorHAnsi" w:hAnsiTheme="minorHAnsi" w:cstheme="minorHAnsi"/>
        </w:rPr>
        <w:instrText xml:space="preserve"> \* MERGEFORMAT </w:instrText>
      </w:r>
      <w:r w:rsidRPr="007F17BC">
        <w:rPr>
          <w:rFonts w:asciiTheme="minorHAnsi" w:hAnsiTheme="minorHAnsi" w:cstheme="minorHAnsi"/>
        </w:rPr>
      </w:r>
      <w:r w:rsidRPr="007F17BC">
        <w:rPr>
          <w:rFonts w:asciiTheme="minorHAnsi" w:hAnsiTheme="minorHAnsi" w:cstheme="minorHAnsi"/>
        </w:rPr>
        <w:fldChar w:fldCharType="separate"/>
      </w:r>
      <w:r w:rsidR="003D17AC">
        <w:rPr>
          <w:rFonts w:asciiTheme="minorHAnsi" w:hAnsiTheme="minorHAnsi" w:cstheme="minorHAnsi"/>
        </w:rPr>
        <w:t>16.2.3.5</w:t>
      </w:r>
      <w:r w:rsidRPr="007F17BC">
        <w:rPr>
          <w:rFonts w:asciiTheme="minorHAnsi" w:hAnsiTheme="minorHAnsi" w:cstheme="minorHAnsi"/>
        </w:rPr>
        <w:fldChar w:fldCharType="end"/>
      </w:r>
      <w:r w:rsidRPr="007F17BC">
        <w:rPr>
          <w:rFonts w:asciiTheme="minorHAnsi" w:hAnsiTheme="minorHAnsi" w:cstheme="minorHAnsi"/>
        </w:rPr>
        <w:t xml:space="preserve"> těchto stanov, </w:t>
      </w:r>
      <w:r w:rsidRPr="00C26204">
        <w:rPr>
          <w:rFonts w:asciiTheme="minorHAnsi" w:hAnsiTheme="minorHAnsi" w:cstheme="minorHAnsi"/>
        </w:rPr>
        <w:t>ledaže jde o smlouvy s </w:t>
      </w:r>
      <w:r>
        <w:rPr>
          <w:rFonts w:asciiTheme="minorHAnsi" w:hAnsiTheme="minorHAnsi" w:cstheme="minorHAnsi"/>
        </w:rPr>
        <w:t>p</w:t>
      </w:r>
      <w:r w:rsidRPr="00C26204">
        <w:rPr>
          <w:rFonts w:asciiTheme="minorHAnsi" w:hAnsiTheme="minorHAnsi" w:cstheme="minorHAnsi"/>
        </w:rPr>
        <w:t>ropojenými osobami</w:t>
      </w:r>
      <w:r w:rsidRPr="007F17BC">
        <w:rPr>
          <w:rFonts w:asciiTheme="minorHAnsi" w:hAnsiTheme="minorHAnsi" w:cstheme="minorHAnsi"/>
        </w:rPr>
        <w:t>. Pokud bude provedeno v jednom kalendářním roce více změn, je rozhodný součet hodnot všech těchto změn.</w:t>
      </w:r>
      <w:r w:rsidR="00514097" w:rsidRPr="007F17BC">
        <w:rPr>
          <w:rFonts w:asciiTheme="minorHAnsi" w:hAnsiTheme="minorHAnsi" w:cstheme="minorHAnsi"/>
        </w:rPr>
        <w:t>;</w:t>
      </w:r>
      <w:bookmarkEnd w:id="31"/>
    </w:p>
    <w:p w14:paraId="65D25D8A" w14:textId="46A91B94" w:rsidR="0047177D" w:rsidRPr="007F17BC" w:rsidRDefault="0047177D" w:rsidP="0051409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ind w:left="1418" w:hanging="851"/>
        <w:jc w:val="both"/>
        <w:rPr>
          <w:rFonts w:asciiTheme="minorHAnsi" w:hAnsiTheme="minorHAnsi" w:cstheme="minorHAnsi"/>
        </w:rPr>
      </w:pPr>
      <w:r w:rsidRPr="00C26204">
        <w:rPr>
          <w:rFonts w:asciiTheme="minorHAnsi" w:hAnsiTheme="minorHAnsi" w:cstheme="minorHAnsi"/>
        </w:rPr>
        <w:t xml:space="preserve">při uzavírání jakýchkoli smluv, které povedou k zatížení společnosti nebo jeho majetku o více než </w:t>
      </w:r>
      <w:proofErr w:type="gramStart"/>
      <w:r>
        <w:rPr>
          <w:rFonts w:asciiTheme="minorHAnsi" w:hAnsiTheme="minorHAnsi" w:cstheme="minorHAnsi"/>
        </w:rPr>
        <w:t>10</w:t>
      </w:r>
      <w:r w:rsidRPr="00C26204">
        <w:rPr>
          <w:rFonts w:asciiTheme="minorHAnsi" w:hAnsiTheme="minorHAnsi" w:cstheme="minorHAnsi"/>
        </w:rPr>
        <w:t>.000.000,-</w:t>
      </w:r>
      <w:proofErr w:type="gramEnd"/>
      <w:r w:rsidRPr="00C26204">
        <w:rPr>
          <w:rFonts w:asciiTheme="minorHAnsi" w:hAnsiTheme="minorHAnsi" w:cstheme="minorHAnsi"/>
        </w:rPr>
        <w:t xml:space="preserve"> Kč</w:t>
      </w:r>
      <w:r w:rsidR="00916A0A">
        <w:rPr>
          <w:rFonts w:asciiTheme="minorHAnsi" w:hAnsiTheme="minorHAnsi" w:cstheme="minorHAnsi"/>
        </w:rPr>
        <w:t xml:space="preserve"> (deset milionů korun českých)</w:t>
      </w:r>
      <w:r w:rsidR="00916A0A" w:rsidRPr="00C26204">
        <w:rPr>
          <w:rFonts w:asciiTheme="minorHAnsi" w:hAnsiTheme="minorHAnsi" w:cstheme="minorHAnsi"/>
        </w:rPr>
        <w:t xml:space="preserve"> </w:t>
      </w:r>
      <w:r w:rsidRPr="00C26204">
        <w:rPr>
          <w:rFonts w:asciiTheme="minorHAnsi" w:hAnsiTheme="minorHAnsi" w:cstheme="minorHAnsi"/>
        </w:rPr>
        <w:t xml:space="preserve"> nad rámec schváleného </w:t>
      </w:r>
      <w:r>
        <w:rPr>
          <w:rFonts w:asciiTheme="minorHAnsi" w:hAnsiTheme="minorHAnsi" w:cstheme="minorHAnsi"/>
        </w:rPr>
        <w:t>Dlouhodobého finančního plánu</w:t>
      </w:r>
      <w:r w:rsidRPr="00C26204">
        <w:rPr>
          <w:rFonts w:asciiTheme="minorHAnsi" w:hAnsiTheme="minorHAnsi" w:cstheme="minorHAnsi"/>
        </w:rPr>
        <w:t xml:space="preserve"> v příslušné nákladové části</w:t>
      </w:r>
      <w:r>
        <w:rPr>
          <w:rFonts w:asciiTheme="minorHAnsi" w:hAnsiTheme="minorHAnsi" w:cstheme="minorHAnsi"/>
        </w:rPr>
        <w:t>;</w:t>
      </w:r>
    </w:p>
    <w:p w14:paraId="5147F0E1" w14:textId="32C58E85" w:rsidR="0047177D" w:rsidRPr="00514097" w:rsidRDefault="00514097" w:rsidP="00514097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num" w:pos="1418"/>
        </w:tabs>
        <w:ind w:left="1418" w:hanging="851"/>
        <w:jc w:val="both"/>
        <w:rPr>
          <w:color w:val="000000"/>
        </w:rPr>
      </w:pPr>
      <w:bookmarkStart w:id="32" w:name="_Hlk66975315"/>
      <w:r w:rsidRPr="003D17AC">
        <w:rPr>
          <w:color w:val="000000"/>
        </w:rPr>
        <w:t>při uzavření jakékoli smlouvy bez protiplnění ve prospěch společnosti, zejména darování</w:t>
      </w:r>
      <w:bookmarkEnd w:id="32"/>
      <w:r w:rsidRPr="003D17AC">
        <w:rPr>
          <w:color w:val="000000"/>
        </w:rPr>
        <w:t xml:space="preserve"> při závazku vyšším než 100.000 Kč </w:t>
      </w:r>
      <w:r w:rsidR="00916A0A">
        <w:rPr>
          <w:color w:val="000000"/>
        </w:rPr>
        <w:t>(jedno sto tisíc korun českých)</w:t>
      </w:r>
      <w:r w:rsidR="00916A0A" w:rsidRPr="003D17AC">
        <w:rPr>
          <w:color w:val="000000"/>
        </w:rPr>
        <w:t xml:space="preserve"> </w:t>
      </w:r>
      <w:r w:rsidRPr="003D17AC">
        <w:rPr>
          <w:color w:val="000000"/>
        </w:rPr>
        <w:t>pro jeden případ.</w:t>
      </w:r>
    </w:p>
    <w:p w14:paraId="0930451D" w14:textId="04847860" w:rsidR="00F81A22" w:rsidRDefault="00F81A22" w:rsidP="00F81A22">
      <w:pPr>
        <w:pBdr>
          <w:top w:val="nil"/>
          <w:left w:val="nil"/>
          <w:bottom w:val="nil"/>
          <w:right w:val="nil"/>
          <w:between w:val="nil"/>
        </w:pBdr>
        <w:ind w:left="567"/>
        <w:jc w:val="both"/>
      </w:pPr>
      <w:bookmarkStart w:id="33" w:name="_heading=h.2xcytpi" w:colFirst="0" w:colLast="0"/>
      <w:bookmarkEnd w:id="33"/>
      <w:r w:rsidRPr="00412F87">
        <w:rPr>
          <w:rFonts w:asciiTheme="minorHAnsi" w:hAnsiTheme="minorHAnsi" w:cstheme="minorHAnsi"/>
        </w:rPr>
        <w:t xml:space="preserve">Souhlas </w:t>
      </w:r>
      <w:r>
        <w:rPr>
          <w:rFonts w:asciiTheme="minorHAnsi" w:hAnsiTheme="minorHAnsi" w:cstheme="minorHAnsi"/>
        </w:rPr>
        <w:t xml:space="preserve">dozorčí rady bude udělen i tím, že dozorčí rada nevysloví nesouhlas s navrženým právním jednáním do 21 </w:t>
      </w:r>
      <w:r w:rsidR="002F1E4E">
        <w:rPr>
          <w:rFonts w:asciiTheme="minorHAnsi" w:hAnsiTheme="minorHAnsi" w:cstheme="minorHAnsi"/>
        </w:rPr>
        <w:t xml:space="preserve">(dvaceti jedna) </w:t>
      </w:r>
      <w:r>
        <w:rPr>
          <w:rFonts w:asciiTheme="minorHAnsi" w:hAnsiTheme="minorHAnsi" w:cstheme="minorHAnsi"/>
        </w:rPr>
        <w:t xml:space="preserve">dnů poté, co jí bude návrh předložen představenstvem doručením do datové schránky společnosti. </w:t>
      </w:r>
      <w:r w:rsidR="00AE052E">
        <w:rPr>
          <w:rFonts w:asciiTheme="minorHAnsi" w:hAnsiTheme="minorHAnsi" w:cstheme="minorHAnsi"/>
        </w:rPr>
        <w:t>Představenstvo návrh spolu s odesláním do datové schránky společnosti zašle vždy také jednotlivým členům dozorčí rady, takové odeslání však není rozhodné pro běh lhůty dle předchozí věty.</w:t>
      </w:r>
    </w:p>
    <w:p w14:paraId="680D2FA9" w14:textId="7425B5DC" w:rsidR="008C68BA" w:rsidRPr="00BD1443" w:rsidRDefault="008C68BA" w:rsidP="00BD1443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34" w:name="_Hlk80618151"/>
      <w:r>
        <w:t>Dozorčí rada</w:t>
      </w:r>
      <w:r w:rsidRPr="008C68BA">
        <w:t xml:space="preserve"> </w:t>
      </w:r>
      <w:r>
        <w:t xml:space="preserve">se vyjadřuje k návrhu představenstva na </w:t>
      </w:r>
      <w:r w:rsidRPr="008C68BA">
        <w:t>schválení podnikatelsk</w:t>
      </w:r>
      <w:r>
        <w:t>ého</w:t>
      </w:r>
      <w:r w:rsidRPr="008C68BA">
        <w:t xml:space="preserve"> plán</w:t>
      </w:r>
      <w:r>
        <w:t>u</w:t>
      </w:r>
      <w:r w:rsidRPr="008C68BA">
        <w:t xml:space="preserve"> společnosti včetně dlouhodobého finančního plánu a jeho aktualizaci</w:t>
      </w:r>
      <w:r>
        <w:t>.</w:t>
      </w:r>
    </w:p>
    <w:p w14:paraId="000000B3" w14:textId="5DABEF73" w:rsidR="00AD3633" w:rsidRDefault="008438B5" w:rsidP="00F81A22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6E6099">
        <w:rPr>
          <w:color w:val="000000"/>
        </w:rPr>
        <w:t xml:space="preserve">Dozorčí rada má </w:t>
      </w:r>
      <w:r w:rsidR="00A932F4" w:rsidRPr="006E6099">
        <w:rPr>
          <w:color w:val="000000"/>
        </w:rPr>
        <w:t xml:space="preserve">sedm </w:t>
      </w:r>
      <w:r w:rsidRPr="006E6099">
        <w:rPr>
          <w:color w:val="000000"/>
        </w:rPr>
        <w:t>(</w:t>
      </w:r>
      <w:r w:rsidR="00A932F4" w:rsidRPr="006E6099">
        <w:rPr>
          <w:color w:val="000000"/>
        </w:rPr>
        <w:t>7</w:t>
      </w:r>
      <w:r w:rsidRPr="006E6099">
        <w:rPr>
          <w:color w:val="000000"/>
        </w:rPr>
        <w:t>) členů</w:t>
      </w:r>
      <w:r>
        <w:rPr>
          <w:color w:val="000000"/>
        </w:rPr>
        <w:t xml:space="preserve">, z nichž tři jsou jmenování a odvoláváni akcionáři vlastnícími </w:t>
      </w:r>
      <w:r w:rsidR="006B7BFF">
        <w:rPr>
          <w:color w:val="000000"/>
        </w:rPr>
        <w:t>Akcie A</w:t>
      </w:r>
      <w:r>
        <w:rPr>
          <w:color w:val="000000"/>
        </w:rPr>
        <w:t>, zbylé členy volí a odvolává valná hromada.</w:t>
      </w:r>
    </w:p>
    <w:bookmarkEnd w:id="34"/>
    <w:p w14:paraId="000000B4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Délka funkčního období člena dozorčí rady </w:t>
      </w:r>
      <w:r w:rsidRPr="006E6099">
        <w:rPr>
          <w:color w:val="000000"/>
        </w:rPr>
        <w:t xml:space="preserve">je čtyři (4) </w:t>
      </w:r>
      <w:r w:rsidRPr="009D650D">
        <w:rPr>
          <w:color w:val="000000"/>
        </w:rPr>
        <w:t>roky</w:t>
      </w:r>
      <w:r>
        <w:rPr>
          <w:color w:val="000000"/>
        </w:rPr>
        <w:t>.</w:t>
      </w:r>
      <w:r>
        <w:rPr>
          <w:color w:val="000000"/>
        </w:rPr>
        <w:tab/>
      </w:r>
    </w:p>
    <w:p w14:paraId="000000B5" w14:textId="479353E9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35" w:name="_heading=h.1ci93xb" w:colFirst="0" w:colLast="0"/>
      <w:bookmarkEnd w:id="35"/>
      <w:r>
        <w:rPr>
          <w:color w:val="000000"/>
        </w:rPr>
        <w:t>Dozorčí rada volí a odvolává ze svých členů předsedu a místopředsedu dozorčí rady. Při volbě a</w:t>
      </w:r>
      <w:r w:rsidR="003D17AC">
        <w:rPr>
          <w:color w:val="000000"/>
        </w:rPr>
        <w:t> </w:t>
      </w:r>
      <w:r>
        <w:rPr>
          <w:color w:val="000000"/>
        </w:rPr>
        <w:t>odvolání předsedy a místopředsedy dozorčí rady dotyčná osoba nehlasuje o svém zvolení.</w:t>
      </w:r>
    </w:p>
    <w:p w14:paraId="000000B6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36" w:name="_heading=h.3whwml4" w:colFirst="0" w:colLast="0"/>
      <w:bookmarkEnd w:id="36"/>
      <w:r>
        <w:rPr>
          <w:color w:val="000000"/>
        </w:rPr>
        <w:t xml:space="preserve">Dozorčí rada zasedá nejméně čtyřikrát ročně. Zasedání dozorčí rady svolává předseda dozorčí rady, v jeho nepřítomnosti místopředseda dozorčí rady, písemnou nebo elektronickou pozvánkou, v níž uvede místo, datum, dobu zasedání a pořad jeho jednání. Pozvánka musí být </w:t>
      </w:r>
      <w:r>
        <w:rPr>
          <w:color w:val="000000"/>
        </w:rPr>
        <w:lastRenderedPageBreak/>
        <w:t>doručena nejméně pět (5) dnů před konáním zasedání a spolu s ní i podklady, které mají být dozorčí radou projednány. Hrozí-li nebezpečí z prodlení, lze tuto lhůtu zkrátit v nezbytně nutném rozsahu. Předseda dozorčí rady je povinen svolat zasedání dozorčí rady bez zbytečného odkladu na žádost jakéhokoliv člena dozorčí rady nebo na žádost představenstva anebo požádá-li o její svolání kvalifikovaný akcionář, nebo ji bude informovat o záměru podat akcionářskou žalobu. Nesvolá-li předseda dozorčí rady zasedání bez zbytečného odkladu, může jej svolat jakýkoliv člen dozorčí rady nebo představenstvo společnosti.</w:t>
      </w:r>
      <w:r>
        <w:rPr>
          <w:color w:val="000000"/>
        </w:rPr>
        <w:tab/>
      </w:r>
    </w:p>
    <w:p w14:paraId="000000B7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37" w:name="_heading=h.2bn6wsx" w:colFirst="0" w:colLast="0"/>
      <w:bookmarkEnd w:id="37"/>
      <w:r>
        <w:rPr>
          <w:color w:val="000000"/>
        </w:rPr>
        <w:t xml:space="preserve">Dozorčí rada je způsobilá rozhodovat, je-li na zasedání </w:t>
      </w:r>
      <w:r w:rsidRPr="006E6099">
        <w:rPr>
          <w:color w:val="000000"/>
        </w:rPr>
        <w:t>přítomna nadpoloviční většina jejich členů. K přijetí rozhodnutí ve všech záležitostech projednávaných dozorčí radou je zapotřebí, aby pro ně hlasovala nadpoloviční většina všech, nikoliv jen přítomných členů dozorčí rady. Každý člen dozorčí rady má 1 hlas. V případě rovnosti hlasů rozhoduje hlas předsedajícího</w:t>
      </w:r>
      <w:r>
        <w:rPr>
          <w:color w:val="000000"/>
        </w:rPr>
        <w:t>.</w:t>
      </w:r>
    </w:p>
    <w:p w14:paraId="6626AF6E" w14:textId="79B56DD9" w:rsidR="008E41C5" w:rsidRPr="003830F2" w:rsidRDefault="008E41C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 w:rsidRPr="008E41C5">
        <w:t xml:space="preserve">Připouští se hlasování s využitím technických prostředků prostřednictvím přímého dvousměrného dálkového přenosu umožňujícího </w:t>
      </w:r>
      <w:proofErr w:type="spellStart"/>
      <w:r w:rsidRPr="008E41C5">
        <w:t>zvukověobrazovou</w:t>
      </w:r>
      <w:proofErr w:type="spellEnd"/>
      <w:r w:rsidRPr="008E41C5">
        <w:t xml:space="preserve"> dvousměrnou komunikaci mezi zasedáním orgánu a členem </w:t>
      </w:r>
      <w:r>
        <w:t xml:space="preserve">dozorčí rady </w:t>
      </w:r>
      <w:r w:rsidRPr="008E41C5">
        <w:t>(např. videokonference).</w:t>
      </w:r>
    </w:p>
    <w:p w14:paraId="000000B8" w14:textId="587A47F0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Dozorčí rada se může usnášet i mimo zasedání dozorčí rady, pokud s tím souhlasí všichni členové dozorčí rady. V takovém případě se připouští i písemné hlasování nebo hlasování s využitím technických prostředků. Hlasující členové se pak považují za přítomné osoby. Veškerou organizační činnost spojenou s rozhodováním mimo zasedání dozorčí rady zajišťuje předseda dozorčí rady, v jeho nepřítomnosti místopředseda dozorčí rady. Neplynou-li pravidla písemného hlasování nebo hlasování s využitím technických prostředků ze zákona nebo těchto stanov, určí je dozorčí rada svým usnesením.</w:t>
      </w:r>
    </w:p>
    <w:p w14:paraId="000000B9" w14:textId="1EA7D8F1" w:rsidR="00AD3633" w:rsidRDefault="00C501D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sdt>
        <w:sdtPr>
          <w:tag w:val="goog_rdk_148"/>
          <w:id w:val="-141117699"/>
          <w:showingPlcHdr/>
        </w:sdtPr>
        <w:sdtEndPr/>
        <w:sdtContent>
          <w:r w:rsidR="00AE052E">
            <w:t xml:space="preserve">     </w:t>
          </w:r>
        </w:sdtContent>
      </w:sdt>
      <w:r w:rsidR="008438B5">
        <w:rPr>
          <w:color w:val="000000"/>
        </w:rPr>
        <w:t xml:space="preserve">Na členy dozorčí rady se vztahuje zákaz konkurence za podmínek stanovených v § 451 ZOK, ledaže: </w:t>
      </w:r>
    </w:p>
    <w:p w14:paraId="000000BA" w14:textId="7514D645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>valná hromada byla při volbě člena dozorčí rady takovým členem dozorčí rady na některou z okolností podle § 451 ZOK výslovně upozorněna nebo vznikla-li tato skutečnost později a člen dozorčí rady na ni písemně upozornil představenstvo a</w:t>
      </w:r>
      <w:r w:rsidR="003D17AC">
        <w:rPr>
          <w:color w:val="000000"/>
        </w:rPr>
        <w:t> </w:t>
      </w:r>
      <w:r>
        <w:rPr>
          <w:color w:val="000000"/>
        </w:rPr>
        <w:t>dozorčí radu; nebo</w:t>
      </w:r>
    </w:p>
    <w:p w14:paraId="000000BB" w14:textId="36BE7ADA" w:rsidR="00AD3633" w:rsidRDefault="008438B5">
      <w:pPr>
        <w:numPr>
          <w:ilvl w:val="2"/>
          <w:numId w:val="4"/>
        </w:numPr>
        <w:pBdr>
          <w:top w:val="nil"/>
          <w:left w:val="nil"/>
          <w:bottom w:val="nil"/>
          <w:right w:val="nil"/>
          <w:between w:val="nil"/>
        </w:pBdr>
        <w:ind w:left="1418" w:hanging="851"/>
        <w:jc w:val="both"/>
      </w:pPr>
      <w:r>
        <w:rPr>
          <w:color w:val="000000"/>
        </w:rPr>
        <w:t xml:space="preserve">existuje okolnost podle § 451 ZOK při jmenování člena dozorčí rady akcionářem </w:t>
      </w:r>
      <w:r w:rsidR="00650897">
        <w:rPr>
          <w:color w:val="000000"/>
        </w:rPr>
        <w:t xml:space="preserve">vlastnícím Akcie A </w:t>
      </w:r>
      <w:r>
        <w:rPr>
          <w:color w:val="000000"/>
        </w:rPr>
        <w:t>nebo u něj vznikne později a člen dozorčí rady na ni písemně upozornil představenstvo a dozorčí radu,</w:t>
      </w:r>
    </w:p>
    <w:p w14:paraId="000000BC" w14:textId="71135319" w:rsidR="00AD3633" w:rsidRDefault="008438B5">
      <w:pPr>
        <w:ind w:left="567"/>
        <w:jc w:val="both"/>
      </w:pPr>
      <w:r>
        <w:t>pak se má za to, že takový člen dozorčí rady činnost, které se zákaz týká, zakázanou nemá. To neplatí, pokud valná hromada vyslovila nesouhlas s činností podle § 451 ZOK do jednoho měsíce ode dne, kdy byla na okolnosti podle § 451 ZOK upozorněna. Upozornění se uvede v pozvánce na valnou hromadu a na pořad jejího jednání musí být zařazeno hlasování o případném nesouhlasu s konkurenčním jednáním.</w:t>
      </w:r>
    </w:p>
    <w:p w14:paraId="0D67E457" w14:textId="7787C289" w:rsidR="00AE052E" w:rsidRDefault="00741C0A" w:rsidP="00AE052E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t xml:space="preserve">Představenstvo společnosti </w:t>
      </w:r>
      <w:r w:rsidRPr="007C285C">
        <w:t>Vodovody a kanalizace Zlín, a.s. IČO: 49454561, se sídlem Zlín, třída Tomáše Bati 383, PSČ 76049, veden</w:t>
      </w:r>
      <w:r w:rsidR="00FC1BB0">
        <w:t>é</w:t>
      </w:r>
      <w:r w:rsidRPr="007C285C">
        <w:t xml:space="preserve"> u Krajského soudu v Brně pod </w:t>
      </w:r>
      <w:proofErr w:type="spellStart"/>
      <w:r w:rsidRPr="007C285C">
        <w:t>sp</w:t>
      </w:r>
      <w:proofErr w:type="spellEnd"/>
      <w:r w:rsidRPr="007C285C">
        <w:t>. zn. B 1169</w:t>
      </w:r>
      <w:r>
        <w:t xml:space="preserve"> (dále „</w:t>
      </w:r>
      <w:r w:rsidRPr="00334D24">
        <w:rPr>
          <w:b/>
          <w:bCs/>
        </w:rPr>
        <w:t>Vodovody a kanalizace Zlín</w:t>
      </w:r>
      <w:r>
        <w:t xml:space="preserve">“) může poskytovat vysvětlení týkající se společnosti na valné hromadě společnosti Vodovody a kanalizace Zlín tak, jako by šlo o </w:t>
      </w:r>
      <w:r w:rsidR="00D7350E">
        <w:t xml:space="preserve">jí </w:t>
      </w:r>
      <w:r>
        <w:t xml:space="preserve">ovládanou osobu. </w:t>
      </w:r>
      <w:r w:rsidR="007C285C" w:rsidRPr="007C285C">
        <w:t xml:space="preserve">Členové dozorčí rady </w:t>
      </w:r>
      <w:r>
        <w:t xml:space="preserve">společnosti </w:t>
      </w:r>
      <w:r w:rsidR="007C285C" w:rsidRPr="007C285C">
        <w:t xml:space="preserve">se </w:t>
      </w:r>
      <w:r w:rsidR="007C285C">
        <w:t>mohou účastnit</w:t>
      </w:r>
      <w:r w:rsidR="007C285C" w:rsidRPr="007C285C">
        <w:t xml:space="preserve"> valné hromady společnosti Vodovody a kanalizace </w:t>
      </w:r>
      <w:r w:rsidR="007C285C" w:rsidRPr="007C285C">
        <w:lastRenderedPageBreak/>
        <w:t>Zlín a pověřený člen dozorčí rady</w:t>
      </w:r>
      <w:r w:rsidR="008B5843">
        <w:t xml:space="preserve"> </w:t>
      </w:r>
      <w:r>
        <w:t xml:space="preserve">společnosti </w:t>
      </w:r>
      <w:r w:rsidR="007C285C" w:rsidRPr="007C285C">
        <w:t>seznamuje valnou hromadu společnosti Vodovody a kanalizace Zlín, a.s. s výsledky činnosti dozorčí rady společnosti. Členové dozorčí rady</w:t>
      </w:r>
      <w:r>
        <w:t xml:space="preserve"> společnosti</w:t>
      </w:r>
      <w:r w:rsidR="007C285C" w:rsidRPr="007C285C">
        <w:t xml:space="preserve"> jsou oprávněni vyjadřovat se na valné hromadě společnosti Vodovody a kanalizace Zlín, a.s. v rozsahu a za podmínek, v jakém </w:t>
      </w:r>
      <w:r w:rsidR="007C285C">
        <w:t>je</w:t>
      </w:r>
      <w:r w:rsidR="007C285C" w:rsidRPr="007C285C">
        <w:t xml:space="preserve"> oprávněno </w:t>
      </w:r>
      <w:r w:rsidR="007C285C">
        <w:t>vysvětlení</w:t>
      </w:r>
      <w:r w:rsidR="007C285C" w:rsidRPr="007C285C">
        <w:t xml:space="preserve"> poskytnout</w:t>
      </w:r>
      <w:r w:rsidR="007C285C">
        <w:t xml:space="preserve"> </w:t>
      </w:r>
      <w:r w:rsidR="007C285C" w:rsidRPr="007C285C">
        <w:t>valné hromadě představenstvo společnosti Vodovody a kanalizace Zlín</w:t>
      </w:r>
      <w:r w:rsidR="007C285C">
        <w:t>.</w:t>
      </w:r>
      <w:r w:rsidR="009D650D">
        <w:t xml:space="preserve"> </w:t>
      </w:r>
    </w:p>
    <w:p w14:paraId="000000BD" w14:textId="3BEC57A9" w:rsidR="00AD3633" w:rsidRDefault="008438B5" w:rsidP="006B1ED3">
      <w:pPr>
        <w:keepNext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>
        <w:rPr>
          <w:b/>
          <w:color w:val="000000"/>
        </w:rPr>
        <w:t>HOSPODAŘENÍ SPOLEČNOSTI A ROZDĚLENÍ ZISKU</w:t>
      </w:r>
    </w:p>
    <w:p w14:paraId="000000BE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Akciová společnost vede předepsaným způsobem a v souladu s právními předpisy účetnictví. Za řádné vedení účetnictví zodpovídá představenstvo společnosti, které zabezpečuje ověření řádné, případně mimořádné účetní závěrky za účetní období auditorem.</w:t>
      </w:r>
      <w:r>
        <w:rPr>
          <w:color w:val="000000"/>
        </w:rPr>
        <w:tab/>
        <w:t xml:space="preserve"> </w:t>
      </w:r>
    </w:p>
    <w:p w14:paraId="000000BF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Účetním obdobím je kalendářní rok. </w:t>
      </w:r>
    </w:p>
    <w:p w14:paraId="000000C0" w14:textId="048D7D5E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Sestavení účetní závěrky a návrh na rozdělení zisku nebo jiných vlastních zdrojů, popřípadě návrh na způsob krytí ztrát společnosti, zajišťuje představenstvo. Sestavenou roční závěrku, spolu s</w:t>
      </w:r>
      <w:r w:rsidR="003D17AC">
        <w:rPr>
          <w:color w:val="000000"/>
        </w:rPr>
        <w:t> </w:t>
      </w:r>
      <w:r>
        <w:rPr>
          <w:color w:val="000000"/>
        </w:rPr>
        <w:t>uvedenými návrhy, předloží představenstvo dozorčí radě k přezkoumání, poté auditorovi. Ověřenou závěrku pak představenstvo předloží ke schválení valné hromadě společnosti.</w:t>
      </w:r>
      <w:r>
        <w:rPr>
          <w:color w:val="000000"/>
        </w:rPr>
        <w:tab/>
        <w:t xml:space="preserve"> </w:t>
      </w:r>
    </w:p>
    <w:p w14:paraId="000000C1" w14:textId="77777777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Představenstvo je povinno uveřejnit spolu s účetní závěrkou také výroční zprávu, a to v souladu s § 436 ZOK.</w:t>
      </w:r>
    </w:p>
    <w:p w14:paraId="000000C2" w14:textId="131486FE" w:rsidR="00AD3633" w:rsidRPr="006E6099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 xml:space="preserve">Zisk společnosti dosažený v obchodním roce po splnění daňových povinností podle obecně závazných právních </w:t>
      </w:r>
      <w:r w:rsidRPr="006E6099">
        <w:rPr>
          <w:color w:val="000000"/>
        </w:rPr>
        <w:t xml:space="preserve">předpisů se po schválení účetní závěrky vyplatí vlastníkům </w:t>
      </w:r>
      <w:r w:rsidR="006B7BFF" w:rsidRPr="006E6099">
        <w:rPr>
          <w:color w:val="000000"/>
        </w:rPr>
        <w:t>A</w:t>
      </w:r>
      <w:r w:rsidRPr="006E6099">
        <w:rPr>
          <w:color w:val="000000"/>
        </w:rPr>
        <w:t>kcií</w:t>
      </w:r>
      <w:r w:rsidR="006B7BFF" w:rsidRPr="006E6099">
        <w:rPr>
          <w:color w:val="000000"/>
        </w:rPr>
        <w:t xml:space="preserve"> A </w:t>
      </w:r>
      <w:r w:rsidRPr="006E6099">
        <w:rPr>
          <w:color w:val="000000"/>
        </w:rPr>
        <w:t xml:space="preserve">jako pevný podíl na zisku. </w:t>
      </w:r>
    </w:p>
    <w:p w14:paraId="000000C5" w14:textId="2339AE04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bookmarkStart w:id="38" w:name="_heading=h.qsh70q" w:colFirst="0" w:colLast="0"/>
      <w:bookmarkStart w:id="39" w:name="_heading=h.3as4poj" w:colFirst="0" w:colLast="0"/>
      <w:bookmarkEnd w:id="38"/>
      <w:bookmarkEnd w:id="39"/>
      <w:r>
        <w:rPr>
          <w:color w:val="000000"/>
        </w:rPr>
        <w:t>Pevný podíl na zisku je splatný do jednoho (1) měsíce ode dne schválení účetní závěrky.</w:t>
      </w:r>
    </w:p>
    <w:p w14:paraId="000000C8" w14:textId="0115A90C" w:rsidR="00AD3633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O způsobu krytí ztrát rozhoduje valná hromada.</w:t>
      </w:r>
      <w:r>
        <w:rPr>
          <w:color w:val="000000"/>
        </w:rPr>
        <w:tab/>
        <w:t xml:space="preserve"> </w:t>
      </w:r>
    </w:p>
    <w:p w14:paraId="000000C9" w14:textId="77777777" w:rsidR="00AD3633" w:rsidRDefault="008438B5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>
        <w:rPr>
          <w:b/>
          <w:color w:val="000000"/>
        </w:rPr>
        <w:t>VÝHODY PŘI ZAKLÁDÁNÍ SPOLEČNOSTI</w:t>
      </w:r>
    </w:p>
    <w:p w14:paraId="000000CA" w14:textId="0106F36B" w:rsidR="00AD3633" w:rsidRPr="00C3714D" w:rsidRDefault="008438B5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</w:pPr>
      <w:r>
        <w:rPr>
          <w:color w:val="000000"/>
        </w:rPr>
        <w:t>V souvislosti se založením společnosti nebyla nikomu poskytnuta žádná zvláštní výhoda.</w:t>
      </w:r>
    </w:p>
    <w:p w14:paraId="0A744C48" w14:textId="77777777" w:rsidR="002F1E4E" w:rsidRPr="00C3714D" w:rsidRDefault="002F1E4E" w:rsidP="00916A0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rPr>
          <w:b/>
          <w:color w:val="000000"/>
        </w:rPr>
      </w:pPr>
      <w:r>
        <w:rPr>
          <w:b/>
          <w:color w:val="000000"/>
        </w:rPr>
        <w:t>PRÁVNÍ REŽIM</w:t>
      </w:r>
      <w:r w:rsidRPr="002F1E4E">
        <w:t xml:space="preserve"> </w:t>
      </w:r>
    </w:p>
    <w:p w14:paraId="02B4EF1F" w14:textId="218335F2" w:rsidR="002F1E4E" w:rsidRPr="00C3714D" w:rsidRDefault="00916A0A" w:rsidP="00916A0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ind w:left="567" w:hanging="567"/>
        <w:jc w:val="both"/>
        <w:rPr>
          <w:b/>
          <w:color w:val="000000"/>
        </w:rPr>
      </w:pPr>
      <w:r>
        <w:t xml:space="preserve">Právní </w:t>
      </w:r>
      <w:r w:rsidR="002F1E4E">
        <w:t>vztahy vyplývající z těchto stanov, vzájemné vztahy akcionář</w:t>
      </w:r>
      <w:r w:rsidR="00032CD1">
        <w:t>ů</w:t>
      </w:r>
      <w:r w:rsidR="002F1E4E">
        <w:t xml:space="preserve"> související s </w:t>
      </w:r>
      <w:r w:rsidR="00032CD1">
        <w:t>jejich</w:t>
      </w:r>
      <w:r w:rsidR="002F1E4E">
        <w:t xml:space="preserve"> účastí ve společnosti i ostatní právní vztahy uvnitř společnosti se řídí ve věcech, které neupravují tyto stanovy, obecně závaznými právními předpisy, zejména příslušnými ustanoveními občanského zákoníku a zákona o obchodních korporacích.</w:t>
      </w:r>
    </w:p>
    <w:sectPr w:rsidR="002F1E4E" w:rsidRPr="00C3714D">
      <w:footerReference w:type="default" r:id="rId7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6AD71" w14:textId="77777777" w:rsidR="00113D89" w:rsidRDefault="00113D89">
      <w:pPr>
        <w:spacing w:after="0" w:line="240" w:lineRule="auto"/>
      </w:pPr>
      <w:r>
        <w:separator/>
      </w:r>
    </w:p>
  </w:endnote>
  <w:endnote w:type="continuationSeparator" w:id="0">
    <w:p w14:paraId="4AB08516" w14:textId="77777777" w:rsidR="00113D89" w:rsidRDefault="00113D89">
      <w:pPr>
        <w:spacing w:after="0" w:line="240" w:lineRule="auto"/>
      </w:pPr>
      <w:r>
        <w:continuationSeparator/>
      </w:r>
    </w:p>
  </w:endnote>
  <w:endnote w:type="continuationNotice" w:id="1">
    <w:p w14:paraId="08E12914" w14:textId="77777777" w:rsidR="00113D89" w:rsidRDefault="00113D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 MT">
    <w:altName w:val="Garamond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CD" w14:textId="31A31795" w:rsidR="00AD3633" w:rsidRDefault="008438B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68BA">
      <w:rPr>
        <w:noProof/>
        <w:color w:val="000000"/>
      </w:rPr>
      <w:t>13</w:t>
    </w:r>
    <w:r>
      <w:rPr>
        <w:color w:val="000000"/>
      </w:rPr>
      <w:fldChar w:fldCharType="end"/>
    </w:r>
  </w:p>
  <w:p w14:paraId="000000CE" w14:textId="77777777" w:rsidR="00AD3633" w:rsidRDefault="00AD363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EF7F8" w14:textId="77777777" w:rsidR="00113D89" w:rsidRDefault="00113D89">
      <w:pPr>
        <w:spacing w:after="0" w:line="240" w:lineRule="auto"/>
      </w:pPr>
      <w:r>
        <w:separator/>
      </w:r>
    </w:p>
  </w:footnote>
  <w:footnote w:type="continuationSeparator" w:id="0">
    <w:p w14:paraId="24467AEB" w14:textId="77777777" w:rsidR="00113D89" w:rsidRDefault="00113D89">
      <w:pPr>
        <w:spacing w:after="0" w:line="240" w:lineRule="auto"/>
      </w:pPr>
      <w:r>
        <w:continuationSeparator/>
      </w:r>
    </w:p>
  </w:footnote>
  <w:footnote w:type="continuationNotice" w:id="1">
    <w:p w14:paraId="25CC938F" w14:textId="77777777" w:rsidR="00113D89" w:rsidRDefault="00113D8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D4695"/>
    <w:multiLevelType w:val="multilevel"/>
    <w:tmpl w:val="1C0AF750"/>
    <w:lvl w:ilvl="0">
      <w:start w:val="2"/>
      <w:numFmt w:val="bullet"/>
      <w:lvlText w:val="-"/>
      <w:lvlJc w:val="left"/>
      <w:pPr>
        <w:ind w:left="1636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3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C01BD0"/>
    <w:multiLevelType w:val="hybridMultilevel"/>
    <w:tmpl w:val="6F0E0A4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C7050"/>
    <w:multiLevelType w:val="multilevel"/>
    <w:tmpl w:val="DBAA8F72"/>
    <w:lvl w:ilvl="0">
      <w:start w:val="1"/>
      <w:numFmt w:val="decimal"/>
      <w:pStyle w:val="CMSHead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MSHeadL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MSHeadL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MSHeadL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MSHeadL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MSHeadL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MSHeadL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MSHeadL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MSHeadL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E8B4F12"/>
    <w:multiLevelType w:val="multilevel"/>
    <w:tmpl w:val="912009BA"/>
    <w:lvl w:ilvl="0">
      <w:start w:val="1"/>
      <w:numFmt w:val="none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2.%3.%4"/>
      <w:lvlJc w:val="left"/>
      <w:pPr>
        <w:tabs>
          <w:tab w:val="num" w:pos="1701"/>
        </w:tabs>
        <w:ind w:left="1701" w:hanging="850"/>
      </w:pPr>
      <w:rPr>
        <w:rFonts w:cs="Times New Roman" w:hint="default"/>
        <w:color w:val="000000"/>
      </w:rPr>
    </w:lvl>
    <w:lvl w:ilvl="4">
      <w:start w:val="1"/>
      <w:numFmt w:val="lowerLetter"/>
      <w:lvlText w:val="(%5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02"/>
        </w:tabs>
        <w:ind w:left="3402" w:hanging="850"/>
      </w:pPr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pPr>
        <w:ind w:left="851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2552"/>
        </w:tabs>
        <w:ind w:left="2552" w:hanging="851"/>
      </w:pPr>
      <w:rPr>
        <w:rFonts w:cs="Times New Roman" w:hint="default"/>
      </w:rPr>
    </w:lvl>
  </w:abstractNum>
  <w:abstractNum w:abstractNumId="4" w15:restartNumberingAfterBreak="0">
    <w:nsid w:val="2FF45819"/>
    <w:multiLevelType w:val="singleLevel"/>
    <w:tmpl w:val="EA7AF62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5" w15:restartNumberingAfterBreak="0">
    <w:nsid w:val="32FC2C4A"/>
    <w:multiLevelType w:val="hybridMultilevel"/>
    <w:tmpl w:val="A7CCBAA6"/>
    <w:lvl w:ilvl="0" w:tplc="694C04C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4E5B0C"/>
    <w:multiLevelType w:val="multilevel"/>
    <w:tmpl w:val="50AE846C"/>
    <w:lvl w:ilvl="0">
      <w:start w:val="1"/>
      <w:numFmt w:val="bullet"/>
      <w:pStyle w:val="Nadpis1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pStyle w:val="Nadpis2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pStyle w:val="Nadpis3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pStyle w:val="Nadpis4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Nadpis6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pStyle w:val="Nadpis7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pStyle w:val="Nadpis8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pStyle w:val="Nadpis9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3194A8B"/>
    <w:multiLevelType w:val="hybridMultilevel"/>
    <w:tmpl w:val="F420F458"/>
    <w:lvl w:ilvl="0" w:tplc="CFB6F6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B62185"/>
    <w:multiLevelType w:val="multilevel"/>
    <w:tmpl w:val="4172399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70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2772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1A206EA"/>
    <w:multiLevelType w:val="hybridMultilevel"/>
    <w:tmpl w:val="1DE2CD84"/>
    <w:lvl w:ilvl="0" w:tplc="E64C9F06">
      <w:start w:val="1"/>
      <w:numFmt w:val="lowerRoman"/>
      <w:lvlText w:val="(%1)"/>
      <w:lvlJc w:val="center"/>
      <w:pPr>
        <w:ind w:left="1287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6B47617"/>
    <w:multiLevelType w:val="multilevel"/>
    <w:tmpl w:val="45ECD902"/>
    <w:lvl w:ilvl="0">
      <w:start w:val="1"/>
      <w:numFmt w:val="bullet"/>
      <w:pStyle w:val="Seznamsodrkami"/>
      <w:lvlText w:val="-"/>
      <w:lvlJc w:val="left"/>
      <w:pPr>
        <w:ind w:left="720" w:hanging="360"/>
      </w:pPr>
      <w:rPr>
        <w:rFonts w:ascii="Arial" w:eastAsia="Arial" w:hAnsi="Arial" w:cs="Arial"/>
        <w:b/>
        <w:color w:val="000000"/>
        <w:sz w:val="23"/>
        <w:szCs w:val="23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44B5618"/>
    <w:multiLevelType w:val="multilevel"/>
    <w:tmpl w:val="6F3E17BA"/>
    <w:lvl w:ilvl="0">
      <w:start w:val="1"/>
      <w:numFmt w:val="decimal"/>
      <w:pStyle w:val="Level1CtrlShiftL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9"/>
      </w:rPr>
    </w:lvl>
    <w:lvl w:ilvl="1">
      <w:start w:val="1"/>
      <w:numFmt w:val="decimal"/>
      <w:pStyle w:val="Level2CtrlShiftL2"/>
      <w:lvlText w:val="%1.%2"/>
      <w:lvlJc w:val="left"/>
      <w:pPr>
        <w:tabs>
          <w:tab w:val="num" w:pos="1247"/>
        </w:tabs>
        <w:ind w:left="1247" w:hanging="680"/>
      </w:pPr>
      <w:rPr>
        <w:rFonts w:ascii="Verdana" w:hAnsi="Verdana" w:hint="default"/>
        <w:b/>
        <w:i w:val="0"/>
        <w:sz w:val="18"/>
      </w:rPr>
    </w:lvl>
    <w:lvl w:ilvl="2">
      <w:start w:val="1"/>
      <w:numFmt w:val="decimal"/>
      <w:pStyle w:val="Level3CtrlShiftL3"/>
      <w:lvlText w:val="%1.%2.%3"/>
      <w:lvlJc w:val="left"/>
      <w:pPr>
        <w:tabs>
          <w:tab w:val="num" w:pos="2041"/>
        </w:tabs>
        <w:ind w:left="2041" w:hanging="794"/>
      </w:pPr>
      <w:rPr>
        <w:rFonts w:ascii="Verdana" w:hAnsi="Verdana" w:hint="default"/>
        <w:b/>
        <w:i w:val="0"/>
        <w:sz w:val="18"/>
      </w:rPr>
    </w:lvl>
    <w:lvl w:ilvl="3">
      <w:start w:val="1"/>
      <w:numFmt w:val="lowerRoman"/>
      <w:pStyle w:val="Level4CtrlShiftL4"/>
      <w:lvlText w:val="(%4)"/>
      <w:lvlJc w:val="left"/>
      <w:pPr>
        <w:tabs>
          <w:tab w:val="num" w:pos="2722"/>
        </w:tabs>
        <w:ind w:left="2722" w:hanging="681"/>
      </w:pPr>
      <w:rPr>
        <w:rFonts w:ascii="Calibri" w:hAnsi="Calibri" w:cs="Calibri" w:hint="default"/>
        <w:b w:val="0"/>
        <w:bCs w:val="0"/>
        <w:sz w:val="22"/>
        <w:szCs w:val="22"/>
      </w:rPr>
    </w:lvl>
    <w:lvl w:ilvl="4">
      <w:start w:val="1"/>
      <w:numFmt w:val="lowerLetter"/>
      <w:pStyle w:val="Level5CtrlShiftL5"/>
      <w:lvlText w:val="(%5)"/>
      <w:lvlJc w:val="left"/>
      <w:pPr>
        <w:tabs>
          <w:tab w:val="num" w:pos="3289"/>
        </w:tabs>
        <w:ind w:left="3289" w:hanging="567"/>
      </w:pPr>
      <w:rPr>
        <w:rFonts w:ascii="Verdana" w:hAnsi="Verdana" w:hint="default"/>
        <w:sz w:val="18"/>
      </w:rPr>
    </w:lvl>
    <w:lvl w:ilvl="5">
      <w:start w:val="1"/>
      <w:numFmt w:val="upperRoman"/>
      <w:pStyle w:val="Level6CtrlShiftL6"/>
      <w:lvlText w:val="(%6)"/>
      <w:lvlJc w:val="left"/>
      <w:pPr>
        <w:tabs>
          <w:tab w:val="num" w:pos="3969"/>
        </w:tabs>
        <w:ind w:left="3969" w:hanging="680"/>
      </w:pPr>
      <w:rPr>
        <w:rFonts w:ascii="Verdana" w:hAnsi="Verdana" w:hint="default"/>
        <w:sz w:val="18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num w:numId="1" w16cid:durableId="745034505">
    <w:abstractNumId w:val="0"/>
  </w:num>
  <w:num w:numId="2" w16cid:durableId="1588921400">
    <w:abstractNumId w:val="6"/>
  </w:num>
  <w:num w:numId="3" w16cid:durableId="57289571">
    <w:abstractNumId w:val="10"/>
  </w:num>
  <w:num w:numId="4" w16cid:durableId="1351494288">
    <w:abstractNumId w:val="8"/>
  </w:num>
  <w:num w:numId="5" w16cid:durableId="1785415460">
    <w:abstractNumId w:val="2"/>
  </w:num>
  <w:num w:numId="6" w16cid:durableId="2109809013">
    <w:abstractNumId w:val="4"/>
    <w:lvlOverride w:ilvl="0">
      <w:startOverride w:val="1"/>
    </w:lvlOverride>
  </w:num>
  <w:num w:numId="7" w16cid:durableId="437528626">
    <w:abstractNumId w:val="9"/>
  </w:num>
  <w:num w:numId="8" w16cid:durableId="1638141526">
    <w:abstractNumId w:val="11"/>
  </w:num>
  <w:num w:numId="9" w16cid:durableId="18890998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24889771">
    <w:abstractNumId w:val="3"/>
  </w:num>
  <w:num w:numId="11" w16cid:durableId="274557031">
    <w:abstractNumId w:val="7"/>
  </w:num>
  <w:num w:numId="12" w16cid:durableId="1219978703">
    <w:abstractNumId w:val="1"/>
  </w:num>
  <w:num w:numId="13" w16cid:durableId="507184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633"/>
    <w:rsid w:val="000010E0"/>
    <w:rsid w:val="00025A98"/>
    <w:rsid w:val="00025FD6"/>
    <w:rsid w:val="00032CD1"/>
    <w:rsid w:val="00064726"/>
    <w:rsid w:val="00071AB1"/>
    <w:rsid w:val="000A70E9"/>
    <w:rsid w:val="000B4EF4"/>
    <w:rsid w:val="000C6696"/>
    <w:rsid w:val="000D789C"/>
    <w:rsid w:val="000F2619"/>
    <w:rsid w:val="000F3931"/>
    <w:rsid w:val="00113D89"/>
    <w:rsid w:val="0014302A"/>
    <w:rsid w:val="001573DD"/>
    <w:rsid w:val="001575E9"/>
    <w:rsid w:val="0016382C"/>
    <w:rsid w:val="001A2604"/>
    <w:rsid w:val="001D16D5"/>
    <w:rsid w:val="002239CD"/>
    <w:rsid w:val="00226C49"/>
    <w:rsid w:val="0024275C"/>
    <w:rsid w:val="00254523"/>
    <w:rsid w:val="00265BB5"/>
    <w:rsid w:val="002D295D"/>
    <w:rsid w:val="002F1E4E"/>
    <w:rsid w:val="002F7F80"/>
    <w:rsid w:val="00302A54"/>
    <w:rsid w:val="00331BC8"/>
    <w:rsid w:val="00334D24"/>
    <w:rsid w:val="003830F2"/>
    <w:rsid w:val="00390D3C"/>
    <w:rsid w:val="003A4062"/>
    <w:rsid w:val="003A4D0D"/>
    <w:rsid w:val="003D17AC"/>
    <w:rsid w:val="003E2208"/>
    <w:rsid w:val="003F4072"/>
    <w:rsid w:val="00406B81"/>
    <w:rsid w:val="004264A5"/>
    <w:rsid w:val="00427C6E"/>
    <w:rsid w:val="00440882"/>
    <w:rsid w:val="0047177D"/>
    <w:rsid w:val="004746D7"/>
    <w:rsid w:val="004934E9"/>
    <w:rsid w:val="004B4C8F"/>
    <w:rsid w:val="004C2FBF"/>
    <w:rsid w:val="004C4AB5"/>
    <w:rsid w:val="00514097"/>
    <w:rsid w:val="005142BA"/>
    <w:rsid w:val="00521E3D"/>
    <w:rsid w:val="005415F4"/>
    <w:rsid w:val="00556F13"/>
    <w:rsid w:val="00557535"/>
    <w:rsid w:val="005A7308"/>
    <w:rsid w:val="005C143C"/>
    <w:rsid w:val="00604E6E"/>
    <w:rsid w:val="00621E34"/>
    <w:rsid w:val="0062554E"/>
    <w:rsid w:val="00643519"/>
    <w:rsid w:val="00650897"/>
    <w:rsid w:val="00692BC0"/>
    <w:rsid w:val="00693F7B"/>
    <w:rsid w:val="006B1ED3"/>
    <w:rsid w:val="006B7BFF"/>
    <w:rsid w:val="006E6099"/>
    <w:rsid w:val="006F126C"/>
    <w:rsid w:val="00711B8A"/>
    <w:rsid w:val="00721505"/>
    <w:rsid w:val="00741C0A"/>
    <w:rsid w:val="00754BDF"/>
    <w:rsid w:val="00784174"/>
    <w:rsid w:val="00794572"/>
    <w:rsid w:val="007A08D2"/>
    <w:rsid w:val="007A4000"/>
    <w:rsid w:val="007C285C"/>
    <w:rsid w:val="007E3983"/>
    <w:rsid w:val="007F17BC"/>
    <w:rsid w:val="007F53D5"/>
    <w:rsid w:val="007F6404"/>
    <w:rsid w:val="007F7F96"/>
    <w:rsid w:val="008018CA"/>
    <w:rsid w:val="00814956"/>
    <w:rsid w:val="008438B5"/>
    <w:rsid w:val="00870832"/>
    <w:rsid w:val="0087367A"/>
    <w:rsid w:val="00886E26"/>
    <w:rsid w:val="00890894"/>
    <w:rsid w:val="008931A5"/>
    <w:rsid w:val="008B5843"/>
    <w:rsid w:val="008C68BA"/>
    <w:rsid w:val="008E41C5"/>
    <w:rsid w:val="00907E9E"/>
    <w:rsid w:val="00916A0A"/>
    <w:rsid w:val="00943764"/>
    <w:rsid w:val="0094730A"/>
    <w:rsid w:val="009546D7"/>
    <w:rsid w:val="0097556F"/>
    <w:rsid w:val="00986F80"/>
    <w:rsid w:val="00993E70"/>
    <w:rsid w:val="00994930"/>
    <w:rsid w:val="00995B43"/>
    <w:rsid w:val="009A1A5C"/>
    <w:rsid w:val="009A4B4B"/>
    <w:rsid w:val="009B5D6E"/>
    <w:rsid w:val="009D650D"/>
    <w:rsid w:val="009E00C8"/>
    <w:rsid w:val="009E7A82"/>
    <w:rsid w:val="009F5884"/>
    <w:rsid w:val="009F6155"/>
    <w:rsid w:val="00A00E46"/>
    <w:rsid w:val="00A2616F"/>
    <w:rsid w:val="00A55F29"/>
    <w:rsid w:val="00A60270"/>
    <w:rsid w:val="00A603E2"/>
    <w:rsid w:val="00A60D04"/>
    <w:rsid w:val="00A70083"/>
    <w:rsid w:val="00A86923"/>
    <w:rsid w:val="00A86A50"/>
    <w:rsid w:val="00A92F20"/>
    <w:rsid w:val="00A932F4"/>
    <w:rsid w:val="00AB772B"/>
    <w:rsid w:val="00AC79D0"/>
    <w:rsid w:val="00AD3633"/>
    <w:rsid w:val="00AE052E"/>
    <w:rsid w:val="00AE6F6C"/>
    <w:rsid w:val="00AF7847"/>
    <w:rsid w:val="00B02EB3"/>
    <w:rsid w:val="00B142CC"/>
    <w:rsid w:val="00B16595"/>
    <w:rsid w:val="00B25D57"/>
    <w:rsid w:val="00B329FD"/>
    <w:rsid w:val="00B35371"/>
    <w:rsid w:val="00B445F1"/>
    <w:rsid w:val="00B607AF"/>
    <w:rsid w:val="00B608B5"/>
    <w:rsid w:val="00B636A9"/>
    <w:rsid w:val="00B84449"/>
    <w:rsid w:val="00B85F1A"/>
    <w:rsid w:val="00BB153C"/>
    <w:rsid w:val="00BC280E"/>
    <w:rsid w:val="00BC4EFF"/>
    <w:rsid w:val="00BC5C1C"/>
    <w:rsid w:val="00BD1443"/>
    <w:rsid w:val="00BE3420"/>
    <w:rsid w:val="00BE431F"/>
    <w:rsid w:val="00C31648"/>
    <w:rsid w:val="00C3714D"/>
    <w:rsid w:val="00C501DF"/>
    <w:rsid w:val="00C50877"/>
    <w:rsid w:val="00C512E1"/>
    <w:rsid w:val="00C740D5"/>
    <w:rsid w:val="00C77DB9"/>
    <w:rsid w:val="00C83D51"/>
    <w:rsid w:val="00CA2E3E"/>
    <w:rsid w:val="00CB46BE"/>
    <w:rsid w:val="00CC78B7"/>
    <w:rsid w:val="00CD3F5B"/>
    <w:rsid w:val="00CE173F"/>
    <w:rsid w:val="00D058CA"/>
    <w:rsid w:val="00D05C46"/>
    <w:rsid w:val="00D07D8D"/>
    <w:rsid w:val="00D138B1"/>
    <w:rsid w:val="00D23845"/>
    <w:rsid w:val="00D23AC1"/>
    <w:rsid w:val="00D3628F"/>
    <w:rsid w:val="00D4416F"/>
    <w:rsid w:val="00D51A6B"/>
    <w:rsid w:val="00D646DA"/>
    <w:rsid w:val="00D7350E"/>
    <w:rsid w:val="00D85DA9"/>
    <w:rsid w:val="00D90D44"/>
    <w:rsid w:val="00D92661"/>
    <w:rsid w:val="00DA1D82"/>
    <w:rsid w:val="00DA41D7"/>
    <w:rsid w:val="00DC23B9"/>
    <w:rsid w:val="00DC2F34"/>
    <w:rsid w:val="00DD47C8"/>
    <w:rsid w:val="00DE4474"/>
    <w:rsid w:val="00DF1969"/>
    <w:rsid w:val="00DF404C"/>
    <w:rsid w:val="00E1311D"/>
    <w:rsid w:val="00E1562D"/>
    <w:rsid w:val="00E21100"/>
    <w:rsid w:val="00E22637"/>
    <w:rsid w:val="00E51B50"/>
    <w:rsid w:val="00E55879"/>
    <w:rsid w:val="00E66568"/>
    <w:rsid w:val="00E667D3"/>
    <w:rsid w:val="00E748F7"/>
    <w:rsid w:val="00E97D51"/>
    <w:rsid w:val="00EF7150"/>
    <w:rsid w:val="00F005F2"/>
    <w:rsid w:val="00F120D7"/>
    <w:rsid w:val="00F22DD9"/>
    <w:rsid w:val="00F41D32"/>
    <w:rsid w:val="00F51ED9"/>
    <w:rsid w:val="00F73809"/>
    <w:rsid w:val="00F81A22"/>
    <w:rsid w:val="00F86736"/>
    <w:rsid w:val="00FB74B6"/>
    <w:rsid w:val="00FC1BB0"/>
    <w:rsid w:val="00FD1143"/>
    <w:rsid w:val="00FE2481"/>
    <w:rsid w:val="00FF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0AE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55361"/>
    <w:pPr>
      <w:keepNext/>
      <w:numPr>
        <w:numId w:val="2"/>
      </w:numPr>
      <w:spacing w:before="240" w:after="60" w:line="240" w:lineRule="auto"/>
      <w:ind w:left="0" w:firstLine="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5361"/>
    <w:pPr>
      <w:keepNext/>
      <w:numPr>
        <w:ilvl w:val="1"/>
        <w:numId w:val="2"/>
      </w:numPr>
      <w:spacing w:before="240" w:after="60" w:line="240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5361"/>
    <w:pPr>
      <w:keepNext/>
      <w:numPr>
        <w:ilvl w:val="2"/>
        <w:numId w:val="2"/>
      </w:numPr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5361"/>
    <w:pPr>
      <w:keepNext/>
      <w:numPr>
        <w:ilvl w:val="3"/>
        <w:numId w:val="2"/>
      </w:numPr>
      <w:tabs>
        <w:tab w:val="right" w:leader="hyphen" w:pos="9072"/>
        <w:tab w:val="right" w:leader="hyphen" w:pos="9129"/>
      </w:tabs>
      <w:spacing w:after="0" w:line="240" w:lineRule="auto"/>
      <w:ind w:left="0" w:right="-1" w:firstLine="0"/>
      <w:jc w:val="both"/>
      <w:outlineLvl w:val="3"/>
    </w:pPr>
    <w:rPr>
      <w:rFonts w:ascii="Arial" w:eastAsia="Times New Roman" w:hAnsi="Arial" w:cs="Arial"/>
      <w:i/>
      <w:iCs/>
      <w:sz w:val="20"/>
      <w:szCs w:val="20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5361"/>
    <w:pPr>
      <w:numPr>
        <w:ilvl w:val="5"/>
        <w:numId w:val="2"/>
      </w:numPr>
      <w:spacing w:before="240" w:after="240" w:line="240" w:lineRule="auto"/>
      <w:outlineLvl w:val="5"/>
    </w:pPr>
    <w:rPr>
      <w:rFonts w:eastAsia="Times New Roman" w:cs="Times New Roman"/>
      <w:szCs w:val="20"/>
    </w:rPr>
  </w:style>
  <w:style w:type="paragraph" w:styleId="Nadpis7">
    <w:name w:val="heading 7"/>
    <w:basedOn w:val="Normln"/>
    <w:next w:val="Normln"/>
    <w:link w:val="Nadpis7Char"/>
    <w:qFormat/>
    <w:rsid w:val="00C55361"/>
    <w:pPr>
      <w:keepNext/>
      <w:numPr>
        <w:ilvl w:val="6"/>
        <w:numId w:val="2"/>
      </w:numPr>
      <w:tabs>
        <w:tab w:val="right" w:leader="hyphen" w:pos="9072"/>
      </w:tabs>
      <w:spacing w:after="0" w:line="240" w:lineRule="auto"/>
      <w:ind w:left="0" w:firstLine="0"/>
      <w:jc w:val="center"/>
      <w:outlineLvl w:val="6"/>
    </w:pPr>
    <w:rPr>
      <w:rFonts w:ascii="Arial" w:eastAsia="Times New Roman" w:hAnsi="Arial" w:cs="Arial"/>
      <w:b/>
      <w:bCs/>
      <w:sz w:val="32"/>
      <w:szCs w:val="20"/>
    </w:rPr>
  </w:style>
  <w:style w:type="paragraph" w:styleId="Nadpis8">
    <w:name w:val="heading 8"/>
    <w:basedOn w:val="Normln"/>
    <w:next w:val="Normln"/>
    <w:link w:val="Nadpis8Char"/>
    <w:qFormat/>
    <w:rsid w:val="00C55361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Cs w:val="20"/>
    </w:rPr>
  </w:style>
  <w:style w:type="paragraph" w:styleId="Nadpis9">
    <w:name w:val="heading 9"/>
    <w:basedOn w:val="Normln"/>
    <w:next w:val="Normln"/>
    <w:link w:val="Nadpis9Char"/>
    <w:qFormat/>
    <w:rsid w:val="00C55361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99"/>
    <w:qFormat/>
    <w:rsid w:val="00C13512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55361"/>
    <w:rPr>
      <w:rFonts w:ascii="Calibri Light" w:eastAsia="Times New Roman" w:hAnsi="Calibri Light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55361"/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55361"/>
    <w:rPr>
      <w:rFonts w:ascii="Cambria" w:eastAsia="Times New Roman" w:hAnsi="Cambria" w:cs="Times New Roman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C55361"/>
    <w:rPr>
      <w:rFonts w:ascii="Arial" w:eastAsia="Times New Roman" w:hAnsi="Arial" w:cs="Arial"/>
      <w:i/>
      <w:iCs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C55361"/>
    <w:rPr>
      <w:rFonts w:ascii="Calibri" w:eastAsia="Times New Roman" w:hAnsi="Calibri" w:cs="Times New Roman"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C55361"/>
    <w:rPr>
      <w:rFonts w:ascii="Arial" w:eastAsia="Times New Roman" w:hAnsi="Arial" w:cs="Arial"/>
      <w:b/>
      <w:bCs/>
      <w:sz w:val="32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C55361"/>
    <w:rPr>
      <w:rFonts w:ascii="Arial" w:eastAsia="Times New Roman" w:hAnsi="Arial" w:cs="Times New Roman"/>
      <w:i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C55361"/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D019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19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019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19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19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19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1960"/>
    <w:rPr>
      <w:rFonts w:ascii="Tahoma" w:hAnsi="Tahoma" w:cs="Tahoma"/>
      <w:sz w:val="16"/>
      <w:szCs w:val="16"/>
    </w:rPr>
  </w:style>
  <w:style w:type="paragraph" w:styleId="Seznamsodrkami">
    <w:name w:val="List Bullet"/>
    <w:basedOn w:val="Normln"/>
    <w:uiPriority w:val="99"/>
    <w:unhideWhenUsed/>
    <w:rsid w:val="000A5CCC"/>
    <w:pPr>
      <w:numPr>
        <w:numId w:val="3"/>
      </w:numPr>
      <w:contextualSpacing/>
    </w:pPr>
  </w:style>
  <w:style w:type="paragraph" w:styleId="Zhlav">
    <w:name w:val="header"/>
    <w:basedOn w:val="Normln"/>
    <w:link w:val="ZhlavChar"/>
    <w:uiPriority w:val="99"/>
    <w:unhideWhenUsed/>
    <w:rsid w:val="007B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B0028"/>
  </w:style>
  <w:style w:type="paragraph" w:styleId="Zpat">
    <w:name w:val="footer"/>
    <w:basedOn w:val="Normln"/>
    <w:link w:val="ZpatChar"/>
    <w:uiPriority w:val="99"/>
    <w:unhideWhenUsed/>
    <w:rsid w:val="007B0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B0028"/>
  </w:style>
  <w:style w:type="paragraph" w:styleId="Bezmezer">
    <w:name w:val="No Spacing"/>
    <w:uiPriority w:val="99"/>
    <w:qFormat/>
    <w:pPr>
      <w:spacing w:after="0" w:line="240" w:lineRule="auto"/>
    </w:pPr>
    <w:rPr>
      <w:rFonts w:ascii="Times New Roman" w:eastAsia="PMingLiU" w:hAnsi="Times New Roman" w:cs="Times New Roman"/>
      <w:lang w:eastAsia="zh-TW"/>
    </w:rPr>
  </w:style>
  <w:style w:type="character" w:styleId="Hypertextovodkaz">
    <w:name w:val="Hyperlink"/>
    <w:basedOn w:val="Standardnpsmoodstavce"/>
    <w:uiPriority w:val="99"/>
    <w:unhideWhenUsed/>
    <w:rsid w:val="0002572E"/>
    <w:rPr>
      <w:color w:val="0000FF" w:themeColor="hyperlink"/>
      <w:u w:val="single"/>
    </w:rPr>
  </w:style>
  <w:style w:type="paragraph" w:customStyle="1" w:styleId="NAD1">
    <w:name w:val="NAD1"/>
    <w:basedOn w:val="Normln"/>
    <w:rsid w:val="00AA48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b/>
      <w:sz w:val="28"/>
    </w:rPr>
  </w:style>
  <w:style w:type="paragraph" w:styleId="Zkladntext">
    <w:name w:val="Body Text"/>
    <w:basedOn w:val="Normln"/>
    <w:link w:val="ZkladntextChar"/>
    <w:rsid w:val="00F200FF"/>
    <w:pPr>
      <w:tabs>
        <w:tab w:val="left" w:leader="hyphen" w:pos="9072"/>
      </w:tabs>
      <w:autoSpaceDE w:val="0"/>
      <w:autoSpaceDN w:val="0"/>
      <w:adjustRightInd w:val="0"/>
      <w:spacing w:before="12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F200FF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CMSHeadL9">
    <w:name w:val="CMS Head L9"/>
    <w:basedOn w:val="Normln"/>
    <w:rsid w:val="00DF62C3"/>
    <w:pPr>
      <w:numPr>
        <w:ilvl w:val="8"/>
        <w:numId w:val="5"/>
      </w:numPr>
      <w:spacing w:after="240" w:line="240" w:lineRule="auto"/>
      <w:outlineLvl w:val="8"/>
    </w:pPr>
    <w:rPr>
      <w:rFonts w:ascii="Garamond MT" w:eastAsia="Batang" w:hAnsi="Garamond MT" w:cs="Garamond MT"/>
      <w:sz w:val="24"/>
      <w:szCs w:val="24"/>
      <w:lang w:val="en-GB"/>
    </w:rPr>
  </w:style>
  <w:style w:type="paragraph" w:customStyle="1" w:styleId="CMSHeadL1">
    <w:name w:val="CMS Head L1"/>
    <w:basedOn w:val="Normln"/>
    <w:next w:val="CMSHeadL2"/>
    <w:rsid w:val="00DF62C3"/>
    <w:pPr>
      <w:pageBreakBefore/>
      <w:numPr>
        <w:numId w:val="5"/>
      </w:numPr>
      <w:spacing w:before="240" w:after="240" w:line="240" w:lineRule="auto"/>
      <w:jc w:val="center"/>
      <w:outlineLvl w:val="0"/>
    </w:pPr>
    <w:rPr>
      <w:rFonts w:ascii="Garamond MT" w:eastAsia="Batang" w:hAnsi="Garamond MT" w:cs="Garamond MT"/>
      <w:b/>
      <w:bCs/>
      <w:sz w:val="28"/>
      <w:szCs w:val="28"/>
      <w:lang w:val="en-GB"/>
    </w:rPr>
  </w:style>
  <w:style w:type="paragraph" w:customStyle="1" w:styleId="CMSHeadL2">
    <w:name w:val="CMS Head L2"/>
    <w:basedOn w:val="Normln"/>
    <w:next w:val="CMSHeadL3"/>
    <w:rsid w:val="00DF62C3"/>
    <w:pPr>
      <w:keepNext/>
      <w:keepLines/>
      <w:numPr>
        <w:ilvl w:val="1"/>
        <w:numId w:val="5"/>
      </w:numPr>
      <w:spacing w:before="240" w:after="240" w:line="240" w:lineRule="auto"/>
      <w:outlineLvl w:val="1"/>
    </w:pPr>
    <w:rPr>
      <w:rFonts w:ascii="Garamond MT" w:eastAsia="Batang" w:hAnsi="Garamond MT" w:cs="Garamond MT"/>
      <w:b/>
      <w:bCs/>
      <w:sz w:val="24"/>
      <w:szCs w:val="24"/>
      <w:lang w:val="en-GB"/>
    </w:rPr>
  </w:style>
  <w:style w:type="paragraph" w:customStyle="1" w:styleId="CMSHeadL3">
    <w:name w:val="CMS Head L3"/>
    <w:basedOn w:val="Normln"/>
    <w:rsid w:val="00DF62C3"/>
    <w:pPr>
      <w:numPr>
        <w:ilvl w:val="2"/>
        <w:numId w:val="5"/>
      </w:numPr>
      <w:spacing w:after="240" w:line="240" w:lineRule="auto"/>
      <w:outlineLvl w:val="2"/>
    </w:pPr>
    <w:rPr>
      <w:rFonts w:ascii="Garamond MT" w:eastAsia="Batang" w:hAnsi="Garamond MT" w:cs="Garamond MT"/>
      <w:sz w:val="24"/>
      <w:szCs w:val="24"/>
      <w:lang w:val="en-GB"/>
    </w:rPr>
  </w:style>
  <w:style w:type="paragraph" w:customStyle="1" w:styleId="CMSHeadL4">
    <w:name w:val="CMS Head L4"/>
    <w:basedOn w:val="Normln"/>
    <w:rsid w:val="00DF62C3"/>
    <w:pPr>
      <w:numPr>
        <w:ilvl w:val="3"/>
        <w:numId w:val="5"/>
      </w:numPr>
      <w:spacing w:after="240" w:line="240" w:lineRule="auto"/>
      <w:outlineLvl w:val="3"/>
    </w:pPr>
    <w:rPr>
      <w:rFonts w:ascii="Garamond MT" w:eastAsia="Batang" w:hAnsi="Garamond MT" w:cs="Garamond MT"/>
      <w:sz w:val="24"/>
      <w:szCs w:val="24"/>
      <w:lang w:val="en-GB"/>
    </w:rPr>
  </w:style>
  <w:style w:type="paragraph" w:customStyle="1" w:styleId="CMSHeadL5">
    <w:name w:val="CMS Head L5"/>
    <w:basedOn w:val="Normln"/>
    <w:rsid w:val="00DF62C3"/>
    <w:pPr>
      <w:numPr>
        <w:ilvl w:val="4"/>
        <w:numId w:val="5"/>
      </w:numPr>
      <w:spacing w:after="240" w:line="240" w:lineRule="auto"/>
      <w:outlineLvl w:val="4"/>
    </w:pPr>
    <w:rPr>
      <w:rFonts w:ascii="Garamond MT" w:eastAsia="Batang" w:hAnsi="Garamond MT" w:cs="Garamond MT"/>
      <w:sz w:val="24"/>
      <w:szCs w:val="24"/>
      <w:lang w:val="en-GB"/>
    </w:rPr>
  </w:style>
  <w:style w:type="paragraph" w:customStyle="1" w:styleId="CMSHeadL6">
    <w:name w:val="CMS Head L6"/>
    <w:basedOn w:val="Normln"/>
    <w:rsid w:val="00DF62C3"/>
    <w:pPr>
      <w:numPr>
        <w:ilvl w:val="5"/>
        <w:numId w:val="5"/>
      </w:numPr>
      <w:spacing w:after="240" w:line="240" w:lineRule="auto"/>
      <w:ind w:left="3403" w:hanging="851"/>
      <w:outlineLvl w:val="5"/>
    </w:pPr>
    <w:rPr>
      <w:rFonts w:ascii="Garamond MT" w:eastAsia="Batang" w:hAnsi="Garamond MT" w:cs="Garamond MT"/>
      <w:sz w:val="24"/>
      <w:szCs w:val="24"/>
      <w:lang w:val="en-GB"/>
    </w:rPr>
  </w:style>
  <w:style w:type="paragraph" w:customStyle="1" w:styleId="CMSHeadL7">
    <w:name w:val="CMS Head L7"/>
    <w:basedOn w:val="Normln"/>
    <w:rsid w:val="00DF62C3"/>
    <w:pPr>
      <w:numPr>
        <w:ilvl w:val="6"/>
        <w:numId w:val="5"/>
      </w:numPr>
      <w:spacing w:after="240" w:line="240" w:lineRule="auto"/>
      <w:outlineLvl w:val="6"/>
    </w:pPr>
    <w:rPr>
      <w:rFonts w:ascii="Garamond MT" w:eastAsia="Batang" w:hAnsi="Garamond MT" w:cs="Garamond MT"/>
      <w:sz w:val="24"/>
      <w:szCs w:val="24"/>
      <w:lang w:val="en-GB"/>
    </w:rPr>
  </w:style>
  <w:style w:type="paragraph" w:customStyle="1" w:styleId="CMSHeadL8">
    <w:name w:val="CMS Head L8"/>
    <w:basedOn w:val="Normln"/>
    <w:rsid w:val="00DF62C3"/>
    <w:pPr>
      <w:numPr>
        <w:ilvl w:val="7"/>
        <w:numId w:val="5"/>
      </w:numPr>
      <w:spacing w:after="240" w:line="240" w:lineRule="auto"/>
      <w:ind w:left="1702" w:hanging="851"/>
      <w:outlineLvl w:val="7"/>
    </w:pPr>
    <w:rPr>
      <w:rFonts w:ascii="Garamond MT" w:eastAsia="Batang" w:hAnsi="Garamond MT" w:cs="Garamond MT"/>
      <w:sz w:val="24"/>
      <w:szCs w:val="24"/>
      <w:lang w:val="en-GB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Level1CtrlShiftL1">
    <w:name w:val="Level 1 (CtrlShift L+1)"/>
    <w:basedOn w:val="Normln"/>
    <w:next w:val="Normln"/>
    <w:rsid w:val="00514097"/>
    <w:pPr>
      <w:keepNext/>
      <w:numPr>
        <w:numId w:val="8"/>
      </w:numPr>
      <w:spacing w:before="60" w:after="140" w:line="290" w:lineRule="auto"/>
      <w:jc w:val="both"/>
      <w:outlineLvl w:val="0"/>
    </w:pPr>
    <w:rPr>
      <w:rFonts w:ascii="Verdana" w:hAnsi="Verdana" w:cs="Times New Roman"/>
      <w:b/>
      <w:kern w:val="20"/>
      <w:sz w:val="21"/>
      <w:szCs w:val="28"/>
      <w:lang w:eastAsia="en-US" w:bidi="en-US"/>
    </w:rPr>
  </w:style>
  <w:style w:type="paragraph" w:customStyle="1" w:styleId="Level2CtrlShiftL2">
    <w:name w:val="Level 2 (CtrlShift L+2)"/>
    <w:basedOn w:val="Normln"/>
    <w:rsid w:val="00514097"/>
    <w:pPr>
      <w:numPr>
        <w:ilvl w:val="1"/>
        <w:numId w:val="8"/>
      </w:numPr>
      <w:spacing w:after="140" w:line="290" w:lineRule="auto"/>
      <w:jc w:val="both"/>
      <w:outlineLvl w:val="1"/>
    </w:pPr>
    <w:rPr>
      <w:rFonts w:ascii="Verdana" w:hAnsi="Verdana" w:cs="Times New Roman"/>
      <w:kern w:val="20"/>
      <w:sz w:val="18"/>
      <w:szCs w:val="28"/>
      <w:lang w:eastAsia="en-US" w:bidi="en-US"/>
    </w:rPr>
  </w:style>
  <w:style w:type="paragraph" w:customStyle="1" w:styleId="Level3CtrlShiftL3">
    <w:name w:val="Level 3 (CtrlShift L+3)"/>
    <w:basedOn w:val="Normln"/>
    <w:rsid w:val="00514097"/>
    <w:pPr>
      <w:numPr>
        <w:ilvl w:val="2"/>
        <w:numId w:val="8"/>
      </w:numPr>
      <w:spacing w:after="140" w:line="290" w:lineRule="auto"/>
      <w:jc w:val="both"/>
      <w:outlineLvl w:val="2"/>
    </w:pPr>
    <w:rPr>
      <w:rFonts w:ascii="Verdana" w:hAnsi="Verdana" w:cs="Times New Roman"/>
      <w:kern w:val="20"/>
      <w:sz w:val="18"/>
      <w:szCs w:val="28"/>
      <w:lang w:eastAsia="en-US" w:bidi="en-US"/>
    </w:rPr>
  </w:style>
  <w:style w:type="paragraph" w:customStyle="1" w:styleId="Level4CtrlShiftL4">
    <w:name w:val="Level 4 (CtrlShift L+4)"/>
    <w:basedOn w:val="Normln"/>
    <w:rsid w:val="00514097"/>
    <w:pPr>
      <w:numPr>
        <w:ilvl w:val="3"/>
        <w:numId w:val="8"/>
      </w:numPr>
      <w:spacing w:after="140" w:line="290" w:lineRule="auto"/>
      <w:jc w:val="both"/>
      <w:outlineLvl w:val="3"/>
    </w:pPr>
    <w:rPr>
      <w:rFonts w:ascii="Verdana" w:hAnsi="Verdana" w:cs="Times New Roman"/>
      <w:kern w:val="20"/>
      <w:sz w:val="18"/>
      <w:szCs w:val="24"/>
      <w:lang w:eastAsia="en-US" w:bidi="en-US"/>
    </w:rPr>
  </w:style>
  <w:style w:type="paragraph" w:customStyle="1" w:styleId="Level5CtrlShiftL5">
    <w:name w:val="Level 5 (CtrlShift L+5)"/>
    <w:basedOn w:val="Normln"/>
    <w:rsid w:val="00514097"/>
    <w:pPr>
      <w:numPr>
        <w:ilvl w:val="4"/>
        <w:numId w:val="8"/>
      </w:numPr>
      <w:spacing w:after="140" w:line="290" w:lineRule="auto"/>
      <w:jc w:val="both"/>
      <w:outlineLvl w:val="4"/>
    </w:pPr>
    <w:rPr>
      <w:rFonts w:ascii="Verdana" w:hAnsi="Verdana" w:cs="Times New Roman"/>
      <w:kern w:val="20"/>
      <w:sz w:val="18"/>
      <w:szCs w:val="24"/>
      <w:lang w:eastAsia="en-US" w:bidi="en-US"/>
    </w:rPr>
  </w:style>
  <w:style w:type="paragraph" w:customStyle="1" w:styleId="Level6CtrlShiftL6">
    <w:name w:val="Level 6 (CtrlShift L+6)"/>
    <w:basedOn w:val="Normln"/>
    <w:rsid w:val="00514097"/>
    <w:pPr>
      <w:numPr>
        <w:ilvl w:val="5"/>
        <w:numId w:val="8"/>
      </w:numPr>
      <w:spacing w:after="140" w:line="290" w:lineRule="auto"/>
      <w:jc w:val="both"/>
      <w:outlineLvl w:val="5"/>
    </w:pPr>
    <w:rPr>
      <w:rFonts w:ascii="Verdana" w:hAnsi="Verdana" w:cs="Times New Roman"/>
      <w:kern w:val="20"/>
      <w:sz w:val="18"/>
      <w:szCs w:val="24"/>
      <w:lang w:eastAsia="en-US" w:bidi="en-US"/>
    </w:rPr>
  </w:style>
  <w:style w:type="paragraph" w:styleId="Revize">
    <w:name w:val="Revision"/>
    <w:hidden/>
    <w:uiPriority w:val="99"/>
    <w:semiHidden/>
    <w:rsid w:val="009E7A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4223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2022-06-17T12:10:00Z</dcterms:created>
  <dcterms:modified xsi:type="dcterms:W3CDTF">2022-06-22T08:52:00Z</dcterms:modified>
</cp:coreProperties>
</file>