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9F3B" w14:textId="694CD835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A6789E">
        <w:rPr>
          <w:rFonts w:ascii="Times New Roman" w:hAnsi="Times New Roman" w:cs="Times New Roman"/>
          <w:color w:val="auto"/>
          <w:sz w:val="32"/>
          <w:szCs w:val="32"/>
        </w:rPr>
        <w:t>4</w:t>
      </w:r>
    </w:p>
    <w:p w14:paraId="0F744EA9" w14:textId="77777777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6B5C31">
        <w:rPr>
          <w:rFonts w:ascii="Times New Roman" w:hAnsi="Times New Roman" w:cs="Times New Roman"/>
          <w:color w:val="000000" w:themeColor="text1"/>
          <w:sz w:val="28"/>
          <w:szCs w:val="28"/>
        </w:rPr>
        <w:t>310/07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BFA7405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5241E0B9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4456EB41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558BF27B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74E238AA" w14:textId="3205543E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A6789E">
        <w:rPr>
          <w:b/>
          <w:bCs/>
        </w:rPr>
        <w:t>manažerem specializovaného</w:t>
      </w:r>
    </w:p>
    <w:p w14:paraId="25A4C5C0" w14:textId="0DAB7540"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A6789E">
        <w:rPr>
          <w:b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3D43111F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50F498D8" w14:textId="67D841E9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094273">
        <w:rPr>
          <w:bCs/>
        </w:rPr>
        <w:t>XXXXXXXXXX</w:t>
      </w:r>
    </w:p>
    <w:p w14:paraId="5298745A" w14:textId="58D8EABA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094273">
        <w:rPr>
          <w:bCs/>
        </w:rPr>
        <w:t>XXXXXXXXXX</w:t>
      </w:r>
    </w:p>
    <w:p w14:paraId="3DB49163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533A63FF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021B1019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6345361E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713A0F17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</w:p>
    <w:p w14:paraId="5B61CF4E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 4077003</w:t>
      </w:r>
    </w:p>
    <w:p w14:paraId="525AB72E" w14:textId="77777777" w:rsidR="006B5C31" w:rsidRDefault="006B5C31" w:rsidP="006B5C31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8" w:firstLine="0"/>
      </w:pPr>
      <w:r>
        <w:rPr>
          <w:b/>
        </w:rPr>
        <w:t>Stavební spořitelna České spořitelny, a.s.</w:t>
      </w:r>
    </w:p>
    <w:p w14:paraId="7D32435D" w14:textId="2016B0C9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770848">
        <w:t>Antala Staška 1292/32, 140 00 Praha 4</w:t>
      </w:r>
    </w:p>
    <w:p w14:paraId="0C4F36F5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  <w:t>60197609</w:t>
      </w:r>
    </w:p>
    <w:p w14:paraId="55FC0555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  <w:t>CZ699001261</w:t>
      </w:r>
    </w:p>
    <w:p w14:paraId="40656DCA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zastoupena:</w:t>
      </w:r>
      <w:r>
        <w:tab/>
      </w:r>
      <w:r>
        <w:rPr>
          <w:b/>
        </w:rPr>
        <w:t>Ing. Liborem Vošickým, předsedou představenstva</w:t>
      </w:r>
    </w:p>
    <w:p w14:paraId="0E31A50B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3545" w:right="27" w:firstLine="0"/>
      </w:pPr>
      <w:r>
        <w:rPr>
          <w:b/>
        </w:rPr>
        <w:tab/>
        <w:t xml:space="preserve">RNDr. Monikou </w:t>
      </w:r>
      <w:proofErr w:type="spellStart"/>
      <w:r>
        <w:rPr>
          <w:b/>
        </w:rPr>
        <w:t>Laušmanovou</w:t>
      </w:r>
      <w:proofErr w:type="spellEnd"/>
      <w:r>
        <w:rPr>
          <w:b/>
        </w:rPr>
        <w:t xml:space="preserve">, CSc., </w:t>
      </w:r>
      <w:r>
        <w:rPr>
          <w:b/>
        </w:rPr>
        <w:br/>
        <w:t xml:space="preserve">  místopředsedkyní představenstva</w:t>
      </w:r>
    </w:p>
    <w:p w14:paraId="2195557D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zapsána v obchodním rejstříku</w:t>
      </w:r>
      <w:r>
        <w:tab/>
        <w:t>Městského soudu v Praze, oddíl B, vložka 2616</w:t>
      </w:r>
    </w:p>
    <w:p w14:paraId="78FD629D" w14:textId="02443340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094273">
        <w:rPr>
          <w:bCs/>
        </w:rPr>
        <w:t>XXXXXXXXXX</w:t>
      </w:r>
    </w:p>
    <w:p w14:paraId="2BBD28CF" w14:textId="6FAA1BA8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094273">
        <w:rPr>
          <w:bCs/>
        </w:rPr>
        <w:t>XXXXXXXXXX</w:t>
      </w:r>
    </w:p>
    <w:p w14:paraId="12D345C6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567" w:firstLine="0"/>
      </w:pPr>
      <w:r w:rsidRPr="0082174A">
        <w:t>adresa</w:t>
      </w:r>
      <w:r>
        <w:t xml:space="preserve"> pro zasílání faktur</w:t>
      </w:r>
      <w:r w:rsidRPr="0082174A">
        <w:t>:</w:t>
      </w:r>
      <w:r>
        <w:tab/>
        <w:t>Česká spořitelna, a.s., CEN 2120, Olbrachtova 1929/62,</w:t>
      </w:r>
    </w:p>
    <w:p w14:paraId="4E2875BA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140 00 Praha 4</w:t>
      </w:r>
    </w:p>
    <w:p w14:paraId="01392E46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09B0F4C5" w14:textId="77777777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6B5C31">
        <w:rPr>
          <w:b/>
          <w:sz w:val="26"/>
          <w:szCs w:val="26"/>
        </w:rPr>
        <w:t>210070</w:t>
      </w:r>
    </w:p>
    <w:p w14:paraId="64AAEC07" w14:textId="77777777" w:rsidR="00556DE5" w:rsidRPr="00770848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770848">
        <w:t xml:space="preserve">dále jednotlivě i jako „Smluvní strana“ nebo společně jako </w:t>
      </w:r>
      <w:r w:rsidR="00C10351" w:rsidRPr="00770848">
        <w:t>„Smluvní strany“</w:t>
      </w:r>
    </w:p>
    <w:p w14:paraId="0C2DB24F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501E2FC1" w14:textId="11A5D12D" w:rsidR="00293005" w:rsidRPr="003B0CE1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6B5C31">
        <w:rPr>
          <w:rFonts w:ascii="Times New Roman" w:hAnsi="Times New Roman" w:cs="Times New Roman"/>
          <w:sz w:val="24"/>
          <w:szCs w:val="24"/>
        </w:rPr>
        <w:t>2.6.2015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31"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6B5C31">
        <w:rPr>
          <w:rFonts w:ascii="Times New Roman" w:hAnsi="Times New Roman" w:cs="Times New Roman"/>
          <w:sz w:val="24"/>
          <w:szCs w:val="24"/>
        </w:rPr>
        <w:t>21.9.2015</w:t>
      </w:r>
      <w:r w:rsidR="00293005" w:rsidRPr="006B5C31">
        <w:rPr>
          <w:rFonts w:ascii="Times New Roman" w:hAnsi="Times New Roman" w:cs="Times New Roman"/>
          <w:sz w:val="24"/>
          <w:szCs w:val="24"/>
        </w:rPr>
        <w:t xml:space="preserve">, Dodatku č. 2 ze dne </w:t>
      </w:r>
      <w:r w:rsidR="006B5C31">
        <w:rPr>
          <w:rFonts w:ascii="Times New Roman" w:hAnsi="Times New Roman" w:cs="Times New Roman"/>
          <w:sz w:val="24"/>
          <w:szCs w:val="24"/>
        </w:rPr>
        <w:t>7.7.2016</w:t>
      </w:r>
      <w:r w:rsidR="00770848">
        <w:rPr>
          <w:rFonts w:ascii="Times New Roman" w:hAnsi="Times New Roman" w:cs="Times New Roman"/>
          <w:sz w:val="24"/>
          <w:szCs w:val="24"/>
        </w:rPr>
        <w:t xml:space="preserve"> a Dodatku č. 3 ze dne 4.4.2019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21566EB6" w14:textId="77777777" w:rsidR="003B0CE1" w:rsidRPr="003B0CE1" w:rsidRDefault="003B0CE1" w:rsidP="003B0CE1">
      <w:pPr>
        <w:pStyle w:val="Odstavecseseznamem"/>
        <w:spacing w:before="240" w:after="0" w:line="280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BCA1" w14:textId="2159C9F0" w:rsidR="003B0CE1" w:rsidRPr="003B0CE1" w:rsidRDefault="003B0CE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CE1">
        <w:rPr>
          <w:rFonts w:ascii="Times New Roman" w:hAnsi="Times New Roman" w:cs="Times New Roman"/>
          <w:bCs/>
          <w:sz w:val="24"/>
          <w:szCs w:val="24"/>
        </w:rPr>
        <w:t xml:space="preserve">Zhotovitel bere na vědomí </w:t>
      </w:r>
      <w:r w:rsidRPr="003B0CE1">
        <w:rPr>
          <w:rFonts w:ascii="Times New Roman" w:hAnsi="Times New Roman" w:cs="Times New Roman"/>
          <w:b/>
          <w:sz w:val="24"/>
          <w:szCs w:val="24"/>
        </w:rPr>
        <w:t>změnu sídla</w:t>
      </w:r>
      <w:r w:rsidRPr="003B0CE1">
        <w:rPr>
          <w:rFonts w:ascii="Times New Roman" w:hAnsi="Times New Roman" w:cs="Times New Roman"/>
          <w:bCs/>
          <w:sz w:val="24"/>
          <w:szCs w:val="24"/>
        </w:rPr>
        <w:t xml:space="preserve"> Objednatele.</w:t>
      </w:r>
    </w:p>
    <w:p w14:paraId="311ADBA7" w14:textId="24C8C05F"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3B0CE1">
        <w:rPr>
          <w:rFonts w:ascii="Times New Roman" w:eastAsia="Calibri" w:hAnsi="Times New Roman" w:cs="Times New Roman"/>
          <w:sz w:val="24"/>
          <w:szCs w:val="24"/>
        </w:rPr>
        <w:t>3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</w:t>
      </w:r>
      <w:r w:rsidR="006B5C3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6955A7" w14:textId="77777777"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6B5C3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14:paraId="5A07EC84" w14:textId="11E8FE74" w:rsidR="006B5C3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120" w:line="280" w:lineRule="exact"/>
        <w:ind w:left="539" w:hanging="539"/>
        <w:jc w:val="both"/>
      </w:pPr>
      <w:r>
        <w:rPr>
          <w:rFonts w:eastAsia="Calibri"/>
        </w:rPr>
        <w:tab/>
        <w:t xml:space="preserve">     </w:t>
      </w:r>
      <w:proofErr w:type="gramStart"/>
      <w:r w:rsidR="00094273">
        <w:rPr>
          <w:bCs/>
        </w:rPr>
        <w:t>XXXXXXXXXX</w:t>
      </w:r>
      <w:r>
        <w:t xml:space="preserve">  </w:t>
      </w:r>
      <w:r>
        <w:tab/>
      </w:r>
      <w:proofErr w:type="spellStart"/>
      <w:proofErr w:type="gramEnd"/>
      <w:r w:rsidR="00094273">
        <w:rPr>
          <w:bCs/>
        </w:rPr>
        <w:t>XXXXXXXXXX</w:t>
      </w:r>
      <w:proofErr w:type="spellEnd"/>
    </w:p>
    <w:p w14:paraId="7D095FBD" w14:textId="1B162B3A" w:rsidR="006B5C31" w:rsidRPr="003B0CE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 w:rsidR="00094273">
        <w:rPr>
          <w:bCs/>
        </w:rPr>
        <w:t>XXXXXXXXXX</w:t>
      </w:r>
      <w:r w:rsidRPr="003B0CE1">
        <w:rPr>
          <w:u w:val="single"/>
        </w:rPr>
        <w:t xml:space="preserve">   </w:t>
      </w:r>
    </w:p>
    <w:p w14:paraId="6BAAC30E" w14:textId="2431F5E7" w:rsidR="006B5C3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1109D16C" w14:textId="7AB12B72" w:rsidR="006B5C31" w:rsidRPr="00F03754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 w:rsidR="00094273">
        <w:rPr>
          <w:bCs/>
        </w:rPr>
        <w:t>XXXXXXXXXX</w:t>
      </w:r>
    </w:p>
    <w:p w14:paraId="40B3CDEA" w14:textId="7C6526C5" w:rsidR="006B5C3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4CEF4DE4" w14:textId="756AABB7" w:rsidR="006B5C31" w:rsidRPr="00B6140D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 w:rsidR="00094273">
        <w:rPr>
          <w:bCs/>
        </w:rPr>
        <w:t>XXXXXXXXXX</w:t>
      </w:r>
    </w:p>
    <w:p w14:paraId="138C1366" w14:textId="2B0CC913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7FD0F549" w14:textId="2333A8E8" w:rsidR="006B5C31" w:rsidRPr="004B180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0645A9">
        <w:t xml:space="preserve">     </w:t>
      </w:r>
      <w:r w:rsidR="00094273">
        <w:rPr>
          <w:bCs/>
        </w:rPr>
        <w:t>XXXXXXXXXX</w:t>
      </w:r>
    </w:p>
    <w:p w14:paraId="0E5EEB6E" w14:textId="08709798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6A7AA2D1" w14:textId="3C53F972" w:rsidR="006B5C31" w:rsidRPr="007A39B0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0645A9">
        <w:t xml:space="preserve">     </w:t>
      </w:r>
      <w:r w:rsidR="00094273">
        <w:rPr>
          <w:bCs/>
        </w:rPr>
        <w:t>XXXXXXXXXX</w:t>
      </w:r>
    </w:p>
    <w:p w14:paraId="7DC50D2E" w14:textId="7809EC37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0B979513" w14:textId="62650A3A" w:rsidR="006B5C31" w:rsidRPr="00485320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0645A9">
        <w:t xml:space="preserve">     </w:t>
      </w:r>
      <w:r w:rsidR="00094273">
        <w:rPr>
          <w:bCs/>
        </w:rPr>
        <w:t>XXXXXXXXXX</w:t>
      </w:r>
    </w:p>
    <w:p w14:paraId="513EBB04" w14:textId="15E04CA0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094273">
        <w:rPr>
          <w:bCs/>
        </w:rPr>
        <w:t>XXXXXXXXXX</w:t>
      </w:r>
      <w:r>
        <w:tab/>
      </w:r>
      <w:proofErr w:type="spellStart"/>
      <w:r w:rsidR="00094273">
        <w:rPr>
          <w:bCs/>
        </w:rPr>
        <w:t>XXXXXXXXXX</w:t>
      </w:r>
      <w:proofErr w:type="spellEnd"/>
    </w:p>
    <w:p w14:paraId="6E995C5F" w14:textId="566A1D95" w:rsidR="0091210A" w:rsidRPr="000645A9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094273">
        <w:rPr>
          <w:bCs/>
        </w:rPr>
        <w:t>XXXXXXXXXX</w:t>
      </w:r>
      <w:r>
        <w:t>“</w:t>
      </w:r>
      <w:r>
        <w:rPr>
          <w:rFonts w:eastAsia="Calibri"/>
        </w:rPr>
        <w:tab/>
      </w:r>
    </w:p>
    <w:p w14:paraId="0C799323" w14:textId="0684D7BB"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A7E0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</w:t>
      </w:r>
      <w:r w:rsidR="000645A9">
        <w:rPr>
          <w:rFonts w:ascii="Times New Roman" w:eastAsia="Calibri" w:hAnsi="Times New Roman" w:cs="Times New Roman"/>
          <w:sz w:val="24"/>
          <w:szCs w:val="24"/>
        </w:rPr>
        <w:t>5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E6B79" w14:textId="77777777"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645A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14:paraId="2BE9A18B" w14:textId="32DEE22E" w:rsidR="00094273" w:rsidRDefault="00094273" w:rsidP="0009427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rPr>
          <w:bCs/>
        </w:rPr>
        <w:t xml:space="preserve">              </w:t>
      </w:r>
      <w:r>
        <w:rPr>
          <w:bCs/>
        </w:rPr>
        <w:t>XXXXXXXXXX</w:t>
      </w:r>
      <w:r>
        <w:tab/>
      </w:r>
      <w:proofErr w:type="spellStart"/>
      <w:r>
        <w:rPr>
          <w:bCs/>
        </w:rPr>
        <w:t>XXXXXXXXXX</w:t>
      </w:r>
      <w:proofErr w:type="spellEnd"/>
    </w:p>
    <w:p w14:paraId="3CE7172E" w14:textId="77777777" w:rsidR="00094273" w:rsidRPr="007A39B0" w:rsidRDefault="00094273" w:rsidP="0009427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>
        <w:rPr>
          <w:bCs/>
        </w:rPr>
        <w:t>XXXXXXXXXX</w:t>
      </w:r>
    </w:p>
    <w:p w14:paraId="087116B5" w14:textId="77777777" w:rsidR="00094273" w:rsidRDefault="00094273" w:rsidP="0009427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>
        <w:rPr>
          <w:bCs/>
        </w:rPr>
        <w:t>XXXXXXXXXX</w:t>
      </w:r>
      <w:r>
        <w:tab/>
      </w:r>
      <w:proofErr w:type="spellStart"/>
      <w:r>
        <w:rPr>
          <w:bCs/>
        </w:rPr>
        <w:t>XXXXXXXXXX</w:t>
      </w:r>
      <w:proofErr w:type="spellEnd"/>
    </w:p>
    <w:p w14:paraId="7580CCCE" w14:textId="77777777" w:rsidR="00094273" w:rsidRPr="00485320" w:rsidRDefault="00094273" w:rsidP="0009427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>
        <w:rPr>
          <w:bCs/>
        </w:rPr>
        <w:t>XXXXXXXXXX</w:t>
      </w:r>
    </w:p>
    <w:p w14:paraId="693DFDBC" w14:textId="77777777" w:rsidR="00094273" w:rsidRDefault="00094273" w:rsidP="0009427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>
        <w:rPr>
          <w:bCs/>
        </w:rPr>
        <w:t>XXXXXXXXXX</w:t>
      </w:r>
      <w:r>
        <w:tab/>
      </w:r>
      <w:proofErr w:type="spellStart"/>
      <w:r>
        <w:rPr>
          <w:bCs/>
        </w:rPr>
        <w:t>XXXXXXXXXX</w:t>
      </w:r>
      <w:proofErr w:type="spellEnd"/>
    </w:p>
    <w:p w14:paraId="1EF093AB" w14:textId="34E2DB72" w:rsidR="00DC43DE" w:rsidRDefault="00094273" w:rsidP="00094273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r w:rsidRPr="00094273">
        <w:rPr>
          <w:rFonts w:ascii="Times New Roman" w:hAnsi="Times New Roman" w:cs="Times New Roman"/>
        </w:rPr>
        <w:t xml:space="preserve"> </w:t>
      </w:r>
      <w:r w:rsidRPr="00094273">
        <w:rPr>
          <w:rFonts w:ascii="Times New Roman" w:hAnsi="Times New Roman" w:cs="Times New Roman"/>
          <w:bCs/>
        </w:rPr>
        <w:t>XXXXXXXXXX</w:t>
      </w:r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14:paraId="0E5DB86D" w14:textId="77777777"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14:paraId="36B78EA8" w14:textId="77777777"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3AE8A21E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09A01FA2" w14:textId="25B65C17" w:rsidR="00DC43DE" w:rsidRPr="002A2228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mluvními stranami</w:t>
      </w:r>
      <w:r w:rsidR="002A222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2A2228" w:rsidRPr="002A22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nabývá účinnosti 25. 7. 2022</w:t>
      </w:r>
      <w:r w:rsidRPr="002A22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5EEA4F4F" w14:textId="77777777"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36DC" w14:textId="77777777" w:rsidR="00156578" w:rsidRPr="001F7C89" w:rsidRDefault="00C57009" w:rsidP="00156578">
      <w:pPr>
        <w:spacing w:before="240" w:after="0" w:line="280" w:lineRule="exact"/>
        <w:ind w:left="704" w:hanging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7D8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A037D8">
        <w:rPr>
          <w:rFonts w:ascii="Times New Roman" w:hAnsi="Times New Roman" w:cs="Times New Roman"/>
          <w:sz w:val="24"/>
          <w:szCs w:val="24"/>
        </w:rPr>
        <w:tab/>
      </w:r>
      <w:r w:rsidR="00156578" w:rsidRPr="00156578">
        <w:rPr>
          <w:rFonts w:ascii="Times New Roman" w:hAnsi="Times New Roman" w:cs="Times New Roman"/>
          <w:sz w:val="24"/>
          <w:szCs w:val="24"/>
        </w:rPr>
        <w:t>Tento Dodatek bude uveřejněn v registru smluv dle zákona č. 340/2015 Sb., o zvláštních</w:t>
      </w:r>
      <w:r w:rsidR="00156578" w:rsidRPr="00156578">
        <w:rPr>
          <w:rFonts w:ascii="Times New Roman" w:hAnsi="Times New Roman" w:cs="Times New Roman"/>
          <w:sz w:val="24"/>
          <w:szCs w:val="24"/>
        </w:rPr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="00156578" w:rsidRPr="00156578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="00156578" w:rsidRPr="00156578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1683C1A5" w14:textId="77777777" w:rsidR="00156578" w:rsidRDefault="00156578" w:rsidP="00CC4422">
      <w:pPr>
        <w:tabs>
          <w:tab w:val="left" w:pos="426"/>
          <w:tab w:val="left" w:pos="5245"/>
        </w:tabs>
        <w:spacing w:before="2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5A5BC" w14:textId="539BAE8A" w:rsidR="00431938" w:rsidRDefault="00431938" w:rsidP="00CC4422">
      <w:pPr>
        <w:tabs>
          <w:tab w:val="left" w:pos="426"/>
          <w:tab w:val="left" w:pos="5245"/>
        </w:tabs>
        <w:spacing w:before="2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0E93D8CB" w14:textId="77777777" w:rsidR="00021AAC" w:rsidRPr="00A6499A" w:rsidRDefault="00CC4422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58F09FC3" w14:textId="77777777" w:rsidR="005A7225" w:rsidRDefault="00431938" w:rsidP="00156578">
      <w:pPr>
        <w:tabs>
          <w:tab w:val="left" w:leader="dot" w:pos="3402"/>
          <w:tab w:val="left" w:pos="5245"/>
          <w:tab w:val="left" w:leader="dot" w:pos="8647"/>
        </w:tabs>
        <w:spacing w:before="7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2DE8A3" w14:textId="77777777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Libor Vošický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14:paraId="5642852A" w14:textId="2E1991E1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A6789E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50FB6ED4" w14:textId="1C6F9A2E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A6789E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14:paraId="58D79B4C" w14:textId="77777777"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D9C1B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0AAE6C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D22D52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0214C3A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Laušmanová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CSc.,</w:t>
      </w:r>
    </w:p>
    <w:p w14:paraId="087611B5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místopředsedkyně představenstva</w:t>
      </w:r>
    </w:p>
    <w:p w14:paraId="34920EEB" w14:textId="77777777" w:rsidR="00360DCA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</w:p>
    <w:p w14:paraId="62530FC1" w14:textId="77777777" w:rsidR="001B5128" w:rsidRPr="00CC4422" w:rsidRDefault="001B5128" w:rsidP="00CC4422">
      <w:pPr>
        <w:rPr>
          <w:rFonts w:ascii="Times New Roman" w:hAnsi="Times New Roman"/>
          <w:b/>
          <w:sz w:val="24"/>
          <w:szCs w:val="24"/>
        </w:rPr>
      </w:pPr>
    </w:p>
    <w:sectPr w:rsidR="001B5128" w:rsidRPr="00CC4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F1C48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0EB1A1E8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63B9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CC4422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CC4422">
      <w:rPr>
        <w:noProof/>
      </w:rPr>
      <w:fldChar w:fldCharType="begin"/>
    </w:r>
    <w:r w:rsidR="00CC4422">
      <w:rPr>
        <w:noProof/>
      </w:rPr>
      <w:instrText>NUMPAGES  \* Arabic  \* MERGEFORMAT</w:instrText>
    </w:r>
    <w:r w:rsidR="00CC4422">
      <w:rPr>
        <w:noProof/>
      </w:rPr>
      <w:fldChar w:fldCharType="separate"/>
    </w:r>
    <w:r w:rsidR="00CC4422">
      <w:rPr>
        <w:noProof/>
      </w:rPr>
      <w:t>4</w:t>
    </w:r>
    <w:r w:rsidR="00CC442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05CC5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09A32031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893D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B4472B0" wp14:editId="7BF0A48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133ECF11" w14:textId="4B2733F8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E499AC" wp14:editId="31E8320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A6789E">
      <w:rPr>
        <w:rFonts w:ascii="Arial" w:hAnsi="Arial" w:cs="Arial"/>
        <w:noProof/>
        <w:lang w:eastAsia="cs-CZ"/>
      </w:rPr>
      <w:t>4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3D40884" wp14:editId="68577ED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C31">
      <w:rPr>
        <w:rFonts w:ascii="Arial" w:hAnsi="Arial" w:cs="Arial"/>
        <w:noProof/>
        <w:lang w:eastAsia="cs-CZ"/>
      </w:rPr>
      <w:t>310/07</w:t>
    </w:r>
  </w:p>
  <w:p w14:paraId="6B9A73D9" w14:textId="77777777" w:rsidR="00BA60CF" w:rsidRDefault="00BA60CF" w:rsidP="00BA60CF">
    <w:pPr>
      <w:pStyle w:val="Zhlav"/>
    </w:pPr>
  </w:p>
  <w:p w14:paraId="1F5B4046" w14:textId="77777777" w:rsidR="00BA60CF" w:rsidRDefault="00BA60CF" w:rsidP="00BA60CF">
    <w:pPr>
      <w:pStyle w:val="Zhlav"/>
    </w:pPr>
  </w:p>
  <w:p w14:paraId="0ABD7B66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5A9"/>
    <w:rsid w:val="000649B0"/>
    <w:rsid w:val="0008090E"/>
    <w:rsid w:val="000854A3"/>
    <w:rsid w:val="00086D55"/>
    <w:rsid w:val="000905B9"/>
    <w:rsid w:val="00092CCB"/>
    <w:rsid w:val="00094273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578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A2228"/>
    <w:rsid w:val="002E1B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0CE1"/>
    <w:rsid w:val="003B25D0"/>
    <w:rsid w:val="003B5709"/>
    <w:rsid w:val="003C0736"/>
    <w:rsid w:val="003C46F0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2E6"/>
    <w:rsid w:val="00451B06"/>
    <w:rsid w:val="00451CB5"/>
    <w:rsid w:val="004729A1"/>
    <w:rsid w:val="00475CCA"/>
    <w:rsid w:val="00485320"/>
    <w:rsid w:val="0049270F"/>
    <w:rsid w:val="004A64FF"/>
    <w:rsid w:val="004B1801"/>
    <w:rsid w:val="004C5935"/>
    <w:rsid w:val="004D02BD"/>
    <w:rsid w:val="004D39DE"/>
    <w:rsid w:val="004F5748"/>
    <w:rsid w:val="005079E7"/>
    <w:rsid w:val="00512D34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B5C31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0848"/>
    <w:rsid w:val="007760AC"/>
    <w:rsid w:val="007763E5"/>
    <w:rsid w:val="00782985"/>
    <w:rsid w:val="007901BA"/>
    <w:rsid w:val="0079339F"/>
    <w:rsid w:val="007A24C4"/>
    <w:rsid w:val="007A39B0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6789E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6140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4422"/>
    <w:rsid w:val="00CC724C"/>
    <w:rsid w:val="00CE7AB0"/>
    <w:rsid w:val="00CF0E2D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3754"/>
    <w:rsid w:val="00F05B82"/>
    <w:rsid w:val="00F277CB"/>
    <w:rsid w:val="00F44C47"/>
    <w:rsid w:val="00F4596C"/>
    <w:rsid w:val="00F5691F"/>
    <w:rsid w:val="00F74726"/>
    <w:rsid w:val="00F919DB"/>
    <w:rsid w:val="00FA7E06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497383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paragraph" w:customStyle="1" w:styleId="Import18">
    <w:name w:val="Import 18"/>
    <w:basedOn w:val="Normln"/>
    <w:rsid w:val="006B5C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428-2D21-46A7-848A-3A13AB42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Rozmarinová Eliška</cp:lastModifiedBy>
  <cp:revision>2</cp:revision>
  <cp:lastPrinted>2017-12-27T12:26:00Z</cp:lastPrinted>
  <dcterms:created xsi:type="dcterms:W3CDTF">2022-06-27T08:38:00Z</dcterms:created>
  <dcterms:modified xsi:type="dcterms:W3CDTF">2022-06-27T08:38:00Z</dcterms:modified>
</cp:coreProperties>
</file>