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40"/>
          <w:szCs w:val="40"/>
        </w:rPr>
      </w:pPr>
      <w:r>
        <w:rPr>
          <w:rFonts w:ascii="Century Gothic" w:hAnsi="Century Gothic" w:cs="Century Gothic"/>
          <w:b/>
          <w:noProof/>
          <w:sz w:val="40"/>
          <w:szCs w:val="40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14605</wp:posOffset>
            </wp:positionV>
            <wp:extent cx="1423670" cy="69532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1CD" w:rsidRDefault="00A271CD">
      <w:pPr>
        <w:pStyle w:val="Bezmezer"/>
        <w:jc w:val="center"/>
        <w:rPr>
          <w:rFonts w:ascii="Century Gothic" w:hAnsi="Century Gothic" w:cs="Century Gothic"/>
          <w:b/>
          <w:sz w:val="40"/>
          <w:szCs w:val="40"/>
        </w:rPr>
      </w:pPr>
    </w:p>
    <w:p w:rsidR="00A271CD" w:rsidRDefault="00A271CD">
      <w:pPr>
        <w:pStyle w:val="Bezmezer"/>
        <w:jc w:val="center"/>
        <w:rPr>
          <w:rFonts w:ascii="Century Gothic" w:hAnsi="Century Gothic" w:cs="Century Gothic"/>
          <w:b/>
          <w:sz w:val="40"/>
          <w:szCs w:val="4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40"/>
          <w:szCs w:val="40"/>
        </w:rPr>
      </w:pPr>
      <w:r>
        <w:rPr>
          <w:rFonts w:ascii="Century Gothic" w:hAnsi="Century Gothic" w:cs="Century Gothic"/>
          <w:b/>
          <w:sz w:val="40"/>
          <w:szCs w:val="40"/>
        </w:rPr>
        <w:t xml:space="preserve">   Kupní smlouva č. 7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</w:rPr>
        <w:t>na prodej movité věci</w:t>
      </w:r>
    </w:p>
    <w:p w:rsidR="00A271CD" w:rsidRDefault="007B2B36">
      <w:pPr>
        <w:widowControl w:val="0"/>
        <w:jc w:val="center"/>
        <w:rPr>
          <w:rFonts w:ascii="Century Gothic" w:eastAsia="Times New Roman" w:hAnsi="Century Gothic"/>
          <w:bCs/>
          <w:sz w:val="18"/>
          <w:szCs w:val="18"/>
          <w:lang w:eastAsia="cs-CZ"/>
        </w:rPr>
      </w:pPr>
      <w:r>
        <w:rPr>
          <w:rFonts w:ascii="Century Gothic" w:eastAsia="Times New Roman" w:hAnsi="Century Gothic"/>
          <w:bCs/>
          <w:sz w:val="18"/>
          <w:szCs w:val="18"/>
          <w:lang w:eastAsia="cs-CZ"/>
        </w:rPr>
        <w:t xml:space="preserve">uzavřená podle </w:t>
      </w:r>
      <w:proofErr w:type="spellStart"/>
      <w:r>
        <w:rPr>
          <w:rFonts w:ascii="Century Gothic" w:eastAsia="Times New Roman" w:hAnsi="Century Gothic"/>
          <w:bCs/>
          <w:sz w:val="18"/>
          <w:szCs w:val="18"/>
          <w:lang w:eastAsia="cs-CZ"/>
        </w:rPr>
        <w:t>ust</w:t>
      </w:r>
      <w:proofErr w:type="spellEnd"/>
      <w:r>
        <w:rPr>
          <w:rFonts w:ascii="Century Gothic" w:eastAsia="Times New Roman" w:hAnsi="Century Gothic"/>
          <w:bCs/>
          <w:sz w:val="18"/>
          <w:szCs w:val="18"/>
          <w:lang w:eastAsia="cs-CZ"/>
        </w:rPr>
        <w:t xml:space="preserve">. § 2079 a násl. občanského zákoníku č. 89/2012 Sb., ve znění pozdějších předpisů </w:t>
      </w:r>
    </w:p>
    <w:p w:rsidR="00A271CD" w:rsidRDefault="00A271CD">
      <w:pPr>
        <w:widowControl w:val="0"/>
        <w:jc w:val="left"/>
        <w:rPr>
          <w:rFonts w:ascii="Century Gothic" w:eastAsia="Times New Roman" w:hAnsi="Century Gothic"/>
          <w:b/>
          <w:bCs/>
          <w:sz w:val="18"/>
          <w:szCs w:val="18"/>
          <w:lang w:eastAsia="cs-CZ"/>
        </w:rPr>
      </w:pPr>
    </w:p>
    <w:p w:rsidR="00A271CD" w:rsidRDefault="00A271CD">
      <w:pPr>
        <w:pStyle w:val="Bezmezer"/>
        <w:jc w:val="cent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Smluvní strany</w:t>
      </w:r>
      <w:r>
        <w:rPr>
          <w:rFonts w:ascii="Century Gothic" w:hAnsi="Century Gothic" w:cs="Century Gothic"/>
          <w:sz w:val="20"/>
          <w:szCs w:val="20"/>
        </w:rPr>
        <w:t>: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PROMOS ALFA, spol. s r.o.</w:t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Dělnická 51/543</w:t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735 64 </w:t>
      </w:r>
      <w:r>
        <w:rPr>
          <w:rFonts w:ascii="Century Gothic" w:hAnsi="Century Gothic" w:cs="Century Gothic"/>
          <w:sz w:val="20"/>
          <w:szCs w:val="20"/>
        </w:rPr>
        <w:t>Havířov – Suchá</w:t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IČ: 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62302388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DIČ: 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CZ62302388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Bankovní spojení: </w:t>
      </w:r>
      <w:r>
        <w:rPr>
          <w:rFonts w:ascii="Century Gothic" w:hAnsi="Century Gothic" w:cs="Century Gothic"/>
          <w:sz w:val="20"/>
          <w:szCs w:val="20"/>
        </w:rPr>
        <w:tab/>
        <w:t>Komerční banka, a.s.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Číslo účtu: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19-3522760297/0100</w:t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zastoupen: Lukáš </w:t>
      </w:r>
      <w:proofErr w:type="spellStart"/>
      <w:r>
        <w:rPr>
          <w:rFonts w:ascii="Century Gothic" w:hAnsi="Century Gothic" w:cs="Century Gothic"/>
          <w:sz w:val="20"/>
          <w:szCs w:val="20"/>
        </w:rPr>
        <w:t>Papřok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– jednatel tel. 777 940768</w:t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 straně jedné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(dále jen „</w:t>
      </w:r>
      <w:r>
        <w:rPr>
          <w:rFonts w:ascii="Century Gothic" w:hAnsi="Century Gothic" w:cs="Century Gothic"/>
          <w:b/>
          <w:bCs/>
          <w:sz w:val="20"/>
          <w:szCs w:val="20"/>
        </w:rPr>
        <w:t>prodávající</w:t>
      </w:r>
      <w:r>
        <w:rPr>
          <w:rFonts w:ascii="Century Gothic" w:hAnsi="Century Gothic" w:cs="Century Gothic"/>
          <w:sz w:val="20"/>
          <w:szCs w:val="20"/>
        </w:rPr>
        <w:t>“)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5A6ABF">
      <w:pPr>
        <w:pStyle w:val="Bezmezer"/>
        <w:rPr>
          <w:b/>
          <w:bCs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Gymnázium, Karviná, příspěvková organizace</w:t>
      </w:r>
    </w:p>
    <w:p w:rsidR="00A271CD" w:rsidRDefault="005A6ABF">
      <w:pPr>
        <w:pStyle w:val="Bezmezer"/>
      </w:pPr>
      <w:r>
        <w:rPr>
          <w:rFonts w:ascii="Century Gothic" w:hAnsi="Century Gothic" w:cs="Century Gothic"/>
          <w:sz w:val="20"/>
          <w:szCs w:val="20"/>
        </w:rPr>
        <w:t>Mírová 1442</w:t>
      </w:r>
    </w:p>
    <w:p w:rsidR="00A271CD" w:rsidRDefault="005A6ABF">
      <w:pPr>
        <w:pStyle w:val="Bezmezer"/>
      </w:pPr>
      <w:r>
        <w:rPr>
          <w:rFonts w:ascii="Century Gothic" w:hAnsi="Century Gothic" w:cs="Century Gothic"/>
          <w:sz w:val="20"/>
          <w:szCs w:val="20"/>
        </w:rPr>
        <w:t xml:space="preserve">735 </w:t>
      </w:r>
      <w:proofErr w:type="gramStart"/>
      <w:r>
        <w:rPr>
          <w:rFonts w:ascii="Century Gothic" w:hAnsi="Century Gothic" w:cs="Century Gothic"/>
          <w:sz w:val="20"/>
          <w:szCs w:val="20"/>
        </w:rPr>
        <w:t>06  Karviná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– Nové Město</w:t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IČ: </w:t>
      </w:r>
      <w:r w:rsidR="005A6ABF">
        <w:rPr>
          <w:rFonts w:ascii="Century Gothic" w:hAnsi="Century Gothic" w:cs="Century Gothic"/>
          <w:sz w:val="20"/>
          <w:szCs w:val="20"/>
        </w:rPr>
        <w:tab/>
      </w:r>
      <w:r w:rsidR="005A6ABF">
        <w:rPr>
          <w:rFonts w:ascii="Century Gothic" w:hAnsi="Century Gothic" w:cs="Century Gothic"/>
          <w:sz w:val="20"/>
          <w:szCs w:val="20"/>
        </w:rPr>
        <w:tab/>
      </w:r>
      <w:r w:rsidR="005A6ABF">
        <w:rPr>
          <w:rFonts w:ascii="Century Gothic" w:hAnsi="Century Gothic" w:cs="Century Gothic"/>
          <w:sz w:val="20"/>
          <w:szCs w:val="20"/>
        </w:rPr>
        <w:tab/>
        <w:t>62331795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proofErr w:type="gramStart"/>
      <w:r>
        <w:rPr>
          <w:rFonts w:ascii="Century Gothic" w:hAnsi="Century Gothic" w:cs="Century Gothic"/>
          <w:sz w:val="20"/>
          <w:szCs w:val="20"/>
        </w:rPr>
        <w:t xml:space="preserve">DIČ:   </w:t>
      </w:r>
      <w:proofErr w:type="gramEnd"/>
      <w:r w:rsidR="005A6ABF">
        <w:rPr>
          <w:rFonts w:ascii="Century Gothic" w:hAnsi="Century Gothic" w:cs="Century Gothic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Bankovní spojení: </w:t>
      </w:r>
      <w:r w:rsidR="005A6ABF">
        <w:rPr>
          <w:rFonts w:ascii="Century Gothic" w:hAnsi="Century Gothic" w:cs="Century Gothic"/>
          <w:sz w:val="20"/>
          <w:szCs w:val="20"/>
        </w:rPr>
        <w:tab/>
        <w:t>ČSOB, a.s.</w:t>
      </w:r>
      <w:r>
        <w:rPr>
          <w:rFonts w:ascii="Century Gothic" w:hAnsi="Century Gothic" w:cs="Century Gothic"/>
          <w:sz w:val="20"/>
          <w:szCs w:val="20"/>
        </w:rPr>
        <w:tab/>
      </w:r>
      <w:bookmarkStart w:id="0" w:name="_Hlk102743804"/>
      <w:bookmarkEnd w:id="0"/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Číslo účtu: </w:t>
      </w:r>
      <w:r>
        <w:rPr>
          <w:rFonts w:ascii="Century Gothic" w:hAnsi="Century Gothic" w:cs="Century Gothic"/>
          <w:sz w:val="20"/>
          <w:szCs w:val="20"/>
        </w:rPr>
        <w:tab/>
      </w:r>
      <w:r w:rsidR="005A6ABF">
        <w:rPr>
          <w:rFonts w:ascii="Century Gothic" w:hAnsi="Century Gothic" w:cs="Century Gothic"/>
          <w:sz w:val="20"/>
          <w:szCs w:val="20"/>
        </w:rPr>
        <w:t xml:space="preserve">    </w:t>
      </w:r>
      <w:r w:rsidR="005A6ABF">
        <w:rPr>
          <w:rFonts w:ascii="Century Gothic" w:hAnsi="Century Gothic" w:cs="Century Gothic"/>
          <w:sz w:val="20"/>
          <w:szCs w:val="20"/>
        </w:rPr>
        <w:tab/>
        <w:t>170524296/0300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zastoupen: </w:t>
      </w:r>
      <w:r w:rsidR="005A6ABF">
        <w:rPr>
          <w:rFonts w:ascii="Century Gothic" w:hAnsi="Century Gothic" w:cs="Century Gothic"/>
          <w:sz w:val="20"/>
          <w:szCs w:val="20"/>
        </w:rPr>
        <w:t xml:space="preserve">Mgr. Miloš Kučera, ředitel školy </w:t>
      </w: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 straně druhé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(dále jen „</w:t>
      </w:r>
      <w:r>
        <w:rPr>
          <w:rFonts w:ascii="Century Gothic" w:hAnsi="Century Gothic" w:cs="Century Gothic"/>
          <w:b/>
          <w:bCs/>
          <w:sz w:val="20"/>
          <w:szCs w:val="20"/>
        </w:rPr>
        <w:t>kupujíc</w:t>
      </w:r>
      <w:r>
        <w:rPr>
          <w:rFonts w:ascii="Century Gothic" w:hAnsi="Century Gothic" w:cs="Century Gothic"/>
          <w:sz w:val="20"/>
          <w:szCs w:val="20"/>
        </w:rPr>
        <w:t>í“)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uzavírají níže uvedeného dne, měsíce a roku tuto kupní smlouvu (dále je „smlouva“)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A271CD" w:rsidRDefault="00A271CD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I.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Předmět smlouvy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Prodávající se touto smlouvou zavazuje odevzdat kupujícímu následující předmět koupě: 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Smažící pánev BRM120/912 ET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b/>
          <w:bCs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v rozsahu dle cenové nabídky ze dne 7.6.2022 a umožnit mu nabýt k němu vlastnické. Cenová nabídka tvoří přílohu č. 1 této smlouvy.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Cenová nabídka zahrnuje seznam dodávaného zboží, jeho dopravu do místa plnění, instalaci </w:t>
      </w:r>
      <w:r>
        <w:rPr>
          <w:rFonts w:ascii="Century Gothic" w:hAnsi="Century Gothic" w:cs="Century Gothic"/>
          <w:sz w:val="20"/>
          <w:szCs w:val="20"/>
        </w:rPr>
        <w:br/>
        <w:t xml:space="preserve">a zaškolení obsluhy. 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Cenová nabídka nezahrnuje stavební úpravy, vybudování sítí, změny v rozvodech sítí a ostatní změny prostor, kam má být zboží dodáno a instalováno (dále jen stavební připravenost). 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Kupující se touto smlouvou zavazuje předmět koupě převzít a zaplatit prodávajícímu kupní cenu sjednanou v článku II. této smlouvy. 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Jakékoliv následné změny předmětu koupě je možné provést pouze na základě dodatku k této smlouvě, který vedle změny předmětu smlouvy bude obsahovat také vliv změny na cenu a termín dodání. 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II.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Kupní cena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Kupní cena za celý předmět koupě uvedený v článku I. této smlouvy byla sjednána dohodou souladu s cenovou nabídkou ve výši celkem </w:t>
      </w:r>
      <w:r>
        <w:rPr>
          <w:rFonts w:ascii="Century Gothic" w:hAnsi="Century Gothic" w:cs="Century Gothic"/>
          <w:b/>
          <w:bCs/>
          <w:sz w:val="20"/>
          <w:szCs w:val="20"/>
        </w:rPr>
        <w:t>202.917</w:t>
      </w:r>
      <w:r>
        <w:rPr>
          <w:rFonts w:ascii="Century Gothic" w:hAnsi="Century Gothic" w:cs="Century Gothic"/>
          <w:sz w:val="20"/>
          <w:szCs w:val="20"/>
        </w:rPr>
        <w:t xml:space="preserve">,- Kč slovy: ( </w:t>
      </w:r>
      <w:hyperlink r:id="rId8">
        <w:proofErr w:type="spellStart"/>
        <w:r>
          <w:rPr>
            <w:rStyle w:val="Internetovodkaz"/>
            <w:rFonts w:ascii="Century Gothic" w:hAnsi="Century Gothic" w:cs="Arial"/>
            <w:color w:val="000000"/>
            <w:sz w:val="20"/>
            <w:szCs w:val="20"/>
            <w:u w:val="none"/>
            <w:shd w:val="clear" w:color="auto" w:fill="FFFFFF"/>
          </w:rPr>
          <w:t>d</w:t>
        </w:r>
      </w:hyperlink>
      <w:r>
        <w:rPr>
          <w:rStyle w:val="Internetovodkaz"/>
          <w:rFonts w:ascii="Century Gothic" w:hAnsi="Century Gothic" w:cs="Arial"/>
          <w:color w:val="000000"/>
          <w:sz w:val="20"/>
          <w:szCs w:val="20"/>
          <w:u w:val="none"/>
          <w:shd w:val="clear" w:color="auto" w:fill="FFFFFF"/>
        </w:rPr>
        <w:t>věstědvatisícdevětsetsedmnáct</w:t>
      </w:r>
      <w:proofErr w:type="spellEnd"/>
      <w:r>
        <w:rPr>
          <w:rFonts w:ascii="Century Gothic" w:hAnsi="Century Gothic"/>
          <w:sz w:val="20"/>
          <w:szCs w:val="20"/>
        </w:rPr>
        <w:t xml:space="preserve"> korun českých)</w:t>
      </w:r>
      <w:r>
        <w:rPr>
          <w:rStyle w:val="spellorig"/>
          <w:rFonts w:ascii="Century Gothic" w:hAnsi="Century Gothic" w:cs="Arial"/>
          <w:sz w:val="20"/>
          <w:szCs w:val="20"/>
          <w:shd w:val="clear" w:color="auto" w:fill="FFFFFF"/>
        </w:rPr>
        <w:t xml:space="preserve"> včetně</w:t>
      </w:r>
      <w:r>
        <w:rPr>
          <w:rFonts w:ascii="Century Gothic" w:hAnsi="Century Gothic" w:cs="Century Gothic"/>
          <w:sz w:val="20"/>
          <w:szCs w:val="20"/>
        </w:rPr>
        <w:t xml:space="preserve"> DPH.</w:t>
      </w: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Cena je splatná na účet prodávajícího, uvedený v záhlaví této smlouvy, a to takto:</w:t>
      </w:r>
    </w:p>
    <w:p w:rsidR="00A271CD" w:rsidRDefault="007B2B36">
      <w:pPr>
        <w:pStyle w:val="Bezmezer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kupní cenu na základě faktury, konečná faktura bude vystavena po převzetí předmětu koupě kupujícím.</w:t>
      </w:r>
    </w:p>
    <w:p w:rsidR="00A271CD" w:rsidRDefault="00A271CD">
      <w:pPr>
        <w:pStyle w:val="Bezmezer"/>
        <w:spacing w:line="276" w:lineRule="auto"/>
        <w:ind w:left="720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Lhůta splatnosti každé faktury se stanoví na 10 dní od jejího doručení kupujícímu.  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 dobu prodlení kupujícího s úhradou zálohové faktury se prodlužuje termín dodání a instalace předmětu koupě. V případě prodlení kupujícího s úhradou jakékoliv faktury delšího než 30 dnů má prodávající právo od této smlouvy odstoupit.</w:t>
      </w:r>
    </w:p>
    <w:p w:rsidR="00A271CD" w:rsidRDefault="007B2B36">
      <w:pPr>
        <w:rPr>
          <w:rFonts w:ascii="Century Gothic" w:eastAsia="NSimSun" w:hAnsi="Century Gothic" w:cs="TimesNewRomanPSMT"/>
          <w:sz w:val="20"/>
          <w:szCs w:val="20"/>
        </w:rPr>
      </w:pPr>
      <w:r>
        <w:rPr>
          <w:rFonts w:ascii="Century Gothic" w:eastAsia="NSimSun" w:hAnsi="Century Gothic" w:cs="TimesNewRomanPSMT"/>
          <w:sz w:val="20"/>
          <w:szCs w:val="20"/>
        </w:rPr>
        <w:t xml:space="preserve">Práva odstoupit od smlouvy může využít každá ze smluvních stran dle příslušných   platných </w:t>
      </w:r>
      <w:r>
        <w:rPr>
          <w:rFonts w:ascii="Century Gothic" w:eastAsia="NSimSun" w:hAnsi="Century Gothic" w:cs="TimesNewRomanPSMT"/>
          <w:sz w:val="20"/>
          <w:szCs w:val="20"/>
        </w:rPr>
        <w:br/>
        <w:t>a zákonem stanovených důvodů.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III.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Nabytí vlastnictví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Kupující nabude vlastnické právo k předmětu koupě úplným zaplacením kupní ceny.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Nebezpečí škody na věci přechází na kupujícího předáním předmětu koupě.</w:t>
      </w:r>
    </w:p>
    <w:p w:rsidR="005A6ABF" w:rsidRDefault="005A6ABF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5A6ABF" w:rsidRDefault="005A6ABF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b/>
          <w:sz w:val="20"/>
          <w:szCs w:val="2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lastRenderedPageBreak/>
        <w:t>IV.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Termín dodání, místo plnění a převzetí předmětu koupě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Místem plnění </w:t>
      </w:r>
      <w:proofErr w:type="gramStart"/>
      <w:r>
        <w:rPr>
          <w:rFonts w:ascii="Century Gothic" w:hAnsi="Century Gothic" w:cs="Century Gothic"/>
          <w:sz w:val="20"/>
          <w:szCs w:val="20"/>
        </w:rPr>
        <w:t xml:space="preserve">je:  </w:t>
      </w:r>
      <w:r>
        <w:rPr>
          <w:rFonts w:ascii="Century Gothic" w:hAnsi="Century Gothic" w:cs="Century Gothic"/>
          <w:b/>
          <w:bCs/>
          <w:sz w:val="20"/>
          <w:szCs w:val="20"/>
        </w:rPr>
        <w:t>Gymnázium</w:t>
      </w:r>
      <w:proofErr w:type="gramEnd"/>
      <w:r w:rsidR="005A6ABF">
        <w:rPr>
          <w:rFonts w:ascii="Century Gothic" w:hAnsi="Century Gothic" w:cs="Century Gothic"/>
          <w:b/>
          <w:bCs/>
          <w:sz w:val="20"/>
          <w:szCs w:val="20"/>
        </w:rPr>
        <w:t>,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Karviná, </w:t>
      </w:r>
      <w:r w:rsidR="005A6ABF">
        <w:rPr>
          <w:rFonts w:ascii="Century Gothic" w:hAnsi="Century Gothic" w:cs="Century Gothic"/>
          <w:b/>
          <w:bCs/>
          <w:sz w:val="20"/>
          <w:szCs w:val="20"/>
        </w:rPr>
        <w:t xml:space="preserve">příspěvková org., </w:t>
      </w:r>
      <w:r>
        <w:rPr>
          <w:rFonts w:ascii="Century Gothic" w:hAnsi="Century Gothic" w:cs="Century Gothic"/>
          <w:b/>
          <w:bCs/>
          <w:sz w:val="20"/>
          <w:szCs w:val="20"/>
        </w:rPr>
        <w:t>Mírová 1442, Karviná</w:t>
      </w:r>
      <w:r w:rsidR="005A6ABF">
        <w:rPr>
          <w:rFonts w:ascii="Century Gothic" w:hAnsi="Century Gothic" w:cs="Century Gothic"/>
          <w:b/>
          <w:bCs/>
          <w:sz w:val="20"/>
          <w:szCs w:val="20"/>
        </w:rPr>
        <w:t>-Nové Město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Předmět koupě bude dodán a nainstalován po podpisu této smlouvy v období letních prázdnin, nejpozději však do 31.8.2022. 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Kupující převezme předmět koupě na výzvu prodávajícího. Drobné vady a nedodělky, které         nebrání běžnému užívání předmětu koupě, nejsou důvodem k odmítnutí převzetí předmětu koupě.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O předání předmětu koupě bude vyhotoven protokol/záznam, ve kterém bude uveden seznam případných vad a nedodělků a termín pro jejich odstranění, případně v něm bude uvedeno, že kupující převzal předmět koupě bez výhrad. 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V.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Záruka za jakost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Prodávající spolu s předmětem koupě předá kupujícímu návod k obsluze, harmonogram               předepsaných prohlídek a servisních intervalů a další doklady nutné k provozování a údržbě      předmětu koupě.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Prodávající poskytuje kupujícímu na předmět koupě záruku za jakost v trvání </w:t>
      </w:r>
      <w:r>
        <w:rPr>
          <w:rFonts w:ascii="Century Gothic" w:hAnsi="Century Gothic" w:cs="Century Gothic"/>
          <w:b/>
          <w:bCs/>
          <w:sz w:val="20"/>
          <w:szCs w:val="20"/>
        </w:rPr>
        <w:t>24 měsíců</w:t>
      </w:r>
      <w:r>
        <w:rPr>
          <w:rFonts w:ascii="Century Gothic" w:hAnsi="Century Gothic" w:cs="Century Gothic"/>
          <w:sz w:val="20"/>
          <w:szCs w:val="20"/>
        </w:rPr>
        <w:t xml:space="preserve"> od jeho převzetí. Práva z vad předmětu koupě krytých zárukou je třeba uplatnit bez zbytečného odkladu poté, kdy budou zjištěny, a to emailem na adresu </w:t>
      </w:r>
      <w:hyperlink r:id="rId9">
        <w:r>
          <w:rPr>
            <w:rStyle w:val="Internetovodkaz"/>
            <w:rFonts w:ascii="Century Gothic" w:hAnsi="Century Gothic" w:cs="Century Gothic"/>
            <w:sz w:val="20"/>
            <w:szCs w:val="20"/>
          </w:rPr>
          <w:t>servis@promosalfa.cz</w:t>
        </w:r>
      </w:hyperlink>
      <w:r>
        <w:rPr>
          <w:rFonts w:ascii="Century Gothic" w:hAnsi="Century Gothic" w:cs="Century Gothic"/>
          <w:sz w:val="20"/>
          <w:szCs w:val="20"/>
        </w:rPr>
        <w:t xml:space="preserve">, popřípadě telefonicky na číslo 59641358. 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pStyle w:val="Bezmezer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Práva ze záruky zanikají v případě: nedodržení roční zákonné prohlídky spotřebičů,</w:t>
      </w:r>
    </w:p>
    <w:p w:rsidR="00A271CD" w:rsidRDefault="007B2B36">
      <w:pPr>
        <w:pStyle w:val="Bezmezer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nedodržení servisního intervalu předepsaného výrobcem,</w:t>
      </w:r>
    </w:p>
    <w:p w:rsidR="00A271CD" w:rsidRDefault="007B2B36">
      <w:pPr>
        <w:pStyle w:val="Bezmezer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běžného opotřebení,</w:t>
      </w:r>
    </w:p>
    <w:p w:rsidR="00A271CD" w:rsidRDefault="007B2B36">
      <w:pPr>
        <w:pStyle w:val="Bezmezer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vad součástí, jejichž samotná životnost je kratší než 24 měsíců, v tomto případě platí záruční doba v délce obvyklé životnosti součásti,</w:t>
      </w:r>
    </w:p>
    <w:p w:rsidR="00A271CD" w:rsidRDefault="007B2B36">
      <w:pPr>
        <w:pStyle w:val="Bezmezer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neodborného zacházení s předmětem koupě, nedostatku odborné péče nebo zanedbání údržby,</w:t>
      </w:r>
    </w:p>
    <w:p w:rsidR="00A271CD" w:rsidRDefault="007B2B36">
      <w:pPr>
        <w:pStyle w:val="Bezmezer"/>
        <w:numPr>
          <w:ilvl w:val="0"/>
          <w:numId w:val="1"/>
        </w:numPr>
        <w:spacing w:line="276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neoprávněného zásahu do předmětu koupě.</w:t>
      </w:r>
    </w:p>
    <w:p w:rsidR="00A271CD" w:rsidRDefault="00A271CD">
      <w:pPr>
        <w:pStyle w:val="Bezmezer"/>
        <w:spacing w:line="276" w:lineRule="auto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A271CD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VII.</w:t>
      </w:r>
    </w:p>
    <w:p w:rsidR="00A271CD" w:rsidRDefault="007B2B36">
      <w:pPr>
        <w:pStyle w:val="Bezmezer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Ustanovení společná a závěrečná</w:t>
      </w:r>
    </w:p>
    <w:p w:rsidR="00A271CD" w:rsidRDefault="00A271CD">
      <w:pPr>
        <w:pStyle w:val="Bezmezer"/>
        <w:rPr>
          <w:rFonts w:ascii="Century Gothic" w:hAnsi="Century Gothic" w:cs="Century Gothic"/>
          <w:sz w:val="20"/>
          <w:szCs w:val="20"/>
        </w:rPr>
      </w:pPr>
    </w:p>
    <w:p w:rsidR="00A271CD" w:rsidRDefault="007B2B36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59" w:lineRule="auto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>Práva a povinnosti neupravené touto smlouvou se řídí příslušnými ustanoveními občanského           zákoníku a souvisejícími právními předpisy právního řádu ČR.</w:t>
      </w:r>
    </w:p>
    <w:p w:rsidR="00A271CD" w:rsidRDefault="007B2B36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59" w:lineRule="auto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>Změny a doplňky této smlouvy je možné činit pouze po dohodě smluvních stran formou písemných vzestupně číslovaných dodatků.</w:t>
      </w:r>
    </w:p>
    <w:p w:rsidR="00A271CD" w:rsidRDefault="007B2B36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59" w:lineRule="auto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lastRenderedPageBreak/>
        <w:t>Smlouva byla vyhotovená ve dvou vyhotoveních, z nichž každá smluvní strana obdrží po jednom stejnopisu. Každý stejnopis má právní sílu originálu.</w:t>
      </w:r>
    </w:p>
    <w:p w:rsidR="00A271CD" w:rsidRDefault="007B2B36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59" w:lineRule="auto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Prodávající, jenž se podílí na dodávce služeb hrazených z veřejných výdajů, je dle zákona    č.320/2001 Sb., o finanční kontrole ve veřejné správě a o změně některých zákonů, ve znění         pozdějších předpisů, osobou povinnou spolupůsobit při výkonu finanční kontroly (§ 2 odst. e) </w:t>
      </w:r>
      <w:r>
        <w:rPr>
          <w:rFonts w:ascii="Century Gothic" w:eastAsia="Times New Roman" w:hAnsi="Century Gothic"/>
          <w:sz w:val="20"/>
          <w:szCs w:val="20"/>
          <w:lang w:eastAsia="cs-CZ"/>
        </w:rPr>
        <w:br/>
        <w:t>citovaného zákona) a poskytovat požadované údaje kontrolním orgánům dle obecně závazných právních předpisů.</w:t>
      </w:r>
    </w:p>
    <w:p w:rsidR="00A271CD" w:rsidRDefault="007B2B36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59" w:lineRule="auto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Kupující informoval druhou smluvní stranu, že je povinným subjektem ve smyslu zákona     č.340/2015 Sb., o registru smluv. Smluvní strany se dohodly, že v případě, kdy tato smlouva podléhá povinnosti uveřejnění v registru smluv dle citovaného zákona, bude subjektem, který vloží smlouvu do registru smluv kupující, a to i v případě, kdy druhou smluvní stranou bude rovněž povinný                                            subjekt z   citovaného zákona. </w:t>
      </w:r>
    </w:p>
    <w:p w:rsidR="00A271CD" w:rsidRDefault="007B2B36">
      <w:pPr>
        <w:tabs>
          <w:tab w:val="left" w:pos="426"/>
          <w:tab w:val="left" w:pos="1134"/>
        </w:tabs>
        <w:spacing w:after="160" w:line="259" w:lineRule="auto"/>
        <w:rPr>
          <w:rFonts w:ascii="Century Gothic" w:eastAsia="PMingLiU" w:hAnsi="Century Gothic"/>
          <w:sz w:val="20"/>
          <w:szCs w:val="20"/>
          <w:lang w:eastAsia="zh-TW"/>
        </w:rPr>
      </w:pPr>
      <w:r>
        <w:rPr>
          <w:rFonts w:ascii="Century Gothic" w:eastAsia="PMingLiU" w:hAnsi="Century Gothic"/>
          <w:sz w:val="20"/>
          <w:szCs w:val="20"/>
          <w:lang w:eastAsia="zh-TW"/>
        </w:rPr>
        <w:t>Osobní údaje uvedené v této smlouvě budou zpracovávány pouze za účelem plnění této smlouvy.  Smluvní strany jsou si vědomy, že jsou v postavení příjemce osobních údajů a musí nakládat s   osobními údaji druhé smluvní strany dle obecného nařízení Evropského parlamentu a Rady (EU) 2016/679 (GDPR) a dle zákona č.110/2019 Sb., o zpracování osobních údajů.</w:t>
      </w:r>
    </w:p>
    <w:p w:rsidR="00A271CD" w:rsidRDefault="007B2B36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59" w:lineRule="auto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>Smluvní strany prohlašují, že si tuto smlouvu před jejím podpisem přečetly, že   byla    uzavřena      po vzájemném projednání, podle jejich pravé a svobodné vůle, určitě, vážně a srozumitelně, nikoli       v tísni za nápadně nevýhodných podmínek. Autentičnost této smlouvy potvrzují svým podpisem.</w:t>
      </w:r>
    </w:p>
    <w:p w:rsidR="00A271CD" w:rsidRDefault="007B2B36">
      <w:pPr>
        <w:spacing w:after="160" w:line="259" w:lineRule="auto"/>
        <w:rPr>
          <w:rFonts w:ascii="Century Gothic" w:eastAsia="Times New Roman" w:hAnsi="Century Gothic"/>
          <w:sz w:val="20"/>
          <w:szCs w:val="20"/>
          <w:lang w:eastAsia="cs-CZ"/>
        </w:rPr>
      </w:pPr>
      <w:r>
        <w:rPr>
          <w:rFonts w:ascii="Century Gothic" w:eastAsia="Times New Roman" w:hAnsi="Century Gothic"/>
          <w:sz w:val="20"/>
          <w:szCs w:val="20"/>
          <w:lang w:eastAsia="cs-CZ"/>
        </w:rPr>
        <w:t>Případná neplatnost některého ustanovení této smlouvy nemá za následek neplatnost ostatních ustanovení této smlouvy.</w:t>
      </w:r>
    </w:p>
    <w:p w:rsidR="00A271CD" w:rsidRDefault="007B2B36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59" w:lineRule="auto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>Tato smlouva se stává platnou a účinnou dnem podpisu této smlouvy oběma smluvními stranami.</w:t>
      </w:r>
    </w:p>
    <w:p w:rsidR="00A271CD" w:rsidRDefault="007B2B36">
      <w:pPr>
        <w:tabs>
          <w:tab w:val="left" w:pos="1418"/>
        </w:tabs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ab/>
      </w:r>
    </w:p>
    <w:p w:rsidR="00A271CD" w:rsidRDefault="00A271CD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left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</w:p>
    <w:p w:rsidR="00A271CD" w:rsidRDefault="00A271CD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left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</w:p>
    <w:p w:rsidR="00A271CD" w:rsidRDefault="007B2B36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jc w:val="left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>V</w:t>
      </w:r>
      <w:r>
        <w:rPr>
          <w:rFonts w:ascii="Century Gothic" w:eastAsia="Times New Roman" w:hAnsi="Century Gothic"/>
          <w:sz w:val="20"/>
          <w:szCs w:val="20"/>
          <w:lang w:eastAsia="cs-CZ"/>
        </w:rPr>
        <w:t xml:space="preserve"> Havířově </w:t>
      </w: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>dne</w:t>
      </w:r>
      <w:r w:rsidR="00341113"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 xml:space="preserve"> 21.6.2022</w:t>
      </w: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ab/>
      </w: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ab/>
      </w:r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ab/>
        <w:t xml:space="preserve">V Karviné dne </w:t>
      </w:r>
      <w:r w:rsidR="00341113"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>21.6.2022</w:t>
      </w:r>
      <w:bookmarkStart w:id="1" w:name="_GoBack"/>
      <w:bookmarkEnd w:id="1"/>
      <w:r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  <w:t xml:space="preserve">              </w:t>
      </w:r>
    </w:p>
    <w:p w:rsidR="00A271CD" w:rsidRDefault="00A27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left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</w:p>
    <w:p w:rsidR="00A271CD" w:rsidRDefault="00A271CD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left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</w:p>
    <w:p w:rsidR="00A271CD" w:rsidRDefault="00A271CD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left"/>
        <w:rPr>
          <w:rFonts w:ascii="Century Gothic" w:eastAsia="Times New Roman" w:hAnsi="Century Gothic"/>
          <w:sz w:val="20"/>
          <w:szCs w:val="20"/>
          <w:shd w:val="clear" w:color="auto" w:fill="FFFFFF"/>
          <w:lang w:eastAsia="cs-CZ"/>
        </w:rPr>
      </w:pPr>
    </w:p>
    <w:p w:rsidR="00A271CD" w:rsidRDefault="00A271CD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left"/>
        <w:rPr>
          <w:rFonts w:ascii="Times New Roman" w:eastAsia="Times New Roman" w:hAnsi="Times New Roman"/>
          <w:sz w:val="20"/>
          <w:szCs w:val="20"/>
          <w:shd w:val="clear" w:color="auto" w:fill="FFFFFF"/>
          <w:lang w:eastAsia="cs-CZ"/>
        </w:rPr>
      </w:pPr>
    </w:p>
    <w:p w:rsidR="00A271CD" w:rsidRDefault="007B2B36">
      <w:pPr>
        <w:pStyle w:val="Bezmezer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                                                           …………………………………</w:t>
      </w:r>
      <w:r>
        <w:rPr>
          <w:rFonts w:ascii="Century Gothic" w:hAnsi="Century Gothic" w:cs="Century Gothic"/>
          <w:sz w:val="20"/>
          <w:szCs w:val="20"/>
        </w:rPr>
        <w:t xml:space="preserve">.. </w:t>
      </w:r>
    </w:p>
    <w:p w:rsidR="00A271CD" w:rsidRDefault="007B2B36">
      <w:pPr>
        <w:widowControl w:val="0"/>
        <w:ind w:right="72"/>
        <w:rPr>
          <w:rFonts w:ascii="Century Gothic" w:eastAsia="Times New Roman" w:hAnsi="Century Gothic"/>
          <w:bCs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 w:cs="Century Gothic"/>
          <w:sz w:val="20"/>
          <w:szCs w:val="20"/>
        </w:rPr>
        <w:t xml:space="preserve">              Prodávající                                                                                               Kupující</w:t>
      </w:r>
    </w:p>
    <w:p w:rsidR="00A271CD" w:rsidRDefault="007B2B36">
      <w:pPr>
        <w:pStyle w:val="Bezmezer"/>
        <w:tabs>
          <w:tab w:val="left" w:pos="3672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</w:p>
    <w:sectPr w:rsidR="00A271CD">
      <w:footerReference w:type="default" r:id="rId10"/>
      <w:pgSz w:w="11906" w:h="16838"/>
      <w:pgMar w:top="1417" w:right="1417" w:bottom="2206" w:left="1417" w:header="0" w:footer="1417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63" w:rsidRDefault="00EB4B63">
      <w:r>
        <w:separator/>
      </w:r>
    </w:p>
  </w:endnote>
  <w:endnote w:type="continuationSeparator" w:id="0">
    <w:p w:rsidR="00EB4B63" w:rsidRDefault="00E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1CD" w:rsidRDefault="007B2B3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63" w:rsidRDefault="00EB4B63">
      <w:r>
        <w:separator/>
      </w:r>
    </w:p>
  </w:footnote>
  <w:footnote w:type="continuationSeparator" w:id="0">
    <w:p w:rsidR="00EB4B63" w:rsidRDefault="00EB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5027"/>
    <w:multiLevelType w:val="multilevel"/>
    <w:tmpl w:val="5B4E2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D92CD1"/>
    <w:multiLevelType w:val="multilevel"/>
    <w:tmpl w:val="0E74E5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CD"/>
    <w:rsid w:val="00113CAA"/>
    <w:rsid w:val="00341113"/>
    <w:rsid w:val="005A6ABF"/>
    <w:rsid w:val="006C27E5"/>
    <w:rsid w:val="007B2B36"/>
    <w:rsid w:val="00877E82"/>
    <w:rsid w:val="008F0E5D"/>
    <w:rsid w:val="009E7605"/>
    <w:rsid w:val="00A271CD"/>
    <w:rsid w:val="00E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32A8"/>
  <w15:docId w15:val="{0CB92F88-4D00-4CF2-A6EF-B068BF3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 w:val="0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szCs w:val="24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3097"/>
    <w:rPr>
      <w:rFonts w:ascii="Segoe UI" w:eastAsia="Calibri" w:hAnsi="Segoe UI" w:cs="Segoe UI"/>
      <w:sz w:val="18"/>
      <w:szCs w:val="18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626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626B"/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626B"/>
    <w:rPr>
      <w:rFonts w:ascii="Calibri" w:eastAsia="Calibri" w:hAnsi="Calibri" w:cs="Times New Roman"/>
      <w:b/>
      <w:bCs/>
      <w:sz w:val="20"/>
      <w:szCs w:val="20"/>
      <w:lang w:bidi="ar-SA"/>
    </w:rPr>
  </w:style>
  <w:style w:type="character" w:customStyle="1" w:styleId="slovndk">
    <w:name w:val="Číslování řádků"/>
  </w:style>
  <w:style w:type="character" w:customStyle="1" w:styleId="Internetovodkaz">
    <w:name w:val="Internetový odkaz"/>
    <w:basedOn w:val="Standardnpsmoodstavce"/>
    <w:uiPriority w:val="99"/>
    <w:semiHidden/>
    <w:unhideWhenUsed/>
    <w:rsid w:val="00C1782A"/>
    <w:rPr>
      <w:color w:val="0000FF"/>
      <w:u w:val="single"/>
    </w:rPr>
  </w:style>
  <w:style w:type="character" w:customStyle="1" w:styleId="spellorig">
    <w:name w:val="spell_orig"/>
    <w:basedOn w:val="Standardnpsmoodstavce"/>
    <w:qFormat/>
    <w:rsid w:val="00C1782A"/>
  </w:style>
  <w:style w:type="character" w:styleId="Siln">
    <w:name w:val="Strong"/>
    <w:basedOn w:val="Standardnpsmoodstavce"/>
    <w:qFormat/>
    <w:rsid w:val="00B8085A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350308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50308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Times New Roman" w:eastAsia="Times New Roman" w:hAnsi="Times New Roman"/>
      <w:sz w:val="20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pPr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703"/>
        <w:tab w:val="right" w:pos="9406"/>
      </w:tabs>
    </w:pPr>
  </w:style>
  <w:style w:type="paragraph" w:styleId="Zpat">
    <w:name w:val="footer"/>
    <w:basedOn w:val="Zhlavazpat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309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62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626B"/>
    <w:rPr>
      <w:b/>
      <w:bCs/>
    </w:rPr>
  </w:style>
  <w:style w:type="paragraph" w:styleId="Revize">
    <w:name w:val="Revision"/>
    <w:uiPriority w:val="99"/>
    <w:semiHidden/>
    <w:qFormat/>
    <w:rsid w:val="00A45141"/>
    <w:pPr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Default">
    <w:name w:val="Default"/>
    <w:qFormat/>
    <w:rsid w:val="00B8085A"/>
    <w:pPr>
      <w:jc w:val="both"/>
    </w:pPr>
    <w:rPr>
      <w:rFonts w:ascii="Times New Roman" w:eastAsia="Times New Roman" w:hAnsi="Times New Roman" w:cs="Times New Roman"/>
      <w:color w:val="000000"/>
      <w:lang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350308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unhideWhenUsed/>
    <w:rsid w:val="0035030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authuser=1&amp;sxsrf=ALiCzsZtJJc86RCxIiO8xL0eVqXnoekpcg:1651763465370&amp;q=sto+jedna+tis&#237;c+p&#283;t+set+dvacet+dev&#283;t&amp;spell=1&amp;sa=X&amp;ved=2ahUKEwjC-uu00sj3AhUTRuUKHddHCU0QkeECKAB6BAgBE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s@promosalf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Crhová</cp:lastModifiedBy>
  <cp:revision>6</cp:revision>
  <cp:lastPrinted>2022-06-16T07:47:00Z</cp:lastPrinted>
  <dcterms:created xsi:type="dcterms:W3CDTF">2022-06-16T07:26:00Z</dcterms:created>
  <dcterms:modified xsi:type="dcterms:W3CDTF">2022-06-24T07:03:00Z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2014-06-18T06:11:00Z</dcterms:created>
  <dc:creator>Jirka</dc:creator>
  <dc:description/>
  <dc:language>cs-CZ</dc:language>
  <cp:lastModifiedBy/>
  <cp:lastPrinted>2014-04-08T10:39:00Z</cp:lastPrinted>
  <dcterms:modified xsi:type="dcterms:W3CDTF">2022-06-14T13:11:58Z</dcterms:modified>
  <cp:revision>18</cp:revision>
  <dc:subject/>
  <dc:title/>
</cp:coreProperties>
</file>