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EB41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OSO00043 </w:t>
      </w:r>
    </w:p>
    <w:p w14:paraId="3B2208F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3BE9205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F49CA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32BE1BC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657F9BF2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B8E8B0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5678458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5F10896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18737508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205D741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3C3C964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B5E643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6F3812FB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553D2895" w14:textId="0A845FC7" w:rsidR="005A5801" w:rsidRPr="005A5801" w:rsidRDefault="0075134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64AD0A5" w14:textId="595E9042" w:rsidR="005A5801" w:rsidRDefault="0075134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1F330EBA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04C8C5AC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255411A1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535258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2ED964C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FAB847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2051B61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CCC Czech, s.r.o. </w:t>
      </w:r>
    </w:p>
    <w:p w14:paraId="38F81C80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Českomoravská 2420/15, 190 00 Praha - Libeň </w:t>
      </w:r>
    </w:p>
    <w:p w14:paraId="216A202F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26848601 </w:t>
      </w:r>
    </w:p>
    <w:p w14:paraId="7F618210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5AC79B98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CZ26848601 </w:t>
      </w:r>
    </w:p>
    <w:p w14:paraId="36A8F2C2" w14:textId="77777777" w:rsidR="00941C15" w:rsidRDefault="00941C15" w:rsidP="00941C1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Mgr.</w:t>
      </w:r>
      <w:r>
        <w:rPr>
          <w:rFonts w:ascii="Century Gothic" w:hAnsi="Century Gothic" w:cs="Arial"/>
          <w:sz w:val="22"/>
        </w:rPr>
        <w:t xml:space="preserve"> Roman</w:t>
      </w:r>
      <w:r w:rsidRPr="00A72A3F">
        <w:rPr>
          <w:rFonts w:ascii="Century Gothic" w:hAnsi="Century Gothic" w:cs="Arial"/>
          <w:sz w:val="22"/>
        </w:rPr>
        <w:t xml:space="preserve"> PUCHALA</w:t>
      </w:r>
    </w:p>
    <w:p w14:paraId="0A75BC78" w14:textId="77777777" w:rsidR="00941C15" w:rsidRDefault="00941C15" w:rsidP="00941C1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Marek KLABAL</w:t>
      </w:r>
      <w:r>
        <w:rPr>
          <w:rFonts w:ascii="Century Gothic" w:hAnsi="Century Gothic" w:cs="Arial"/>
          <w:sz w:val="22"/>
        </w:rPr>
        <w:t xml:space="preserve"> – na základě plné moci</w:t>
      </w:r>
    </w:p>
    <w:p w14:paraId="61CBFFB7" w14:textId="77777777" w:rsidR="00941C15" w:rsidRDefault="00941C15" w:rsidP="00941C1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Prodejna CCC, Pražská 2498, Pe</w:t>
      </w:r>
      <w:r w:rsidR="009D7640">
        <w:rPr>
          <w:rFonts w:ascii="Century Gothic" w:hAnsi="Century Gothic" w:cs="Arial"/>
          <w:sz w:val="22"/>
        </w:rPr>
        <w:t>lhřimov</w:t>
      </w:r>
      <w:r>
        <w:rPr>
          <w:rFonts w:ascii="Century Gothic" w:hAnsi="Century Gothic" w:cs="Arial"/>
          <w:sz w:val="22"/>
        </w:rPr>
        <w:t>, IČP: 1009312880</w:t>
      </w:r>
    </w:p>
    <w:p w14:paraId="6A1DEB31" w14:textId="77777777" w:rsidR="00941C15" w:rsidRPr="00D71BE8" w:rsidRDefault="00941C15" w:rsidP="00941C1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Českomoravská 2420/15, 190 00 Praha - Libeň</w:t>
      </w:r>
    </w:p>
    <w:p w14:paraId="18D49D3B" w14:textId="23DB6443" w:rsidR="00941C15" w:rsidRPr="00D71BE8" w:rsidRDefault="00941C15" w:rsidP="00941C1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r w:rsidR="00751341">
        <w:rPr>
          <w:rFonts w:ascii="Century Gothic" w:hAnsi="Century Gothic" w:cs="Arial"/>
          <w:sz w:val="22"/>
        </w:rPr>
        <w:t>xxx</w:t>
      </w:r>
    </w:p>
    <w:p w14:paraId="2FA09F86" w14:textId="672DAC17" w:rsidR="00941C15" w:rsidRPr="00D71BE8" w:rsidRDefault="00941C15" w:rsidP="00941C1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751341">
        <w:rPr>
          <w:rFonts w:ascii="Century Gothic" w:hAnsi="Century Gothic" w:cs="Arial"/>
          <w:sz w:val="22"/>
        </w:rPr>
        <w:t>xxx</w:t>
      </w:r>
    </w:p>
    <w:p w14:paraId="4014AF45" w14:textId="2EE278C8" w:rsidR="00941C15" w:rsidRPr="00D71BE8" w:rsidRDefault="00941C15" w:rsidP="00941C1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r w:rsidR="00751341">
        <w:rPr>
          <w:rFonts w:ascii="Century Gothic" w:hAnsi="Century Gothic" w:cs="Arial"/>
          <w:sz w:val="22"/>
        </w:rPr>
        <w:t>xxx</w:t>
      </w:r>
    </w:p>
    <w:p w14:paraId="7494D0DD" w14:textId="77777777" w:rsidR="00941C15" w:rsidRPr="00D71BE8" w:rsidRDefault="00941C15" w:rsidP="00941C1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>
        <w:rPr>
          <w:rFonts w:ascii="Century Gothic" w:hAnsi="Century Gothic" w:cs="Arial"/>
          <w:sz w:val="22"/>
        </w:rPr>
        <w:t xml:space="preserve">  </w:t>
      </w:r>
      <w:r w:rsidRPr="00D42086">
        <w:rPr>
          <w:rFonts w:ascii="Century Gothic" w:hAnsi="Century Gothic" w:cs="Arial"/>
          <w:sz w:val="22"/>
        </w:rPr>
        <w:t>5397772/0800</w:t>
      </w:r>
    </w:p>
    <w:p w14:paraId="0C1DB695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6AF2353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EF6214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42928BFB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B10F98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422FC6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772F9671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77AB733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7711E0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999491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8967FD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0B3AF61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 xml:space="preserve">Předmětem této smlouvy je </w:t>
      </w:r>
      <w:r w:rsidR="00C900AF" w:rsidRPr="00837524">
        <w:rPr>
          <w:rFonts w:ascii="Century Gothic" w:hAnsi="Century Gothic"/>
        </w:rPr>
        <w:t>odstranění jednotlivých</w:t>
      </w:r>
      <w:r w:rsidRPr="00837524">
        <w:rPr>
          <w:rFonts w:ascii="Century Gothic" w:hAnsi="Century Gothic"/>
        </w:rPr>
        <w:t xml:space="preserve">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785BE644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789DAA39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53983FB9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2D16F28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A207E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E170A5A" w14:textId="77777777" w:rsidR="00FB7BA7" w:rsidRDefault="00FB7BA7" w:rsidP="00C900AF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4F5172F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9871C8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5F5F02B8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5AF84135" w14:textId="77777777" w:rsidR="003E137F" w:rsidRPr="003E137F" w:rsidRDefault="003E137F" w:rsidP="003E137F"/>
    <w:p w14:paraId="00EA6B7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C298C92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6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21029CCD" w14:textId="77777777" w:rsidR="00837524" w:rsidRPr="00772AAB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FF0000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30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</w:t>
      </w:r>
      <w:r w:rsidR="00497EDB" w:rsidRPr="00C900AF">
        <w:rPr>
          <w:rFonts w:ascii="Century Gothic" w:hAnsi="Century Gothic" w:cs="Arial"/>
          <w:sz w:val="22"/>
        </w:rPr>
        <w:t>.</w:t>
      </w:r>
      <w:r w:rsidR="00772AAB" w:rsidRPr="00C900AF">
        <w:rPr>
          <w:rFonts w:ascii="Century Gothic" w:hAnsi="Century Gothic" w:cs="Arial"/>
          <w:sz w:val="22"/>
        </w:rPr>
        <w:t xml:space="preserve"> Oprávněným vrácení faktury přestává běžet původní lhůta splatnosti, opravená nebo přepracovaná faktura bude opatřena novou lhůtou </w:t>
      </w:r>
      <w:r w:rsidR="00C900AF" w:rsidRPr="00C900AF">
        <w:rPr>
          <w:rFonts w:ascii="Century Gothic" w:hAnsi="Century Gothic" w:cs="Arial"/>
          <w:sz w:val="22"/>
        </w:rPr>
        <w:t>splatnosti</w:t>
      </w:r>
      <w:r w:rsidR="00772AAB" w:rsidRPr="00C900AF">
        <w:rPr>
          <w:rFonts w:ascii="Century Gothic" w:hAnsi="Century Gothic" w:cs="Arial"/>
          <w:sz w:val="22"/>
        </w:rPr>
        <w:t>.</w:t>
      </w:r>
    </w:p>
    <w:p w14:paraId="7C4628A7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</w:t>
      </w:r>
      <w:r w:rsidR="00C900AF" w:rsidRPr="00C84B75">
        <w:rPr>
          <w:rFonts w:ascii="Century Gothic" w:hAnsi="Century Gothic" w:cs="Arial"/>
          <w:sz w:val="22"/>
        </w:rPr>
        <w:t>nákladových</w:t>
      </w:r>
      <w:r w:rsidR="00C900AF">
        <w:rPr>
          <w:rFonts w:ascii="Century Gothic" w:hAnsi="Century Gothic" w:cs="Arial"/>
          <w:sz w:val="22"/>
        </w:rPr>
        <w:t xml:space="preserve"> vstupů</w:t>
      </w:r>
      <w:r w:rsidR="00DE55C0">
        <w:rPr>
          <w:rFonts w:ascii="Century Gothic" w:hAnsi="Century Gothic" w:cs="Arial"/>
          <w:sz w:val="22"/>
        </w:rPr>
        <w:t>.</w:t>
      </w:r>
    </w:p>
    <w:p w14:paraId="2A929A1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2EFF5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7074870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D72A643" w14:textId="77777777" w:rsidR="00B11BE4" w:rsidRDefault="00B11BE4" w:rsidP="00B11BE4"/>
    <w:p w14:paraId="72612D4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51408CB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3CA2062C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2ED3A931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090E832A" w14:textId="77777777" w:rsidR="00237267" w:rsidRDefault="00237267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</w:p>
    <w:p w14:paraId="0CCA84E1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0585C1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8D0D815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EFE8AA7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619E728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5AC5D61A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72B384ED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6BFF5DFF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EC6010A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4D22AAC8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45FEA5CE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552B9FE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5A37456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B2B8EB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6CF99E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B111F8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0B1C54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94A960F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3D6BAB9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6A2C0A8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CC5D017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BCCBAC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8263585" w14:textId="77777777" w:rsidR="00237267" w:rsidRPr="00C84B75" w:rsidRDefault="00237267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CDFDEE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0376DE2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234FAF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58BF705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</w:t>
      </w:r>
      <w:r w:rsidR="008E02D8">
        <w:rPr>
          <w:rFonts w:ascii="Century Gothic" w:hAnsi="Century Gothic"/>
          <w:b/>
        </w:rPr>
        <w:t>7</w:t>
      </w:r>
      <w:r w:rsidR="0086510E" w:rsidRPr="0086510E">
        <w:rPr>
          <w:rFonts w:ascii="Century Gothic" w:hAnsi="Century Gothic"/>
          <w:b/>
        </w:rPr>
        <w:t>.2022</w:t>
      </w:r>
      <w:r w:rsidR="0086510E">
        <w:rPr>
          <w:rFonts w:ascii="Century Gothic" w:hAnsi="Century Gothic"/>
          <w:b/>
        </w:rPr>
        <w:t xml:space="preserve"> </w:t>
      </w:r>
    </w:p>
    <w:p w14:paraId="2590643F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F627ECF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70A78E55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 xml:space="preserve">Původci jsou oprávněni od smlouvy odstoupit, jestliže oprávněná osoba neplní povinnosti vyplývající z této smlouvy řádně a včas. </w:t>
      </w:r>
      <w:r w:rsidR="008E02D8">
        <w:rPr>
          <w:rFonts w:ascii="Century Gothic" w:hAnsi="Century Gothic" w:cs="Arial"/>
          <w:sz w:val="22"/>
        </w:rPr>
        <w:t xml:space="preserve">Oprávněná osoba je oprávněna od smlouvy odstoupit, jestliže původce nezaplatí ani po písemném upozornění o neprovedení úhrady smluvní cenu. </w:t>
      </w:r>
      <w:r>
        <w:rPr>
          <w:rFonts w:ascii="Century Gothic" w:hAnsi="Century Gothic" w:cs="Arial"/>
          <w:sz w:val="22"/>
        </w:rPr>
        <w:t xml:space="preserve">Odstoupení nabývá účinnosti </w:t>
      </w:r>
      <w:r w:rsidR="00237267">
        <w:rPr>
          <w:rFonts w:ascii="Century Gothic" w:hAnsi="Century Gothic" w:cs="Arial"/>
          <w:sz w:val="22"/>
        </w:rPr>
        <w:t xml:space="preserve">patnáctým </w:t>
      </w:r>
      <w:r>
        <w:rPr>
          <w:rFonts w:ascii="Century Gothic" w:hAnsi="Century Gothic" w:cs="Arial"/>
          <w:sz w:val="22"/>
        </w:rPr>
        <w:t>dnem následujícím po dni prokazatelného doručení jeho písemného vyhotovení druhé smluvní straně.</w:t>
      </w:r>
    </w:p>
    <w:p w14:paraId="670C497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D6C2EEE" w14:textId="77777777" w:rsidR="00237267" w:rsidRDefault="0023726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A51373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38C092F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ED236D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18DAECA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6377646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7654C346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2CD4432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621DAC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3BD3F949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4E0F474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3B2F306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1C60108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2C668DE4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755E39E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3AE0E14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602E889A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lastRenderedPageBreak/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822415">
        <w:rPr>
          <w:rFonts w:ascii="Century Gothic" w:hAnsi="Century Gothic" w:cs="Arial"/>
          <w:sz w:val="22"/>
        </w:rPr>
        <w:t>316/2021-2.</w:t>
      </w:r>
    </w:p>
    <w:p w14:paraId="743B5DCC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8A63DB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258F10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EE561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69A52C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28F2435B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710EC0A3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237267">
        <w:rPr>
          <w:rFonts w:ascii="Century Gothic" w:hAnsi="Century Gothic"/>
          <w:sz w:val="22"/>
          <w:szCs w:val="22"/>
        </w:rPr>
        <w:t>21</w:t>
      </w:r>
      <w:r w:rsidR="0086510E" w:rsidRPr="0086510E">
        <w:rPr>
          <w:rFonts w:ascii="Century Gothic" w:hAnsi="Century Gothic"/>
          <w:sz w:val="22"/>
          <w:szCs w:val="22"/>
        </w:rPr>
        <w:t>.</w:t>
      </w:r>
      <w:r w:rsidR="008E02D8">
        <w:rPr>
          <w:rFonts w:ascii="Century Gothic" w:hAnsi="Century Gothic"/>
          <w:sz w:val="22"/>
          <w:szCs w:val="22"/>
        </w:rPr>
        <w:t>6</w:t>
      </w:r>
      <w:r w:rsidR="0086510E" w:rsidRPr="0086510E">
        <w:rPr>
          <w:rFonts w:ascii="Century Gothic" w:hAnsi="Century Gothic"/>
          <w:sz w:val="22"/>
          <w:szCs w:val="22"/>
        </w:rPr>
        <w:t>.2022</w:t>
      </w:r>
    </w:p>
    <w:p w14:paraId="5E013176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6ED36CA2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3FFB6ADA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2B3F0B88" w14:textId="77777777" w:rsidR="006967BA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2CAA2E2F" w14:textId="77777777" w:rsidR="006967BA" w:rsidRDefault="006967BA" w:rsidP="00837524">
      <w:pPr>
        <w:rPr>
          <w:rFonts w:ascii="Century Gothic" w:hAnsi="Century Gothic"/>
          <w:sz w:val="22"/>
          <w:szCs w:val="22"/>
        </w:rPr>
      </w:pPr>
    </w:p>
    <w:p w14:paraId="17BA8962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6A3532F1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15F02630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38F5C2B9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473C1164" w14:textId="77777777" w:rsidR="001A7157" w:rsidRDefault="001A7157" w:rsidP="00837524">
      <w:pPr>
        <w:pStyle w:val="Zkladntext3"/>
      </w:pPr>
    </w:p>
    <w:p w14:paraId="66740F87" w14:textId="77777777" w:rsidR="00000906" w:rsidRDefault="00000906" w:rsidP="00837524">
      <w:pPr>
        <w:pStyle w:val="Zkladntext3"/>
      </w:pPr>
    </w:p>
    <w:p w14:paraId="0D84A4F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34B90899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398B94E6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3ADC01B0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5399761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D7120E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809293E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4280271C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70994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955585">
    <w:abstractNumId w:val="1"/>
  </w:num>
  <w:num w:numId="3" w16cid:durableId="616133575">
    <w:abstractNumId w:val="4"/>
  </w:num>
  <w:num w:numId="4" w16cid:durableId="1989241424">
    <w:abstractNumId w:val="3"/>
  </w:num>
  <w:num w:numId="5" w16cid:durableId="15535384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433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105921">
    <w:abstractNumId w:val="9"/>
  </w:num>
  <w:num w:numId="8" w16cid:durableId="147790741">
    <w:abstractNumId w:val="0"/>
  </w:num>
  <w:num w:numId="9" w16cid:durableId="1284382921">
    <w:abstractNumId w:val="5"/>
  </w:num>
  <w:num w:numId="10" w16cid:durableId="1777359032">
    <w:abstractNumId w:val="8"/>
  </w:num>
  <w:num w:numId="11" w16cid:durableId="1191454092">
    <w:abstractNumId w:val="6"/>
  </w:num>
  <w:num w:numId="12" w16cid:durableId="557983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62BD4"/>
    <w:rsid w:val="00096FAD"/>
    <w:rsid w:val="00106378"/>
    <w:rsid w:val="001A233C"/>
    <w:rsid w:val="001A7157"/>
    <w:rsid w:val="001B6035"/>
    <w:rsid w:val="00237267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967BA"/>
    <w:rsid w:val="006A2C74"/>
    <w:rsid w:val="00747039"/>
    <w:rsid w:val="00751341"/>
    <w:rsid w:val="00772AAB"/>
    <w:rsid w:val="00786402"/>
    <w:rsid w:val="007A5345"/>
    <w:rsid w:val="007B41CA"/>
    <w:rsid w:val="007E7C98"/>
    <w:rsid w:val="00803E09"/>
    <w:rsid w:val="00822415"/>
    <w:rsid w:val="00837524"/>
    <w:rsid w:val="00846359"/>
    <w:rsid w:val="0086510E"/>
    <w:rsid w:val="00866D24"/>
    <w:rsid w:val="008E02D8"/>
    <w:rsid w:val="00916A40"/>
    <w:rsid w:val="009250E4"/>
    <w:rsid w:val="009318CF"/>
    <w:rsid w:val="00935A51"/>
    <w:rsid w:val="009376DC"/>
    <w:rsid w:val="00941C15"/>
    <w:rsid w:val="0098509E"/>
    <w:rsid w:val="0099027F"/>
    <w:rsid w:val="00991835"/>
    <w:rsid w:val="009D1FE2"/>
    <w:rsid w:val="009D3BB1"/>
    <w:rsid w:val="009D5077"/>
    <w:rsid w:val="009D7640"/>
    <w:rsid w:val="00A3300F"/>
    <w:rsid w:val="00A47C9D"/>
    <w:rsid w:val="00A52287"/>
    <w:rsid w:val="00A72A3F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44001"/>
    <w:rsid w:val="00C52A88"/>
    <w:rsid w:val="00C71B04"/>
    <w:rsid w:val="00C73BD0"/>
    <w:rsid w:val="00C84B75"/>
    <w:rsid w:val="00C900AF"/>
    <w:rsid w:val="00CC4F7C"/>
    <w:rsid w:val="00CE35DC"/>
    <w:rsid w:val="00D179A1"/>
    <w:rsid w:val="00D2012C"/>
    <w:rsid w:val="00D42086"/>
    <w:rsid w:val="00D71BE8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AC67C"/>
  <w14:defaultImageDpi w14:val="0"/>
  <w15:docId w15:val="{3C2ED5F0-7880-4E49-8A9E-554763C0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sp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1E7B-43BA-4BAE-81CC-566ACE77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2022-06-24T05:19:00Z</dcterms:created>
  <dcterms:modified xsi:type="dcterms:W3CDTF">2022-06-24T05:20:00Z</dcterms:modified>
</cp:coreProperties>
</file>