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AB6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2366A6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OPV00034</w:t>
      </w:r>
    </w:p>
    <w:p w14:paraId="6C9DD9E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EBD21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BBEA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C30201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D4C3A0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05BA57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6E7AE9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1224B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BABA3A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gramStart"/>
      <w:r w:rsidR="00A927D5" w:rsidRPr="00A927D5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A927D5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22B29D2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944CCA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F6D250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932A92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78F2F2D" w14:textId="26C3A4C7" w:rsidR="00771707" w:rsidRPr="00771707" w:rsidRDefault="008C213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B11C988" w14:textId="4BC0C979" w:rsidR="00771707" w:rsidRPr="0031123C" w:rsidRDefault="008C213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46D4DBB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04BEB5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B90D59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E5F63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C6943A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D54E60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D0AB47A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CCC Czech, s.r.o.</w:t>
      </w:r>
      <w:r>
        <w:rPr>
          <w:color w:val="auto"/>
        </w:rPr>
        <w:t xml:space="preserve"> </w:t>
      </w:r>
    </w:p>
    <w:p w14:paraId="5EBA7CD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Českomoravská 2420/15, 190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3355349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26848601</w:t>
      </w:r>
    </w:p>
    <w:p w14:paraId="66CFDD9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F76094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CZ26848601</w:t>
      </w:r>
    </w:p>
    <w:p w14:paraId="7E4E0369" w14:textId="77777777" w:rsidR="007F019E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7F019E" w:rsidRPr="00A72A3F">
        <w:rPr>
          <w:rFonts w:ascii="Century Gothic" w:hAnsi="Century Gothic" w:cs="Arial"/>
          <w:sz w:val="22"/>
        </w:rPr>
        <w:t>Mgr.</w:t>
      </w:r>
      <w:r w:rsidR="007F019E">
        <w:rPr>
          <w:rFonts w:ascii="Century Gothic" w:hAnsi="Century Gothic" w:cs="Arial"/>
          <w:sz w:val="22"/>
        </w:rPr>
        <w:t xml:space="preserve"> Roman</w:t>
      </w:r>
      <w:r w:rsidR="00A72A3F" w:rsidRPr="00A72A3F">
        <w:rPr>
          <w:rFonts w:ascii="Century Gothic" w:hAnsi="Century Gothic" w:cs="Arial"/>
          <w:sz w:val="22"/>
        </w:rPr>
        <w:t xml:space="preserve"> PUCHALA</w:t>
      </w:r>
    </w:p>
    <w:p w14:paraId="11E5DC91" w14:textId="77777777" w:rsidR="007F019E" w:rsidRDefault="007F019E" w:rsidP="007F019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Marek KLABAL</w:t>
      </w:r>
      <w:r>
        <w:rPr>
          <w:rFonts w:ascii="Century Gothic" w:hAnsi="Century Gothic" w:cs="Arial"/>
          <w:sz w:val="22"/>
        </w:rPr>
        <w:t xml:space="preserve"> – na základě plné moci</w:t>
      </w:r>
    </w:p>
    <w:p w14:paraId="3A4B5F3F" w14:textId="77777777" w:rsidR="007F019E" w:rsidRDefault="007F019E" w:rsidP="007F019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Prodejna CCC, Pražská 2498, Pe</w:t>
      </w:r>
      <w:r w:rsidR="00836A9B">
        <w:rPr>
          <w:rFonts w:ascii="Century Gothic" w:hAnsi="Century Gothic" w:cs="Arial"/>
          <w:sz w:val="22"/>
        </w:rPr>
        <w:t>lhřimov</w:t>
      </w:r>
      <w:r>
        <w:rPr>
          <w:rFonts w:ascii="Century Gothic" w:hAnsi="Century Gothic" w:cs="Arial"/>
          <w:sz w:val="22"/>
        </w:rPr>
        <w:t>, IČP: 1009312880</w:t>
      </w:r>
    </w:p>
    <w:p w14:paraId="7891D30B" w14:textId="77777777" w:rsidR="00827D8B" w:rsidRPr="00D71BE8" w:rsidRDefault="008B02F9" w:rsidP="007F019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F019E" w:rsidRPr="00D71BE8">
        <w:rPr>
          <w:rFonts w:ascii="Century Gothic" w:hAnsi="Century Gothic" w:cs="Arial"/>
          <w:bCs/>
          <w:sz w:val="22"/>
          <w:szCs w:val="22"/>
        </w:rPr>
        <w:t xml:space="preserve">Českomoravská 2420/15, 190 00 </w:t>
      </w:r>
      <w:proofErr w:type="gramStart"/>
      <w:r w:rsidR="007F019E"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0D5A4110" w14:textId="2C6D577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C2130">
        <w:rPr>
          <w:rFonts w:ascii="Century Gothic" w:hAnsi="Century Gothic" w:cs="Arial"/>
          <w:sz w:val="22"/>
        </w:rPr>
        <w:t>xxx</w:t>
      </w:r>
      <w:proofErr w:type="spellEnd"/>
    </w:p>
    <w:p w14:paraId="5A7EC439" w14:textId="45A0B62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C2130">
        <w:rPr>
          <w:rFonts w:ascii="Century Gothic" w:hAnsi="Century Gothic" w:cs="Arial"/>
          <w:sz w:val="22"/>
        </w:rPr>
        <w:t>xxx</w:t>
      </w:r>
      <w:proofErr w:type="spellEnd"/>
    </w:p>
    <w:p w14:paraId="4C3AAE80" w14:textId="7FBEB03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C2130">
        <w:rPr>
          <w:rFonts w:ascii="Century Gothic" w:hAnsi="Century Gothic" w:cs="Arial"/>
          <w:sz w:val="22"/>
        </w:rPr>
        <w:t>xxx</w:t>
      </w:r>
      <w:proofErr w:type="spellEnd"/>
    </w:p>
    <w:p w14:paraId="02453EA5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5397772/0800</w:t>
      </w:r>
    </w:p>
    <w:p w14:paraId="3580E0C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C3B61C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D21C31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3470A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6A97C2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F4CBD5A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E08F14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1DD50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B81BD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B44BA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6BD3496" w14:textId="77777777" w:rsidR="008F5CC8" w:rsidRPr="00D42086" w:rsidRDefault="00140EBA" w:rsidP="0073153B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63973A6D" w14:textId="77777777" w:rsidR="00140EBA" w:rsidRPr="00D42086" w:rsidRDefault="008F5CC8" w:rsidP="0073153B">
      <w:pPr>
        <w:pStyle w:val="Zkladntext"/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</w:t>
      </w:r>
      <w:r w:rsidR="001D39F8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>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3BA962EE" w14:textId="77777777" w:rsidR="00140EBA" w:rsidRPr="00D42086" w:rsidRDefault="00140EBA" w:rsidP="001D39F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C451D8C" w14:textId="77777777" w:rsidR="00140EBA" w:rsidRPr="00D42086" w:rsidRDefault="001D39F8" w:rsidP="0073153B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ind w:left="714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="00140EBA" w:rsidRPr="00D42086">
        <w:rPr>
          <w:rFonts w:ascii="Century Gothic" w:hAnsi="Century Gothic" w:cs="Arial"/>
          <w:sz w:val="22"/>
        </w:rPr>
        <w:t xml:space="preserve"> v souladu se všemi všeobecně závaznými právními předpisy a dle schválených platných Provozních řádů jednotlivých zařízení. </w:t>
      </w:r>
    </w:p>
    <w:p w14:paraId="328B82F0" w14:textId="77777777" w:rsidR="00140EBA" w:rsidRPr="00D42086" w:rsidRDefault="001D39F8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   </w:t>
      </w:r>
      <w:r w:rsidR="00140EBA"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D2B0D6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AED91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9CA9CD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CF0F13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2630C39" w14:textId="77777777" w:rsidR="009D5077" w:rsidRPr="009D5077" w:rsidRDefault="009D5077" w:rsidP="009D5077"/>
    <w:p w14:paraId="1CD8AB7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F37D0DF" w14:textId="77777777" w:rsidR="00431033" w:rsidRPr="00D42086" w:rsidRDefault="00FD2A19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1)</w:t>
      </w:r>
      <w:r w:rsidR="00140EBA"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</w:t>
      </w:r>
      <w:proofErr w:type="gramStart"/>
      <w:r w:rsidR="00C21717" w:rsidRPr="00D42086">
        <w:rPr>
          <w:rFonts w:ascii="Century Gothic" w:hAnsi="Century Gothic" w:cs="Arial"/>
          <w:sz w:val="22"/>
        </w:rPr>
        <w:t xml:space="preserve">č.1 </w:t>
      </w:r>
      <w:r w:rsidR="00B50577" w:rsidRPr="00D42086">
        <w:rPr>
          <w:rFonts w:ascii="Century Gothic" w:hAnsi="Century Gothic" w:cs="Arial"/>
          <w:sz w:val="22"/>
        </w:rPr>
        <w:t xml:space="preserve"> k</w:t>
      </w:r>
      <w:proofErr w:type="gramEnd"/>
      <w:r w:rsidR="00B50577" w:rsidRPr="00D42086">
        <w:rPr>
          <w:rFonts w:ascii="Century Gothic" w:hAnsi="Century Gothic" w:cs="Arial"/>
          <w:sz w:val="22"/>
        </w:rPr>
        <w:t xml:space="preserve">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5B54DB85" w14:textId="77777777" w:rsidR="008C78B2" w:rsidRPr="00870932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 xml:space="preserve">na </w:t>
      </w:r>
      <w:r w:rsidR="00B4195C" w:rsidRPr="00B4195C">
        <w:rPr>
          <w:rFonts w:ascii="Century Gothic" w:hAnsi="Century Gothic" w:cs="Arial"/>
          <w:b/>
          <w:bCs/>
          <w:sz w:val="22"/>
        </w:rPr>
        <w:t>30</w:t>
      </w:r>
      <w:r w:rsidR="00B4195C">
        <w:rPr>
          <w:rFonts w:ascii="Century Gothic" w:hAnsi="Century Gothic" w:cs="Arial"/>
          <w:b/>
          <w:bCs/>
          <w:sz w:val="22"/>
        </w:rPr>
        <w:t xml:space="preserve"> </w:t>
      </w:r>
      <w:proofErr w:type="gramStart"/>
      <w:r w:rsidR="00036F51" w:rsidRPr="0073153B">
        <w:rPr>
          <w:rFonts w:ascii="Century Gothic" w:hAnsi="Century Gothic" w:cs="Arial"/>
          <w:b/>
          <w:bCs/>
          <w:sz w:val="22"/>
        </w:rPr>
        <w:t>dnů</w:t>
      </w:r>
      <w:proofErr w:type="gramEnd"/>
      <w:r w:rsidR="00036F51" w:rsidRPr="00D42086">
        <w:rPr>
          <w:rFonts w:ascii="Century Gothic" w:hAnsi="Century Gothic" w:cs="Arial"/>
          <w:sz w:val="22"/>
        </w:rPr>
        <w:t xml:space="preserve">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</w:t>
      </w:r>
      <w:proofErr w:type="gramStart"/>
      <w:r w:rsidR="008C78B2" w:rsidRPr="00D42086">
        <w:rPr>
          <w:rFonts w:ascii="Century Gothic" w:hAnsi="Century Gothic" w:cs="Arial"/>
          <w:sz w:val="22"/>
        </w:rPr>
        <w:t>předpisů  a</w:t>
      </w:r>
      <w:proofErr w:type="gramEnd"/>
      <w:r w:rsidR="008C78B2" w:rsidRPr="00D42086">
        <w:rPr>
          <w:rFonts w:ascii="Century Gothic" w:hAnsi="Century Gothic" w:cs="Arial"/>
          <w:sz w:val="22"/>
        </w:rPr>
        <w:t xml:space="preserve"> zákona č.235/2004 Sb., o dani z přidané  hodnoty, ve znění pozdějších předpisů. Původce má právo vrátit fakturu před lhůtou splatnosti, pokud neobsahuje požadované náležitosti nebo obsahuje nesprávné cenové údaje</w:t>
      </w:r>
      <w:r w:rsidR="008C78B2" w:rsidRPr="00870932">
        <w:rPr>
          <w:rFonts w:ascii="Century Gothic" w:hAnsi="Century Gothic" w:cs="Arial"/>
          <w:sz w:val="22"/>
        </w:rPr>
        <w:t>.</w:t>
      </w:r>
      <w:r w:rsidR="000A0277" w:rsidRPr="00870932">
        <w:rPr>
          <w:rFonts w:ascii="Century Gothic" w:hAnsi="Century Gothic" w:cs="Arial"/>
          <w:sz w:val="22"/>
        </w:rPr>
        <w:t xml:space="preserve"> Oprávněným vrácením faktury přestává běžet původní lhůta splatnosti, opravená nebo přepracovaná faktura bude opatřena novou lhůtou splatnosti.</w:t>
      </w:r>
    </w:p>
    <w:p w14:paraId="6176555B" w14:textId="77777777" w:rsidR="00140EBA" w:rsidRPr="00D42086" w:rsidRDefault="00FD2A19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C21717" w:rsidRPr="00D42086">
        <w:rPr>
          <w:rFonts w:ascii="Century Gothic" w:hAnsi="Century Gothic" w:cs="Arial"/>
          <w:sz w:val="22"/>
        </w:rPr>
        <w:t>3)</w:t>
      </w: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</w:t>
      </w:r>
      <w:r w:rsidR="000A0277" w:rsidRPr="00D42086">
        <w:rPr>
          <w:rFonts w:ascii="Century Gothic" w:hAnsi="Century Gothic" w:cs="Arial"/>
          <w:sz w:val="22"/>
        </w:rPr>
        <w:t xml:space="preserve">nákladových </w:t>
      </w:r>
      <w:proofErr w:type="gramStart"/>
      <w:r w:rsidR="000A0277" w:rsidRPr="00D42086">
        <w:rPr>
          <w:rFonts w:ascii="Century Gothic" w:hAnsi="Century Gothic" w:cs="Arial"/>
          <w:sz w:val="22"/>
        </w:rPr>
        <w:t>vstupů</w:t>
      </w:r>
      <w:proofErr w:type="gramEnd"/>
      <w:r w:rsidR="00140EBA" w:rsidRPr="00D42086">
        <w:rPr>
          <w:rFonts w:ascii="Century Gothic" w:hAnsi="Century Gothic" w:cs="Arial"/>
          <w:sz w:val="22"/>
        </w:rPr>
        <w:t xml:space="preserve"> a to vždy formou písemného dodatku k této smlouvě.</w:t>
      </w:r>
    </w:p>
    <w:p w14:paraId="13B56E4F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25595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864AA8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8EE5D7F" w14:textId="77777777" w:rsidR="009D5077" w:rsidRPr="009D5077" w:rsidRDefault="009D5077" w:rsidP="009D5077"/>
    <w:p w14:paraId="1B85BF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5080771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012758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F33C96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0C377C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5D7AA3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DAB044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4CF3BD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D381F4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D14645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25977D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D57CCC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C5794F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6FA4A5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B03463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7AAB9C6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A5C76E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31E0B362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44E8A1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13BBB8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1539E4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5AB492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CE2F95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047292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AC263A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435B16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B0A109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2A5FA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A4160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EE099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F3F4F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10ACB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62CF64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5F14F1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574403B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7D102A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85FBE19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C0CA179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2B9B5103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07FA07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</w:t>
      </w:r>
      <w:proofErr w:type="gramStart"/>
      <w:r w:rsidR="00140EBA" w:rsidRPr="00C84B75">
        <w:rPr>
          <w:rFonts w:ascii="Century Gothic" w:hAnsi="Century Gothic" w:cs="Arial"/>
          <w:sz w:val="22"/>
        </w:rPr>
        <w:t>místo</w:t>
      </w:r>
      <w:proofErr w:type="gramEnd"/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B3B5D1B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F6F9BEA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7BD53C6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5439ED6" w14:textId="77777777" w:rsidR="00140EBA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E312B4B" w14:textId="77777777" w:rsidR="00F61283" w:rsidRPr="00F61283" w:rsidRDefault="00F61283" w:rsidP="00F61283">
      <w:pPr>
        <w:numPr>
          <w:ilvl w:val="0"/>
          <w:numId w:val="20"/>
        </w:numPr>
        <w:tabs>
          <w:tab w:val="left" w:pos="360"/>
        </w:tabs>
        <w:ind w:left="357" w:hanging="357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F56B4E3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2C663DBC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695B23E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87CF6C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D145A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0EA80DF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F5EADE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</w:t>
      </w:r>
      <w:r w:rsidR="00CA3897" w:rsidRPr="00CA3897">
        <w:rPr>
          <w:rFonts w:ascii="Century Gothic" w:hAnsi="Century Gothic" w:cs="Arial"/>
          <w:sz w:val="22"/>
        </w:rPr>
        <w:t xml:space="preserve">kalendářní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5E43187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F0D7B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34785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9E54BC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98517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</w:t>
      </w:r>
      <w:r w:rsidR="00EE1AB3">
        <w:rPr>
          <w:rFonts w:ascii="Century Gothic" w:hAnsi="Century Gothic"/>
          <w:b/>
        </w:rPr>
        <w:t>7</w:t>
      </w:r>
      <w:r w:rsidR="00D42086" w:rsidRPr="00D42086">
        <w:rPr>
          <w:rFonts w:ascii="Century Gothic" w:hAnsi="Century Gothic"/>
          <w:b/>
        </w:rPr>
        <w:t>.2022</w:t>
      </w:r>
      <w:r w:rsidR="004A5EB8" w:rsidRPr="00D42086">
        <w:rPr>
          <w:rFonts w:ascii="Century Gothic" w:hAnsi="Century Gothic"/>
          <w:b/>
        </w:rPr>
        <w:t>.</w:t>
      </w:r>
    </w:p>
    <w:p w14:paraId="2A79B24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9B8E6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657EB34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 xml:space="preserve">Původci jsou oprávněni od smlouvy odstoupit, jestliže oprávněná osoba neplní povinnosti vyplývající z této smlouvy řádně a včas. Oprávněná osoba je oprávněna od smlouvy odstoupit, jestliže původce nezaplatí </w:t>
      </w:r>
      <w:r w:rsidR="00EE1AB3">
        <w:rPr>
          <w:rFonts w:ascii="Century Gothic" w:hAnsi="Century Gothic" w:cs="Arial"/>
          <w:sz w:val="22"/>
        </w:rPr>
        <w:t xml:space="preserve">ani po písemném upozornění o neprovedení úhrady </w:t>
      </w:r>
      <w:r>
        <w:rPr>
          <w:rFonts w:ascii="Century Gothic" w:hAnsi="Century Gothic" w:cs="Arial"/>
          <w:sz w:val="22"/>
        </w:rPr>
        <w:t>smluvní cenu.</w:t>
      </w:r>
      <w:r w:rsidR="00EE1AB3">
        <w:rPr>
          <w:rFonts w:ascii="Century Gothic" w:hAnsi="Century Gothic" w:cs="Arial"/>
          <w:sz w:val="22"/>
        </w:rPr>
        <w:t xml:space="preserve">  </w:t>
      </w:r>
      <w:r>
        <w:rPr>
          <w:rFonts w:ascii="Century Gothic" w:hAnsi="Century Gothic" w:cs="Arial"/>
          <w:sz w:val="22"/>
        </w:rPr>
        <w:t xml:space="preserve">Odstoupení nabývá účinnosti </w:t>
      </w:r>
      <w:r w:rsidR="00D6796F">
        <w:rPr>
          <w:rFonts w:ascii="Century Gothic" w:hAnsi="Century Gothic" w:cs="Arial"/>
          <w:sz w:val="22"/>
        </w:rPr>
        <w:t xml:space="preserve">patnáctým </w:t>
      </w:r>
      <w:r>
        <w:rPr>
          <w:rFonts w:ascii="Century Gothic" w:hAnsi="Century Gothic" w:cs="Arial"/>
          <w:sz w:val="22"/>
        </w:rPr>
        <w:t>dnem následujícím po dni prokazatelného doručení jeho písemného vyhotovení druhé smluvní straně.</w:t>
      </w:r>
    </w:p>
    <w:p w14:paraId="48AFE3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B8E2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5D8F9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FDACED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83D01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0773CE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00B7CFF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lastRenderedPageBreak/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26B2C4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316ECF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18E0D2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</w:t>
      </w:r>
      <w:proofErr w:type="gramStart"/>
      <w:r w:rsidRPr="00C84B75">
        <w:rPr>
          <w:rFonts w:ascii="Century Gothic" w:hAnsi="Century Gothic" w:cs="Arial"/>
          <w:sz w:val="22"/>
        </w:rPr>
        <w:t>Sb..</w:t>
      </w:r>
      <w:proofErr w:type="gramEnd"/>
      <w:r w:rsidRPr="00C84B75">
        <w:rPr>
          <w:rFonts w:ascii="Century Gothic" w:hAnsi="Century Gothic" w:cs="Arial"/>
          <w:sz w:val="22"/>
        </w:rPr>
        <w:t xml:space="preserve"> Zveřejnění smlouvy provede oprávněná osoba. </w:t>
      </w:r>
    </w:p>
    <w:p w14:paraId="119B303B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k </w:t>
      </w:r>
      <w:r w:rsidR="00CA3897" w:rsidRPr="00CA3897">
        <w:rPr>
          <w:rFonts w:ascii="Century Gothic" w:hAnsi="Century Gothic" w:cs="Arial"/>
          <w:sz w:val="22"/>
        </w:rPr>
        <w:t>jejich zveřejnění</w:t>
      </w:r>
      <w:r w:rsidR="00CA3897">
        <w:rPr>
          <w:rFonts w:ascii="Century Gothic" w:hAnsi="Century Gothic" w:cs="Arial"/>
          <w:color w:val="FF0000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>v Registru smluv.</w:t>
      </w:r>
    </w:p>
    <w:p w14:paraId="0995F2D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58928C3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091A1B9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9A07C51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CCE05D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6C20D52" w14:textId="77777777" w:rsidR="00140EBA" w:rsidRPr="00574761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74761">
        <w:rPr>
          <w:rFonts w:ascii="Century Gothic" w:hAnsi="Century Gothic" w:cs="Arial"/>
          <w:sz w:val="22"/>
        </w:rPr>
        <w:t xml:space="preserve">9)  </w:t>
      </w:r>
      <w:r w:rsidR="00574761" w:rsidRPr="00574761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B16AE8">
        <w:rPr>
          <w:rFonts w:ascii="Century Gothic" w:hAnsi="Century Gothic" w:cs="Arial"/>
          <w:sz w:val="22"/>
        </w:rPr>
        <w:t>316/2021-2.</w:t>
      </w:r>
    </w:p>
    <w:p w14:paraId="0D8600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10) Nedílnou součástí této smlouvy je Příloha č. 1. </w:t>
      </w:r>
    </w:p>
    <w:p w14:paraId="68C620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E0681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06DD2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5EF8F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B82B0E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FC8F06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ABB3D2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26525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6796F">
        <w:rPr>
          <w:rFonts w:ascii="Century Gothic" w:hAnsi="Century Gothic"/>
          <w:sz w:val="22"/>
          <w:szCs w:val="22"/>
        </w:rPr>
        <w:t>21</w:t>
      </w:r>
      <w:r w:rsidR="00D42086" w:rsidRPr="00D42086">
        <w:rPr>
          <w:rFonts w:ascii="Century Gothic" w:hAnsi="Century Gothic"/>
          <w:sz w:val="22"/>
          <w:szCs w:val="22"/>
        </w:rPr>
        <w:t>.</w:t>
      </w:r>
      <w:r w:rsidR="00C26301">
        <w:rPr>
          <w:rFonts w:ascii="Century Gothic" w:hAnsi="Century Gothic"/>
          <w:sz w:val="22"/>
          <w:szCs w:val="22"/>
        </w:rPr>
        <w:t>6</w:t>
      </w:r>
      <w:r w:rsidR="00D42086" w:rsidRPr="00D42086">
        <w:rPr>
          <w:rFonts w:ascii="Century Gothic" w:hAnsi="Century Gothic"/>
          <w:sz w:val="22"/>
          <w:szCs w:val="22"/>
        </w:rPr>
        <w:t>.2022</w:t>
      </w:r>
    </w:p>
    <w:p w14:paraId="5532BF6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6E4E74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8925A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76142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EF83D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1A0C17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F2BCD3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6CE45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81B54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513BBF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11FEFF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145B7C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AA79660" w14:textId="77777777" w:rsidR="00D60C98" w:rsidRDefault="00D60C98" w:rsidP="00CD257C"/>
    <w:p w14:paraId="2A408EF5" w14:textId="77777777" w:rsidR="00D60C98" w:rsidRDefault="00D60C98" w:rsidP="00CD257C"/>
    <w:p w14:paraId="09B91BAF" w14:textId="77777777" w:rsidR="00D60C98" w:rsidRDefault="00D60C98" w:rsidP="00CD257C"/>
    <w:p w14:paraId="1D67B16A" w14:textId="77777777" w:rsidR="003D7440" w:rsidRDefault="003D7440" w:rsidP="00CD257C"/>
    <w:p w14:paraId="2E0DE2C3" w14:textId="77777777" w:rsidR="003D7440" w:rsidRDefault="003D7440" w:rsidP="00CD257C"/>
    <w:p w14:paraId="65C10F9B" w14:textId="77777777" w:rsidR="003D7440" w:rsidRDefault="003D7440" w:rsidP="00CD257C"/>
    <w:p w14:paraId="3A809310" w14:textId="77777777" w:rsidR="003D7440" w:rsidRDefault="003D7440" w:rsidP="00CD257C"/>
    <w:p w14:paraId="719699E9" w14:textId="77777777" w:rsidR="003D7440" w:rsidRDefault="003D7440" w:rsidP="00CD257C"/>
    <w:p w14:paraId="399B7C53" w14:textId="77777777" w:rsidR="003D7440" w:rsidRDefault="003D7440" w:rsidP="00CD257C"/>
    <w:p w14:paraId="1CFD5F96" w14:textId="77777777" w:rsidR="00D60C98" w:rsidRDefault="00D60C98" w:rsidP="00CD257C"/>
    <w:p w14:paraId="3F48B264" w14:textId="77777777" w:rsidR="00BA5061" w:rsidRDefault="00BA5061" w:rsidP="00CD257C"/>
    <w:p w14:paraId="62F0894E" w14:textId="77777777" w:rsidR="00BA5061" w:rsidRDefault="00BA5061" w:rsidP="00CD257C"/>
    <w:p w14:paraId="40D07384" w14:textId="77777777" w:rsidR="00BA5061" w:rsidRDefault="00BA5061" w:rsidP="00CD257C"/>
    <w:p w14:paraId="17EC644D" w14:textId="77777777" w:rsidR="00BA5061" w:rsidRDefault="00BA5061" w:rsidP="00CD257C"/>
    <w:p w14:paraId="62D08D2D" w14:textId="77777777" w:rsidR="00BA5061" w:rsidRDefault="00BA5061" w:rsidP="00CD257C"/>
    <w:p w14:paraId="75C4E1D1" w14:textId="77777777" w:rsidR="00BA5061" w:rsidRDefault="00BA5061" w:rsidP="00CD257C"/>
    <w:p w14:paraId="1D181367" w14:textId="77777777" w:rsidR="00BA5061" w:rsidRDefault="00BA5061" w:rsidP="00CD257C"/>
    <w:p w14:paraId="3FAD0F4A" w14:textId="77777777" w:rsidR="00BA5061" w:rsidRDefault="00BA5061" w:rsidP="00CD257C"/>
    <w:p w14:paraId="6D305E8D" w14:textId="77777777" w:rsidR="00BA5061" w:rsidRDefault="00BA5061" w:rsidP="00CD257C"/>
    <w:p w14:paraId="73A82ACD" w14:textId="77777777" w:rsidR="00BA5061" w:rsidRDefault="00BA5061" w:rsidP="00D60C98">
      <w:pPr>
        <w:pStyle w:val="Zkladntext3"/>
      </w:pPr>
    </w:p>
    <w:p w14:paraId="157EE3C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FF3F82B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D846509" w14:textId="77777777" w:rsidR="00D60C98" w:rsidRPr="00786402" w:rsidRDefault="00D60C98" w:rsidP="00CD257C"/>
    <w:p w14:paraId="2B24D4D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F05723A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FDDBB63" w14:textId="77777777" w:rsidTr="001E2B09">
        <w:tc>
          <w:tcPr>
            <w:tcW w:w="1247" w:type="dxa"/>
          </w:tcPr>
          <w:p w14:paraId="4EFBF12A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25FA6C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A8E2E49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B92620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9C6EF79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46CB9BC" w14:textId="77777777" w:rsidTr="001E2B09">
        <w:tc>
          <w:tcPr>
            <w:tcW w:w="1247" w:type="dxa"/>
          </w:tcPr>
          <w:p w14:paraId="786ABB4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ODP00102</w:t>
            </w:r>
          </w:p>
        </w:tc>
        <w:tc>
          <w:tcPr>
            <w:tcW w:w="3260" w:type="dxa"/>
          </w:tcPr>
          <w:p w14:paraId="319F6571" w14:textId="77777777" w:rsidR="009318CF" w:rsidRPr="00786402" w:rsidRDefault="000A0277" w:rsidP="000A027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- 9 m3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smluvní cena</w:t>
            </w:r>
          </w:p>
        </w:tc>
        <w:tc>
          <w:tcPr>
            <w:tcW w:w="1134" w:type="dxa"/>
          </w:tcPr>
          <w:p w14:paraId="4B0361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BAD9C6F" w14:textId="42BE188B" w:rsidR="009318CF" w:rsidRPr="00786402" w:rsidRDefault="008C213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E57413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CCC, Pražská 2498,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</w:t>
            </w:r>
          </w:p>
        </w:tc>
      </w:tr>
    </w:tbl>
    <w:p w14:paraId="3A1E3F5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378245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56020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39030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1598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30127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5101393">
    <w:abstractNumId w:val="2"/>
  </w:num>
  <w:num w:numId="7" w16cid:durableId="1455713374">
    <w:abstractNumId w:val="16"/>
  </w:num>
  <w:num w:numId="8" w16cid:durableId="602036078">
    <w:abstractNumId w:val="19"/>
  </w:num>
  <w:num w:numId="9" w16cid:durableId="1571109736">
    <w:abstractNumId w:val="26"/>
  </w:num>
  <w:num w:numId="10" w16cid:durableId="885946306">
    <w:abstractNumId w:val="25"/>
  </w:num>
  <w:num w:numId="11" w16cid:durableId="220790920">
    <w:abstractNumId w:val="5"/>
  </w:num>
  <w:num w:numId="12" w16cid:durableId="2096396592">
    <w:abstractNumId w:val="11"/>
  </w:num>
  <w:num w:numId="13" w16cid:durableId="1799882723">
    <w:abstractNumId w:val="23"/>
  </w:num>
  <w:num w:numId="14" w16cid:durableId="806094874">
    <w:abstractNumId w:val="3"/>
  </w:num>
  <w:num w:numId="15" w16cid:durableId="2018799536">
    <w:abstractNumId w:val="24"/>
  </w:num>
  <w:num w:numId="16" w16cid:durableId="2073313933">
    <w:abstractNumId w:val="18"/>
  </w:num>
  <w:num w:numId="17" w16cid:durableId="1334912213">
    <w:abstractNumId w:val="13"/>
  </w:num>
  <w:num w:numId="18" w16cid:durableId="1105349854">
    <w:abstractNumId w:val="14"/>
  </w:num>
  <w:num w:numId="19" w16cid:durableId="473839670">
    <w:abstractNumId w:val="15"/>
  </w:num>
  <w:num w:numId="20" w16cid:durableId="569996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4082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486082">
    <w:abstractNumId w:val="3"/>
  </w:num>
  <w:num w:numId="23" w16cid:durableId="1985887375">
    <w:abstractNumId w:val="17"/>
  </w:num>
  <w:num w:numId="24" w16cid:durableId="1886483319">
    <w:abstractNumId w:val="15"/>
  </w:num>
  <w:num w:numId="25" w16cid:durableId="18379893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8142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0516622">
    <w:abstractNumId w:val="12"/>
  </w:num>
  <w:num w:numId="28" w16cid:durableId="340089084">
    <w:abstractNumId w:val="0"/>
  </w:num>
  <w:num w:numId="29" w16cid:durableId="2041279806">
    <w:abstractNumId w:val="6"/>
  </w:num>
  <w:num w:numId="30" w16cid:durableId="309865894">
    <w:abstractNumId w:val="28"/>
  </w:num>
  <w:num w:numId="31" w16cid:durableId="84228279">
    <w:abstractNumId w:val="27"/>
  </w:num>
  <w:num w:numId="32" w16cid:durableId="73167279">
    <w:abstractNumId w:val="20"/>
  </w:num>
  <w:num w:numId="33" w16cid:durableId="82266084">
    <w:abstractNumId w:val="9"/>
  </w:num>
  <w:num w:numId="34" w16cid:durableId="806314865">
    <w:abstractNumId w:val="1"/>
  </w:num>
  <w:num w:numId="35" w16cid:durableId="804274940">
    <w:abstractNumId w:val="22"/>
  </w:num>
  <w:num w:numId="36" w16cid:durableId="2107840337">
    <w:abstractNumId w:val="7"/>
  </w:num>
  <w:num w:numId="37" w16cid:durableId="115992583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A0277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2B4569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43C13"/>
    <w:rsid w:val="007525C1"/>
    <w:rsid w:val="0075511F"/>
    <w:rsid w:val="00763B69"/>
    <w:rsid w:val="00771707"/>
    <w:rsid w:val="007844E6"/>
    <w:rsid w:val="00786402"/>
    <w:rsid w:val="00794AB8"/>
    <w:rsid w:val="007A2787"/>
    <w:rsid w:val="007B0CBF"/>
    <w:rsid w:val="007B41CA"/>
    <w:rsid w:val="007B7F29"/>
    <w:rsid w:val="007C527F"/>
    <w:rsid w:val="007E23F1"/>
    <w:rsid w:val="007F019E"/>
    <w:rsid w:val="007F6C1F"/>
    <w:rsid w:val="00803E09"/>
    <w:rsid w:val="00805167"/>
    <w:rsid w:val="00813FA4"/>
    <w:rsid w:val="00827D8B"/>
    <w:rsid w:val="00836A9B"/>
    <w:rsid w:val="0085114A"/>
    <w:rsid w:val="008677E7"/>
    <w:rsid w:val="008707CF"/>
    <w:rsid w:val="00870932"/>
    <w:rsid w:val="00875EFD"/>
    <w:rsid w:val="00891F2E"/>
    <w:rsid w:val="008952DA"/>
    <w:rsid w:val="008A2C21"/>
    <w:rsid w:val="008B02F9"/>
    <w:rsid w:val="008B2455"/>
    <w:rsid w:val="008C2130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57F3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B05795"/>
    <w:rsid w:val="00B16AE8"/>
    <w:rsid w:val="00B20499"/>
    <w:rsid w:val="00B30B7B"/>
    <w:rsid w:val="00B34AED"/>
    <w:rsid w:val="00B404CF"/>
    <w:rsid w:val="00B4195C"/>
    <w:rsid w:val="00B50577"/>
    <w:rsid w:val="00B57533"/>
    <w:rsid w:val="00B84321"/>
    <w:rsid w:val="00B8573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26301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F41F6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6796F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E1AB3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DFC3B"/>
  <w14:defaultImageDpi w14:val="0"/>
  <w15:docId w15:val="{5A093F52-468E-4A06-9984-9A00CC2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23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9194</Characters>
  <Application>Microsoft Office Word</Application>
  <DocSecurity>0</DocSecurity>
  <Lines>76</Lines>
  <Paragraphs>21</Paragraphs>
  <ScaleCrop>false</ScaleCrop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2022-06-24T05:16:00Z</cp:lastPrinted>
  <dcterms:created xsi:type="dcterms:W3CDTF">2022-06-24T05:15:00Z</dcterms:created>
  <dcterms:modified xsi:type="dcterms:W3CDTF">2022-06-24T05:18:00Z</dcterms:modified>
</cp:coreProperties>
</file>