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345"/>
        <w:gridCol w:w="3544"/>
      </w:tblGrid>
      <w:tr w:rsidR="001834C1" w:rsidRPr="00950C35" w14:paraId="7C443AC2" w14:textId="77777777" w:rsidTr="00366EA8">
        <w:trPr>
          <w:trHeight w:val="1125"/>
        </w:trPr>
        <w:tc>
          <w:tcPr>
            <w:tcW w:w="6345" w:type="dxa"/>
            <w:shd w:val="clear" w:color="auto" w:fill="auto"/>
          </w:tcPr>
          <w:p w14:paraId="6B32A8D2" w14:textId="77777777" w:rsidR="001834C1" w:rsidRPr="00FD5CC7" w:rsidRDefault="001834C1" w:rsidP="002B6DA4">
            <w:pPr>
              <w:tabs>
                <w:tab w:val="left" w:pos="1206"/>
              </w:tabs>
              <w:rPr>
                <w:rFonts w:ascii="Cambria" w:hAnsi="Cambria" w:cs="Arial"/>
                <w:color w:val="1F497D"/>
                <w:sz w:val="28"/>
                <w:szCs w:val="26"/>
              </w:rPr>
            </w:pPr>
            <w:r w:rsidRPr="00950C35">
              <w:rPr>
                <w:rFonts w:ascii="Cambria" w:hAnsi="Cambria" w:cs="Arial"/>
                <w:b/>
                <w:color w:val="1F497D"/>
                <w:sz w:val="44"/>
                <w:szCs w:val="40"/>
              </w:rPr>
              <w:t>Úřad vlády České republiky</w:t>
            </w:r>
            <w:r w:rsidRPr="00950C35">
              <w:rPr>
                <w:rFonts w:ascii="Cambria" w:hAnsi="Cambria" w:cs="Arial"/>
                <w:b/>
                <w:color w:val="1F497D"/>
                <w:sz w:val="44"/>
                <w:szCs w:val="40"/>
              </w:rPr>
              <w:br/>
            </w:r>
          </w:p>
        </w:tc>
        <w:tc>
          <w:tcPr>
            <w:tcW w:w="3544" w:type="dxa"/>
            <w:shd w:val="clear" w:color="auto" w:fill="auto"/>
          </w:tcPr>
          <w:p w14:paraId="11837C4C" w14:textId="77777777" w:rsidR="001834C1" w:rsidRPr="00950C35" w:rsidRDefault="001834C1" w:rsidP="002B6DA4">
            <w:pPr>
              <w:tabs>
                <w:tab w:val="center" w:pos="4536"/>
                <w:tab w:val="right" w:pos="9072"/>
              </w:tabs>
              <w:jc w:val="right"/>
            </w:pPr>
            <w:r>
              <w:rPr>
                <w:rFonts w:cs="Arial"/>
                <w:b/>
                <w:noProof/>
                <w:color w:val="1F497D"/>
                <w:sz w:val="44"/>
                <w:szCs w:val="28"/>
              </w:rPr>
              <w:drawing>
                <wp:inline distT="0" distB="0" distL="0" distR="0" wp14:anchorId="76A9E3F5" wp14:editId="6E9B383E">
                  <wp:extent cx="1804670" cy="524510"/>
                  <wp:effectExtent l="0" t="0" r="5080" b="8890"/>
                  <wp:docPr id="2" name="Obrázek 2" descr="uvcr-logo-sablony-zahla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uvcr-logo-sablony-zahla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F2BCC" w14:textId="77777777" w:rsidR="009C0CE8" w:rsidRPr="001834C1" w:rsidRDefault="009C0CE8" w:rsidP="001834C1">
      <w:pPr>
        <w:spacing w:after="0" w:line="259" w:lineRule="auto"/>
        <w:ind w:left="0" w:right="5" w:firstLine="0"/>
        <w:rPr>
          <w:rFonts w:ascii="Arial" w:hAnsi="Arial" w:cs="Arial"/>
          <w:sz w:val="22"/>
        </w:rPr>
      </w:pPr>
    </w:p>
    <w:p w14:paraId="6F900CBE" w14:textId="77777777" w:rsidR="000D09EE" w:rsidRDefault="000D09EE" w:rsidP="00C74D5E">
      <w:pPr>
        <w:tabs>
          <w:tab w:val="left" w:pos="9260"/>
        </w:tabs>
        <w:spacing w:before="240" w:after="120"/>
        <w:ind w:left="425" w:hanging="414"/>
        <w:jc w:val="right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í</w:t>
      </w:r>
      <w:r w:rsidRPr="001D347B">
        <w:rPr>
          <w:rFonts w:ascii="Arial" w:eastAsia="Times New Roman" w:hAnsi="Arial" w:cs="Arial"/>
          <w:spacing w:val="-1"/>
          <w:sz w:val="22"/>
        </w:rPr>
        <w:t>s</w:t>
      </w:r>
      <w:r w:rsidRPr="001D347B">
        <w:rPr>
          <w:rFonts w:ascii="Arial" w:eastAsia="Times New Roman" w:hAnsi="Arial" w:cs="Arial"/>
          <w:sz w:val="22"/>
        </w:rPr>
        <w:t xml:space="preserve">lo </w:t>
      </w:r>
      <w:r w:rsidRPr="001D347B">
        <w:rPr>
          <w:rFonts w:ascii="Arial" w:eastAsia="Times New Roman" w:hAnsi="Arial" w:cs="Arial"/>
          <w:spacing w:val="2"/>
          <w:sz w:val="22"/>
        </w:rPr>
        <w:t>s</w:t>
      </w:r>
      <w:r w:rsidRPr="001D347B">
        <w:rPr>
          <w:rFonts w:ascii="Arial" w:eastAsia="Times New Roman" w:hAnsi="Arial" w:cs="Arial"/>
          <w:spacing w:val="-4"/>
          <w:sz w:val="22"/>
        </w:rPr>
        <w:t>m</w:t>
      </w:r>
      <w:r w:rsidRPr="001D347B">
        <w:rPr>
          <w:rFonts w:ascii="Arial" w:eastAsia="Times New Roman" w:hAnsi="Arial" w:cs="Arial"/>
          <w:sz w:val="22"/>
        </w:rPr>
        <w:t>l</w:t>
      </w:r>
      <w:r w:rsidRPr="001D347B">
        <w:rPr>
          <w:rFonts w:ascii="Arial" w:eastAsia="Times New Roman" w:hAnsi="Arial" w:cs="Arial"/>
          <w:spacing w:val="1"/>
          <w:sz w:val="22"/>
        </w:rPr>
        <w:t>ouv</w:t>
      </w:r>
      <w:r w:rsidRPr="001D347B">
        <w:rPr>
          <w:rFonts w:ascii="Arial" w:eastAsia="Times New Roman" w:hAnsi="Arial" w:cs="Arial"/>
          <w:sz w:val="22"/>
        </w:rPr>
        <w:t xml:space="preserve">y </w:t>
      </w:r>
      <w:r w:rsidRPr="001D347B">
        <w:rPr>
          <w:rFonts w:ascii="Arial" w:eastAsia="Times New Roman" w:hAnsi="Arial" w:cs="Arial"/>
          <w:spacing w:val="1"/>
          <w:sz w:val="22"/>
        </w:rPr>
        <w:t>ob</w:t>
      </w:r>
      <w:r w:rsidRPr="001D347B">
        <w:rPr>
          <w:rFonts w:ascii="Arial" w:eastAsia="Times New Roman" w:hAnsi="Arial" w:cs="Arial"/>
          <w:spacing w:val="2"/>
          <w:sz w:val="22"/>
        </w:rPr>
        <w:t>j</w:t>
      </w:r>
      <w:r w:rsidRPr="001D347B">
        <w:rPr>
          <w:rFonts w:ascii="Arial" w:eastAsia="Times New Roman" w:hAnsi="Arial" w:cs="Arial"/>
          <w:sz w:val="22"/>
        </w:rPr>
        <w:t>e</w:t>
      </w:r>
      <w:r w:rsidRPr="001D347B">
        <w:rPr>
          <w:rFonts w:ascii="Arial" w:eastAsia="Times New Roman" w:hAnsi="Arial" w:cs="Arial"/>
          <w:spacing w:val="1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n</w:t>
      </w:r>
      <w:r w:rsidRPr="001D347B">
        <w:rPr>
          <w:rFonts w:ascii="Arial" w:eastAsia="Times New Roman" w:hAnsi="Arial" w:cs="Arial"/>
          <w:sz w:val="22"/>
        </w:rPr>
        <w:t xml:space="preserve">atele: </w:t>
      </w:r>
      <w:r w:rsidRPr="00E60A5E">
        <w:rPr>
          <w:rFonts w:ascii="Arial" w:eastAsia="Times New Roman" w:hAnsi="Arial" w:cs="Arial"/>
          <w:sz w:val="22"/>
        </w:rPr>
        <w:t>21/127-0</w:t>
      </w:r>
    </w:p>
    <w:p w14:paraId="0445DAD9" w14:textId="4ED6AEC0" w:rsidR="00554F7C" w:rsidRPr="001D347B" w:rsidRDefault="00C86553" w:rsidP="00C74D5E">
      <w:pPr>
        <w:tabs>
          <w:tab w:val="left" w:pos="9260"/>
        </w:tabs>
        <w:spacing w:after="120"/>
        <w:ind w:left="425" w:hanging="414"/>
        <w:jc w:val="right"/>
        <w:rPr>
          <w:rFonts w:ascii="Arial" w:eastAsia="Times New Roman" w:hAnsi="Arial" w:cs="Arial"/>
          <w:sz w:val="22"/>
        </w:rPr>
      </w:pPr>
      <w:proofErr w:type="gramStart"/>
      <w:r>
        <w:rPr>
          <w:rFonts w:ascii="Arial" w:eastAsia="Times New Roman" w:hAnsi="Arial" w:cs="Arial"/>
          <w:sz w:val="22"/>
        </w:rPr>
        <w:t xml:space="preserve">č </w:t>
      </w:r>
      <w:r w:rsidR="00554F7C" w:rsidRPr="653C0DF7">
        <w:rPr>
          <w:rFonts w:ascii="Arial" w:eastAsia="Times New Roman" w:hAnsi="Arial" w:cs="Arial"/>
          <w:sz w:val="22"/>
        </w:rPr>
        <w:t>.j.</w:t>
      </w:r>
      <w:proofErr w:type="gramEnd"/>
      <w:r w:rsidR="00554F7C" w:rsidRPr="653C0DF7">
        <w:rPr>
          <w:rFonts w:ascii="Arial" w:eastAsia="Times New Roman" w:hAnsi="Arial" w:cs="Arial"/>
          <w:sz w:val="22"/>
        </w:rPr>
        <w:t xml:space="preserve"> </w:t>
      </w:r>
      <w:r w:rsidR="00C74D5E">
        <w:rPr>
          <w:rFonts w:ascii="Arial" w:hAnsi="Arial" w:cs="Arial"/>
          <w:sz w:val="22"/>
        </w:rPr>
        <w:t>13813/2021-UVCR</w:t>
      </w:r>
    </w:p>
    <w:p w14:paraId="06E97A32" w14:textId="3F95E7EB" w:rsidR="00F95304" w:rsidRPr="00C74D5E" w:rsidRDefault="00C86553">
      <w:pPr>
        <w:spacing w:after="0" w:line="259" w:lineRule="auto"/>
        <w:ind w:left="0" w:right="5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DODATEK č. 2</w:t>
      </w:r>
    </w:p>
    <w:p w14:paraId="46018EF4" w14:textId="77777777" w:rsidR="00F95304" w:rsidRPr="00C74D5E" w:rsidRDefault="00964B0C">
      <w:pPr>
        <w:spacing w:after="100" w:line="259" w:lineRule="auto"/>
        <w:ind w:left="1968" w:firstLine="0"/>
        <w:jc w:val="left"/>
        <w:rPr>
          <w:rFonts w:ascii="Arial" w:hAnsi="Arial" w:cs="Arial"/>
          <w:b/>
          <w:szCs w:val="24"/>
        </w:rPr>
      </w:pPr>
      <w:r w:rsidRPr="00C74D5E">
        <w:rPr>
          <w:rFonts w:ascii="Arial" w:hAnsi="Arial" w:cs="Arial"/>
          <w:b/>
          <w:szCs w:val="24"/>
        </w:rPr>
        <w:t xml:space="preserve">       </w:t>
      </w:r>
      <w:r w:rsidR="00202470" w:rsidRPr="00C74D5E">
        <w:rPr>
          <w:rFonts w:ascii="Arial" w:hAnsi="Arial" w:cs="Arial"/>
          <w:b/>
          <w:szCs w:val="24"/>
        </w:rPr>
        <w:t>KE SMLOU</w:t>
      </w:r>
      <w:r w:rsidRPr="00C74D5E">
        <w:rPr>
          <w:rFonts w:ascii="Arial" w:hAnsi="Arial" w:cs="Arial"/>
          <w:b/>
          <w:szCs w:val="24"/>
        </w:rPr>
        <w:t>VĚ O POSKYTOVÁNÍ SLUŽEB</w:t>
      </w:r>
    </w:p>
    <w:p w14:paraId="44D608B9" w14:textId="77777777" w:rsidR="00842B24" w:rsidRDefault="00842B24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</w:p>
    <w:p w14:paraId="62197221" w14:textId="77777777" w:rsidR="00C74D5E" w:rsidRDefault="00C74D5E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 xml:space="preserve">uzavřená dle zákona č. 89/2012 Sb., občanský zákoník, ve znění pozdějších předpisů </w:t>
      </w:r>
    </w:p>
    <w:p w14:paraId="053C3C6D" w14:textId="77777777" w:rsidR="00C74D5E" w:rsidRDefault="00C74D5E" w:rsidP="00C74D5E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>(dále jen „občanský zákoník“)</w:t>
      </w:r>
    </w:p>
    <w:p w14:paraId="72E6CC4E" w14:textId="77777777" w:rsidR="00F95304" w:rsidRPr="00C74D5E" w:rsidRDefault="00202470">
      <w:pPr>
        <w:spacing w:after="0" w:line="259" w:lineRule="auto"/>
        <w:ind w:left="14" w:firstLine="0"/>
        <w:jc w:val="center"/>
        <w:rPr>
          <w:rFonts w:ascii="Arial" w:hAnsi="Arial" w:cs="Arial"/>
          <w:sz w:val="22"/>
        </w:rPr>
      </w:pPr>
      <w:r w:rsidRPr="00C74D5E">
        <w:rPr>
          <w:rFonts w:ascii="Arial" w:hAnsi="Arial" w:cs="Arial"/>
          <w:sz w:val="22"/>
        </w:rPr>
        <w:t>v souvislosti s veřejnou zakázkou s názvem</w:t>
      </w:r>
    </w:p>
    <w:p w14:paraId="1B38BAB5" w14:textId="77777777" w:rsidR="000D09EE" w:rsidRPr="00C74D5E" w:rsidRDefault="000D09EE" w:rsidP="000D09EE">
      <w:pPr>
        <w:spacing w:after="120"/>
        <w:jc w:val="center"/>
        <w:rPr>
          <w:rFonts w:ascii="Arial" w:hAnsi="Arial" w:cs="Arial"/>
          <w:b/>
          <w:bCs/>
          <w:szCs w:val="24"/>
        </w:rPr>
      </w:pPr>
      <w:r w:rsidRPr="00C74D5E">
        <w:rPr>
          <w:rFonts w:ascii="Arial" w:hAnsi="Arial" w:cs="Arial"/>
          <w:b/>
          <w:bCs/>
          <w:szCs w:val="24"/>
        </w:rPr>
        <w:t>Zajištění akreditačního systému pro předsednictví ČR v Radě EU v roce 2022</w:t>
      </w:r>
    </w:p>
    <w:p w14:paraId="6A5F7AA8" w14:textId="77777777" w:rsidR="000D09EE" w:rsidRPr="00C74D5E" w:rsidRDefault="00554F7C" w:rsidP="000D09EE">
      <w:pPr>
        <w:spacing w:after="120"/>
        <w:jc w:val="center"/>
        <w:rPr>
          <w:rFonts w:ascii="Arial" w:hAnsi="Arial" w:cs="Arial"/>
          <w:b/>
          <w:sz w:val="22"/>
        </w:rPr>
      </w:pPr>
      <w:r w:rsidRPr="00C74D5E">
        <w:rPr>
          <w:rFonts w:ascii="Arial" w:hAnsi="Arial" w:cs="Arial"/>
          <w:b/>
          <w:sz w:val="22"/>
        </w:rPr>
        <w:t>poskytovatel</w:t>
      </w:r>
      <w:r w:rsidR="000D09EE" w:rsidRPr="00C74D5E">
        <w:rPr>
          <w:rFonts w:ascii="Arial" w:hAnsi="Arial" w:cs="Arial"/>
          <w:b/>
          <w:sz w:val="22"/>
        </w:rPr>
        <w:t xml:space="preserve"> MAGICWARE, společnost s ručením omezeným, se sídlem Praha 6, Krohova 2212/75, IČO: 625 76</w:t>
      </w:r>
      <w:r w:rsidR="00842B24">
        <w:rPr>
          <w:rFonts w:ascii="Arial" w:hAnsi="Arial" w:cs="Arial"/>
          <w:b/>
          <w:sz w:val="22"/>
        </w:rPr>
        <w:t> </w:t>
      </w:r>
      <w:r w:rsidR="000D09EE" w:rsidRPr="00C74D5E">
        <w:rPr>
          <w:rFonts w:ascii="Arial" w:hAnsi="Arial" w:cs="Arial"/>
          <w:b/>
          <w:sz w:val="22"/>
        </w:rPr>
        <w:t>836</w:t>
      </w:r>
    </w:p>
    <w:p w14:paraId="6BF1751E" w14:textId="77777777" w:rsidR="005347FD" w:rsidRDefault="005347FD">
      <w:pPr>
        <w:spacing w:after="49" w:line="265" w:lineRule="auto"/>
        <w:ind w:left="1815" w:right="76" w:hanging="10"/>
        <w:rPr>
          <w:rFonts w:ascii="Arial" w:hAnsi="Arial" w:cs="Arial"/>
          <w:b/>
          <w:szCs w:val="24"/>
        </w:rPr>
      </w:pPr>
    </w:p>
    <w:p w14:paraId="2926E3EE" w14:textId="77777777" w:rsidR="008A0ECD" w:rsidRPr="001D347B" w:rsidRDefault="008A0ECD" w:rsidP="008A0ECD">
      <w:pPr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b/>
          <w:bCs/>
          <w:sz w:val="22"/>
        </w:rPr>
        <w:t>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 xml:space="preserve">á 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a - Ú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ř</w:t>
      </w:r>
      <w:r w:rsidRPr="001D347B">
        <w:rPr>
          <w:rFonts w:ascii="Arial" w:eastAsia="Times New Roman" w:hAnsi="Arial" w:cs="Arial"/>
          <w:b/>
          <w:bCs/>
          <w:sz w:val="22"/>
        </w:rPr>
        <w:t>ad vlá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d</w:t>
      </w:r>
      <w:r w:rsidRPr="001D347B">
        <w:rPr>
          <w:rFonts w:ascii="Arial" w:eastAsia="Times New Roman" w:hAnsi="Arial" w:cs="Arial"/>
          <w:b/>
          <w:bCs/>
          <w:sz w:val="22"/>
        </w:rPr>
        <w:t>y Č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bCs/>
          <w:sz w:val="22"/>
        </w:rPr>
        <w:t>s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é</w:t>
      </w:r>
      <w:r w:rsidRPr="001D347B">
        <w:rPr>
          <w:rFonts w:ascii="Arial" w:eastAsia="Times New Roman" w:hAnsi="Arial" w:cs="Arial"/>
          <w:b/>
          <w:bCs/>
          <w:spacing w:val="-1"/>
          <w:sz w:val="22"/>
        </w:rPr>
        <w:t xml:space="preserve"> re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pub</w:t>
      </w:r>
      <w:r w:rsidRPr="001D347B">
        <w:rPr>
          <w:rFonts w:ascii="Arial" w:eastAsia="Times New Roman" w:hAnsi="Arial" w:cs="Arial"/>
          <w:b/>
          <w:bCs/>
          <w:sz w:val="22"/>
        </w:rPr>
        <w:t>li</w:t>
      </w:r>
      <w:r w:rsidRPr="001D347B">
        <w:rPr>
          <w:rFonts w:ascii="Arial" w:eastAsia="Times New Roman" w:hAnsi="Arial" w:cs="Arial"/>
          <w:b/>
          <w:bCs/>
          <w:spacing w:val="1"/>
          <w:sz w:val="22"/>
        </w:rPr>
        <w:t>k</w:t>
      </w:r>
      <w:r w:rsidRPr="001D347B">
        <w:rPr>
          <w:rFonts w:ascii="Arial" w:eastAsia="Times New Roman" w:hAnsi="Arial" w:cs="Arial"/>
          <w:b/>
          <w:bCs/>
          <w:sz w:val="22"/>
        </w:rPr>
        <w:t>y</w:t>
      </w:r>
    </w:p>
    <w:p w14:paraId="5402E7D1" w14:textId="654F681B" w:rsidR="008A0ECD" w:rsidRDefault="008A0ECD" w:rsidP="008A0ECD">
      <w:pPr>
        <w:tabs>
          <w:tab w:val="left" w:pos="2410"/>
        </w:tabs>
        <w:spacing w:after="0"/>
        <w:ind w:left="2410" w:right="97" w:hanging="241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kterou zastupuje</w:t>
      </w:r>
      <w:r w:rsidR="003D5CE5">
        <w:rPr>
          <w:rStyle w:val="Znakapoznpodarou"/>
          <w:rFonts w:ascii="Arial" w:eastAsia="Times New Roman" w:hAnsi="Arial" w:cs="Arial"/>
          <w:sz w:val="22"/>
        </w:rPr>
        <w:footnoteReference w:id="1"/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 xml:space="preserve">Alice Krutilová, </w:t>
      </w:r>
      <w:proofErr w:type="gramStart"/>
      <w:r>
        <w:rPr>
          <w:rFonts w:ascii="Arial" w:eastAsia="Times New Roman" w:hAnsi="Arial" w:cs="Arial"/>
          <w:sz w:val="22"/>
        </w:rPr>
        <w:t>M.A.</w:t>
      </w:r>
      <w:proofErr w:type="gramEnd"/>
      <w:r>
        <w:rPr>
          <w:rFonts w:ascii="Arial" w:eastAsia="Times New Roman" w:hAnsi="Arial" w:cs="Arial"/>
          <w:sz w:val="22"/>
        </w:rPr>
        <w:t xml:space="preserve"> ředitelka Odboru pro předsednictví ČR v Radě E</w:t>
      </w:r>
      <w:r w:rsidR="00587E31">
        <w:rPr>
          <w:rFonts w:ascii="Arial" w:eastAsia="Times New Roman" w:hAnsi="Arial" w:cs="Arial"/>
          <w:sz w:val="22"/>
        </w:rPr>
        <w:t>U</w:t>
      </w:r>
    </w:p>
    <w:p w14:paraId="0E842C46" w14:textId="77777777" w:rsidR="008A0ECD" w:rsidRPr="001D347B" w:rsidRDefault="008A0ECD" w:rsidP="008A0ECD">
      <w:pPr>
        <w:tabs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z w:val="22"/>
        </w:rPr>
        <w:t>se sídl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m:</w:t>
      </w:r>
      <w:r w:rsidRPr="001D347B">
        <w:rPr>
          <w:rFonts w:ascii="Arial" w:eastAsia="Times New Roman" w:hAnsi="Arial" w:cs="Arial"/>
          <w:sz w:val="22"/>
        </w:rPr>
        <w:tab/>
        <w:t>n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ř</w:t>
      </w:r>
      <w:r w:rsidRPr="001D347B">
        <w:rPr>
          <w:rFonts w:ascii="Arial" w:eastAsia="Times New Roman" w:hAnsi="Arial" w:cs="Arial"/>
          <w:sz w:val="22"/>
        </w:rPr>
        <w:t xml:space="preserve">. E. </w:t>
      </w:r>
      <w:r w:rsidRPr="001D347B">
        <w:rPr>
          <w:rFonts w:ascii="Arial" w:eastAsia="Times New Roman" w:hAnsi="Arial" w:cs="Arial"/>
          <w:spacing w:val="-2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pacing w:val="3"/>
          <w:sz w:val="22"/>
        </w:rPr>
        <w:t>š</w:t>
      </w:r>
      <w:r w:rsidRPr="001D347B">
        <w:rPr>
          <w:rFonts w:ascii="Arial" w:eastAsia="Times New Roman" w:hAnsi="Arial" w:cs="Arial"/>
          <w:sz w:val="22"/>
        </w:rPr>
        <w:t xml:space="preserve">e 128/4, 118 01 </w:t>
      </w:r>
      <w:r w:rsidRPr="001D347B">
        <w:rPr>
          <w:rFonts w:ascii="Arial" w:eastAsia="Times New Roman" w:hAnsi="Arial" w:cs="Arial"/>
          <w:spacing w:val="1"/>
          <w:sz w:val="22"/>
        </w:rPr>
        <w:t>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ha 1 - Malá Strana</w:t>
      </w:r>
    </w:p>
    <w:p w14:paraId="7FA329C1" w14:textId="77777777" w:rsidR="008A0ECD" w:rsidRPr="001D347B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3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ČO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00006599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</w:r>
    </w:p>
    <w:p w14:paraId="3185D763" w14:textId="77777777" w:rsidR="008A0ECD" w:rsidRPr="001D347B" w:rsidRDefault="008A0ECD" w:rsidP="008A0ECD">
      <w:pPr>
        <w:tabs>
          <w:tab w:val="left" w:pos="2200"/>
          <w:tab w:val="left" w:pos="2410"/>
        </w:tabs>
        <w:spacing w:after="0"/>
        <w:ind w:right="-20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2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I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 xml:space="preserve">: 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z w:val="22"/>
        </w:rPr>
        <w:tab/>
        <w:t>CZ00006599</w:t>
      </w:r>
    </w:p>
    <w:p w14:paraId="76A4B79F" w14:textId="77777777" w:rsidR="008A0ECD" w:rsidRPr="001D347B" w:rsidRDefault="008A0ECD" w:rsidP="008A0ECD">
      <w:pPr>
        <w:tabs>
          <w:tab w:val="left" w:pos="2410"/>
        </w:tabs>
        <w:spacing w:after="0"/>
        <w:ind w:right="2365"/>
        <w:rPr>
          <w:rFonts w:ascii="Arial" w:eastAsia="Times New Roman" w:hAnsi="Arial" w:cs="Arial"/>
          <w:spacing w:val="2"/>
          <w:sz w:val="22"/>
        </w:rPr>
      </w:pPr>
      <w:r w:rsidRPr="001D347B">
        <w:rPr>
          <w:rFonts w:ascii="Arial" w:eastAsia="Times New Roman" w:hAnsi="Arial" w:cs="Arial"/>
          <w:sz w:val="22"/>
        </w:rPr>
        <w:t>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nkovní spoj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>ní:</w:t>
      </w:r>
      <w:r w:rsidRPr="001D347B">
        <w:rPr>
          <w:rFonts w:ascii="Arial" w:eastAsia="Times New Roman" w:hAnsi="Arial" w:cs="Arial"/>
          <w:sz w:val="22"/>
        </w:rPr>
        <w:tab/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NB</w:t>
      </w:r>
      <w:r w:rsidRPr="001D347B">
        <w:rPr>
          <w:rFonts w:ascii="Arial" w:eastAsia="Times New Roman" w:hAnsi="Arial" w:cs="Arial"/>
          <w:spacing w:val="1"/>
          <w:sz w:val="22"/>
        </w:rPr>
        <w:t xml:space="preserve"> P</w:t>
      </w:r>
      <w:r w:rsidRPr="001D347B">
        <w:rPr>
          <w:rFonts w:ascii="Arial" w:eastAsia="Times New Roman" w:hAnsi="Arial" w:cs="Arial"/>
          <w:spacing w:val="-1"/>
          <w:sz w:val="22"/>
        </w:rPr>
        <w:t>ra</w:t>
      </w:r>
      <w:r w:rsidRPr="001D347B">
        <w:rPr>
          <w:rFonts w:ascii="Arial" w:eastAsia="Times New Roman" w:hAnsi="Arial" w:cs="Arial"/>
          <w:sz w:val="22"/>
        </w:rPr>
        <w:t>h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, ú</w:t>
      </w:r>
      <w:r w:rsidRPr="001D347B">
        <w:rPr>
          <w:rFonts w:ascii="Arial" w:eastAsia="Times New Roman" w:hAnsi="Arial" w:cs="Arial"/>
          <w:spacing w:val="1"/>
          <w:sz w:val="22"/>
        </w:rPr>
        <w:t>č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t </w:t>
      </w:r>
      <w:r w:rsidRPr="001D347B">
        <w:rPr>
          <w:rFonts w:ascii="Arial" w:eastAsia="Times New Roman" w:hAnsi="Arial" w:cs="Arial"/>
          <w:spacing w:val="-1"/>
          <w:sz w:val="22"/>
        </w:rPr>
        <w:t>č</w:t>
      </w:r>
      <w:r w:rsidRPr="001D347B">
        <w:rPr>
          <w:rFonts w:ascii="Arial" w:eastAsia="Times New Roman" w:hAnsi="Arial" w:cs="Arial"/>
          <w:sz w:val="22"/>
        </w:rPr>
        <w:t>.: 4320001/0710</w:t>
      </w:r>
    </w:p>
    <w:p w14:paraId="2825339E" w14:textId="24165103" w:rsidR="00E67B2B" w:rsidRPr="005A3FF2" w:rsidRDefault="008A0ECD" w:rsidP="00F805A6">
      <w:pPr>
        <w:tabs>
          <w:tab w:val="left" w:pos="2410"/>
        </w:tabs>
        <w:spacing w:after="60"/>
        <w:ind w:left="425" w:right="-23" w:hanging="414"/>
        <w:rPr>
          <w:rFonts w:ascii="Arial" w:eastAsia="Times New Roman" w:hAnsi="Arial" w:cs="Arial"/>
          <w:bCs/>
          <w:sz w:val="22"/>
        </w:rPr>
      </w:pPr>
      <w:r w:rsidRPr="001D347B">
        <w:rPr>
          <w:rFonts w:ascii="Arial" w:eastAsia="Times New Roman" w:hAnsi="Arial" w:cs="Arial"/>
          <w:sz w:val="22"/>
        </w:rPr>
        <w:t>kont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ktní osob</w:t>
      </w:r>
      <w:r w:rsidRPr="001D347B">
        <w:rPr>
          <w:rFonts w:ascii="Arial" w:eastAsia="Times New Roman" w:hAnsi="Arial" w:cs="Arial"/>
          <w:spacing w:val="-1"/>
          <w:sz w:val="22"/>
        </w:rPr>
        <w:t>a</w:t>
      </w:r>
      <w:r w:rsidRPr="001D347B">
        <w:rPr>
          <w:rFonts w:ascii="Arial" w:eastAsia="Times New Roman" w:hAnsi="Arial" w:cs="Arial"/>
          <w:sz w:val="22"/>
        </w:rPr>
        <w:t>:</w:t>
      </w:r>
      <w:r w:rsidRPr="001D347B">
        <w:rPr>
          <w:rFonts w:ascii="Arial" w:eastAsia="Times New Roman" w:hAnsi="Arial" w:cs="Arial"/>
          <w:sz w:val="22"/>
        </w:rPr>
        <w:tab/>
      </w:r>
      <w:r w:rsidR="00B53137">
        <w:rPr>
          <w:rFonts w:ascii="Arial" w:eastAsia="Times New Roman" w:hAnsi="Arial" w:cs="Arial"/>
          <w:sz w:val="22"/>
        </w:rPr>
        <w:t>Mgr</w:t>
      </w:r>
      <w:r w:rsidR="00DE006A" w:rsidRPr="00DE006A">
        <w:rPr>
          <w:rFonts w:ascii="Arial" w:eastAsia="Times New Roman" w:hAnsi="Arial" w:cs="Arial"/>
          <w:sz w:val="22"/>
        </w:rPr>
        <w:t>. Jan Hájek, tel</w:t>
      </w:r>
      <w:r w:rsidR="00DE006A" w:rsidRPr="005A3FF2">
        <w:rPr>
          <w:rFonts w:ascii="Arial" w:eastAsia="Times New Roman" w:hAnsi="Arial" w:cs="Arial"/>
          <w:sz w:val="22"/>
        </w:rPr>
        <w:t xml:space="preserve">. </w:t>
      </w:r>
      <w:r w:rsidR="008E7147" w:rsidRPr="005A3FF2">
        <w:rPr>
          <w:rFonts w:ascii="Arial" w:eastAsia="Times New Roman" w:hAnsi="Arial" w:cs="Arial"/>
          <w:sz w:val="22"/>
        </w:rPr>
        <w:t>XXXXX</w:t>
      </w:r>
      <w:r w:rsidR="00306909" w:rsidRPr="005A3FF2">
        <w:rPr>
          <w:rFonts w:ascii="Arial" w:eastAsia="Times New Roman" w:hAnsi="Arial" w:cs="Arial"/>
          <w:sz w:val="22"/>
        </w:rPr>
        <w:t xml:space="preserve">, </w:t>
      </w:r>
      <w:r w:rsidR="008E7147" w:rsidRPr="005A3FF2">
        <w:rPr>
          <w:rFonts w:ascii="Arial" w:eastAsia="Times New Roman" w:hAnsi="Arial" w:cs="Arial"/>
          <w:sz w:val="22"/>
        </w:rPr>
        <w:t>XXXXX</w:t>
      </w:r>
    </w:p>
    <w:p w14:paraId="3639FAC2" w14:textId="77777777" w:rsidR="008A0ECD" w:rsidRPr="001D347B" w:rsidRDefault="008A0ECD" w:rsidP="00F805A6">
      <w:pPr>
        <w:tabs>
          <w:tab w:val="left" w:pos="2410"/>
        </w:tabs>
        <w:spacing w:after="60"/>
        <w:ind w:left="425" w:right="-23" w:hanging="414"/>
        <w:rPr>
          <w:rFonts w:ascii="Arial" w:eastAsia="Times New Roman" w:hAnsi="Arial" w:cs="Arial"/>
          <w:sz w:val="22"/>
        </w:rPr>
      </w:pPr>
      <w:r w:rsidRPr="001D347B">
        <w:rPr>
          <w:rFonts w:ascii="Arial" w:eastAsia="Times New Roman" w:hAnsi="Arial" w:cs="Arial"/>
          <w:spacing w:val="-1"/>
          <w:sz w:val="22"/>
        </w:rPr>
        <w:t>(</w:t>
      </w:r>
      <w:r w:rsidRPr="001D347B">
        <w:rPr>
          <w:rFonts w:ascii="Arial" w:eastAsia="Times New Roman" w:hAnsi="Arial" w:cs="Arial"/>
          <w:sz w:val="22"/>
        </w:rPr>
        <w:t>d</w:t>
      </w:r>
      <w:r w:rsidRPr="001D347B">
        <w:rPr>
          <w:rFonts w:ascii="Arial" w:eastAsia="Times New Roman" w:hAnsi="Arial" w:cs="Arial"/>
          <w:spacing w:val="-1"/>
          <w:sz w:val="22"/>
        </w:rPr>
        <w:t>á</w:t>
      </w:r>
      <w:r w:rsidRPr="001D347B">
        <w:rPr>
          <w:rFonts w:ascii="Arial" w:eastAsia="Times New Roman" w:hAnsi="Arial" w:cs="Arial"/>
          <w:sz w:val="22"/>
        </w:rPr>
        <w:t>le j</w:t>
      </w:r>
      <w:r w:rsidRPr="001D347B">
        <w:rPr>
          <w:rFonts w:ascii="Arial" w:eastAsia="Times New Roman" w:hAnsi="Arial" w:cs="Arial"/>
          <w:spacing w:val="-1"/>
          <w:sz w:val="22"/>
        </w:rPr>
        <w:t>e</w:t>
      </w:r>
      <w:r w:rsidRPr="001D347B">
        <w:rPr>
          <w:rFonts w:ascii="Arial" w:eastAsia="Times New Roman" w:hAnsi="Arial" w:cs="Arial"/>
          <w:sz w:val="22"/>
        </w:rPr>
        <w:t xml:space="preserve">n </w:t>
      </w:r>
      <w:r w:rsidRPr="001D347B">
        <w:rPr>
          <w:rFonts w:ascii="Arial" w:eastAsia="Times New Roman" w:hAnsi="Arial" w:cs="Arial"/>
          <w:b/>
          <w:spacing w:val="1"/>
          <w:sz w:val="22"/>
        </w:rPr>
        <w:t>„</w:t>
      </w:r>
      <w:r w:rsidRPr="001D347B">
        <w:rPr>
          <w:rFonts w:ascii="Arial" w:eastAsia="Times New Roman" w:hAnsi="Arial" w:cs="Arial"/>
          <w:b/>
          <w:sz w:val="22"/>
        </w:rPr>
        <w:t>obj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dn</w:t>
      </w:r>
      <w:r w:rsidRPr="001D347B">
        <w:rPr>
          <w:rFonts w:ascii="Arial" w:eastAsia="Times New Roman" w:hAnsi="Arial" w:cs="Arial"/>
          <w:b/>
          <w:spacing w:val="-1"/>
          <w:sz w:val="22"/>
        </w:rPr>
        <w:t>a</w:t>
      </w:r>
      <w:r w:rsidRPr="001D347B">
        <w:rPr>
          <w:rFonts w:ascii="Arial" w:eastAsia="Times New Roman" w:hAnsi="Arial" w:cs="Arial"/>
          <w:b/>
          <w:sz w:val="22"/>
        </w:rPr>
        <w:t>t</w:t>
      </w:r>
      <w:r w:rsidRPr="001D347B">
        <w:rPr>
          <w:rFonts w:ascii="Arial" w:eastAsia="Times New Roman" w:hAnsi="Arial" w:cs="Arial"/>
          <w:b/>
          <w:spacing w:val="-1"/>
          <w:sz w:val="22"/>
        </w:rPr>
        <w:t>e</w:t>
      </w:r>
      <w:r w:rsidRPr="001D347B">
        <w:rPr>
          <w:rFonts w:ascii="Arial" w:eastAsia="Times New Roman" w:hAnsi="Arial" w:cs="Arial"/>
          <w:b/>
          <w:sz w:val="22"/>
        </w:rPr>
        <w:t>l</w:t>
      </w:r>
      <w:r w:rsidRPr="001D347B">
        <w:rPr>
          <w:rFonts w:ascii="Arial" w:eastAsia="Times New Roman" w:hAnsi="Arial" w:cs="Arial"/>
          <w:b/>
          <w:spacing w:val="1"/>
          <w:sz w:val="22"/>
        </w:rPr>
        <w:t>“</w:t>
      </w:r>
      <w:r w:rsidRPr="001D347B">
        <w:rPr>
          <w:rFonts w:ascii="Arial" w:eastAsia="Times New Roman" w:hAnsi="Arial" w:cs="Arial"/>
          <w:sz w:val="22"/>
        </w:rPr>
        <w:t>)</w:t>
      </w:r>
    </w:p>
    <w:p w14:paraId="6955AD74" w14:textId="77777777" w:rsidR="008A0ECD" w:rsidRPr="00E077E5" w:rsidRDefault="008A0ECD" w:rsidP="008A0ECD">
      <w:pPr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a</w:t>
      </w:r>
    </w:p>
    <w:p w14:paraId="16EC3833" w14:textId="77777777" w:rsidR="008A0ECD" w:rsidRPr="008A0ECD" w:rsidRDefault="008A0ECD" w:rsidP="008A0ECD">
      <w:pPr>
        <w:spacing w:after="0"/>
        <w:rPr>
          <w:rFonts w:ascii="Arial" w:hAnsi="Arial" w:cs="Arial"/>
          <w:b/>
          <w:sz w:val="22"/>
        </w:rPr>
      </w:pPr>
      <w:r w:rsidRPr="008A0ECD">
        <w:rPr>
          <w:rFonts w:ascii="Arial" w:eastAsia="Times New Roman" w:hAnsi="Arial" w:cs="Arial"/>
          <w:b/>
          <w:bCs/>
          <w:sz w:val="22"/>
        </w:rPr>
        <w:t>MagicWARE, společnost s ručením omezeným</w:t>
      </w:r>
      <w:bookmarkStart w:id="0" w:name="_GoBack"/>
      <w:bookmarkEnd w:id="0"/>
    </w:p>
    <w:p w14:paraId="7F34B612" w14:textId="77777777" w:rsidR="008A0ECD" w:rsidRDefault="008A0ECD" w:rsidP="008A0ECD">
      <w:pPr>
        <w:spacing w:after="0"/>
        <w:rPr>
          <w:rFonts w:ascii="Arial" w:hAnsi="Arial" w:cs="Arial"/>
          <w:sz w:val="22"/>
        </w:rPr>
      </w:pPr>
    </w:p>
    <w:p w14:paraId="2439BD90" w14:textId="77777777" w:rsidR="008A0ECD" w:rsidRPr="00E077E5" w:rsidRDefault="008A0ECD" w:rsidP="008A0ECD">
      <w:pPr>
        <w:spacing w:after="0"/>
        <w:rPr>
          <w:rFonts w:ascii="Arial" w:hAnsi="Arial" w:cs="Arial"/>
          <w:b/>
          <w:sz w:val="22"/>
        </w:rPr>
      </w:pPr>
      <w:r w:rsidRPr="00E077E5">
        <w:rPr>
          <w:rFonts w:ascii="Arial" w:hAnsi="Arial" w:cs="Arial"/>
          <w:sz w:val="22"/>
        </w:rPr>
        <w:t>Zastoupená</w:t>
      </w:r>
      <w:r w:rsidR="00F62D93">
        <w:rPr>
          <w:rStyle w:val="Znakapoznpodarou"/>
          <w:rFonts w:ascii="Arial" w:hAnsi="Arial" w:cs="Arial"/>
          <w:sz w:val="22"/>
        </w:rPr>
        <w:footnoteReference w:id="2"/>
      </w:r>
      <w:r w:rsidRPr="00E077E5">
        <w:rPr>
          <w:rFonts w:ascii="Arial" w:hAnsi="Arial" w:cs="Arial"/>
          <w:sz w:val="22"/>
        </w:rPr>
        <w:t>:</w:t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Ing. Tomášem Novosadem, Jednatelem</w:t>
      </w:r>
    </w:p>
    <w:p w14:paraId="5629FBE0" w14:textId="77777777" w:rsidR="008A0ECD" w:rsidRPr="00E077E5" w:rsidRDefault="008A0ECD" w:rsidP="008A0ECD">
      <w:pPr>
        <w:spacing w:after="0"/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Se sídlem:</w:t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Krohova 2212/75, 160 00 Praha 6 Dejvice</w:t>
      </w:r>
    </w:p>
    <w:p w14:paraId="23B0B3EB" w14:textId="77777777" w:rsidR="008A0ECD" w:rsidRDefault="008A0ECD" w:rsidP="008A0ECD">
      <w:pPr>
        <w:spacing w:after="0"/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IČ</w:t>
      </w:r>
      <w:r>
        <w:rPr>
          <w:rFonts w:ascii="Arial" w:hAnsi="Arial" w:cs="Arial"/>
          <w:sz w:val="22"/>
        </w:rPr>
        <w:t>O</w:t>
      </w:r>
      <w:r w:rsidRPr="00E077E5">
        <w:rPr>
          <w:rFonts w:ascii="Arial" w:hAnsi="Arial" w:cs="Arial"/>
          <w:sz w:val="22"/>
        </w:rPr>
        <w:t>:</w:t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625 76 836</w:t>
      </w:r>
    </w:p>
    <w:p w14:paraId="4CF2F54B" w14:textId="77777777" w:rsidR="008A0ECD" w:rsidRPr="00E077E5" w:rsidRDefault="008A0ECD" w:rsidP="008A0ECD">
      <w:pPr>
        <w:spacing w:after="0"/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DIČ:</w:t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 w:rsidRPr="00E077E5">
        <w:rPr>
          <w:rFonts w:ascii="Arial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CZ625 76 836</w:t>
      </w:r>
    </w:p>
    <w:p w14:paraId="1FB91D8F" w14:textId="77777777" w:rsidR="008A0ECD" w:rsidRPr="00E077E5" w:rsidRDefault="008A0ECD" w:rsidP="00F805A6">
      <w:pPr>
        <w:spacing w:after="60"/>
        <w:ind w:left="2124" w:hanging="2124"/>
        <w:rPr>
          <w:rFonts w:ascii="Arial" w:hAnsi="Arial" w:cs="Arial"/>
          <w:sz w:val="22"/>
        </w:rPr>
      </w:pPr>
      <w:r w:rsidRPr="00E077E5">
        <w:rPr>
          <w:rFonts w:ascii="Arial" w:hAnsi="Arial" w:cs="Arial"/>
          <w:sz w:val="22"/>
        </w:rPr>
        <w:t>Bankovní spojení:</w:t>
      </w:r>
      <w:r w:rsidRPr="00E077E5">
        <w:rPr>
          <w:rFonts w:ascii="Arial" w:hAnsi="Arial" w:cs="Arial"/>
          <w:sz w:val="22"/>
        </w:rPr>
        <w:tab/>
      </w:r>
      <w:r>
        <w:rPr>
          <w:rFonts w:ascii="Arial" w:eastAsia="Times New Roman" w:hAnsi="Arial" w:cs="Arial"/>
          <w:bCs/>
          <w:sz w:val="22"/>
        </w:rPr>
        <w:t>Československá obchodní banka, a.s., číslo účtu: 274 382 835/0300</w:t>
      </w:r>
    </w:p>
    <w:p w14:paraId="1BAFAC3A" w14:textId="77777777" w:rsidR="008A0ECD" w:rsidRDefault="008A0ECD" w:rsidP="00F805A6">
      <w:pPr>
        <w:spacing w:after="60"/>
        <w:ind w:left="425" w:hanging="414"/>
        <w:rPr>
          <w:rFonts w:ascii="Arial" w:eastAsia="Times New Roman" w:hAnsi="Arial" w:cs="Arial"/>
          <w:bCs/>
          <w:sz w:val="22"/>
        </w:rPr>
      </w:pPr>
      <w:r w:rsidRPr="00B06847">
        <w:rPr>
          <w:rFonts w:ascii="Arial" w:hAnsi="Arial" w:cs="Arial"/>
          <w:sz w:val="22"/>
        </w:rPr>
        <w:t xml:space="preserve">zapsána v obchodním rejstříku vedeném </w:t>
      </w:r>
      <w:r>
        <w:rPr>
          <w:rFonts w:ascii="Arial" w:eastAsia="Times New Roman" w:hAnsi="Arial" w:cs="Arial"/>
          <w:bCs/>
          <w:sz w:val="22"/>
        </w:rPr>
        <w:t>Městským</w:t>
      </w:r>
      <w:r w:rsidRPr="00B06847">
        <w:rPr>
          <w:rFonts w:ascii="Arial" w:hAnsi="Arial" w:cs="Arial"/>
          <w:sz w:val="22"/>
        </w:rPr>
        <w:t xml:space="preserve"> soudem v </w:t>
      </w:r>
      <w:r>
        <w:rPr>
          <w:rFonts w:ascii="Arial" w:eastAsia="Times New Roman" w:hAnsi="Arial" w:cs="Arial"/>
          <w:bCs/>
          <w:sz w:val="22"/>
        </w:rPr>
        <w:t>Praze</w:t>
      </w:r>
      <w:r w:rsidRPr="00B06847">
        <w:rPr>
          <w:rFonts w:ascii="Arial" w:hAnsi="Arial" w:cs="Arial"/>
          <w:sz w:val="22"/>
        </w:rPr>
        <w:t xml:space="preserve">, oddíl </w:t>
      </w:r>
      <w:r>
        <w:rPr>
          <w:rFonts w:ascii="Arial" w:eastAsia="Times New Roman" w:hAnsi="Arial" w:cs="Arial"/>
          <w:bCs/>
          <w:sz w:val="22"/>
        </w:rPr>
        <w:t xml:space="preserve">C, </w:t>
      </w:r>
      <w:r w:rsidRPr="00B06847">
        <w:rPr>
          <w:rFonts w:ascii="Arial" w:hAnsi="Arial" w:cs="Arial"/>
          <w:sz w:val="22"/>
        </w:rPr>
        <w:t xml:space="preserve">vložka </w:t>
      </w:r>
      <w:r>
        <w:rPr>
          <w:rFonts w:ascii="Arial" w:eastAsia="Times New Roman" w:hAnsi="Arial" w:cs="Arial"/>
          <w:bCs/>
          <w:sz w:val="22"/>
        </w:rPr>
        <w:t>32719</w:t>
      </w:r>
    </w:p>
    <w:p w14:paraId="3D6EE62B" w14:textId="77777777" w:rsidR="008A0ECD" w:rsidRDefault="008A0ECD" w:rsidP="00F805A6">
      <w:pPr>
        <w:spacing w:after="60" w:line="240" w:lineRule="auto"/>
        <w:ind w:left="425" w:hanging="414"/>
        <w:rPr>
          <w:rFonts w:ascii="Arial" w:hAnsi="Arial" w:cs="Arial"/>
          <w:sz w:val="22"/>
        </w:rPr>
      </w:pPr>
      <w:r w:rsidRPr="00B06847">
        <w:rPr>
          <w:rFonts w:ascii="Arial" w:hAnsi="Arial" w:cs="Arial"/>
          <w:sz w:val="22"/>
        </w:rPr>
        <w:t xml:space="preserve">(dále jen </w:t>
      </w:r>
      <w:r w:rsidR="003B6922">
        <w:rPr>
          <w:rFonts w:ascii="Arial" w:hAnsi="Arial" w:cs="Arial"/>
          <w:sz w:val="22"/>
        </w:rPr>
        <w:t xml:space="preserve">také </w:t>
      </w:r>
      <w:r w:rsidRPr="00B06847">
        <w:rPr>
          <w:rFonts w:ascii="Arial" w:hAnsi="Arial" w:cs="Arial"/>
          <w:sz w:val="22"/>
        </w:rPr>
        <w:t>„</w:t>
      </w:r>
      <w:r w:rsidRPr="00B06847">
        <w:rPr>
          <w:rFonts w:ascii="Arial" w:hAnsi="Arial" w:cs="Arial"/>
          <w:b/>
          <w:sz w:val="22"/>
        </w:rPr>
        <w:t>poskytovatel</w:t>
      </w:r>
      <w:r w:rsidRPr="00B06847">
        <w:rPr>
          <w:rFonts w:ascii="Arial" w:hAnsi="Arial" w:cs="Arial"/>
          <w:sz w:val="22"/>
        </w:rPr>
        <w:t>“)</w:t>
      </w:r>
      <w:r w:rsidR="00570251">
        <w:rPr>
          <w:rStyle w:val="Znakapoznpodarou"/>
          <w:rFonts w:ascii="Arial" w:hAnsi="Arial" w:cs="Arial"/>
          <w:sz w:val="22"/>
        </w:rPr>
        <w:footnoteReference w:id="3"/>
      </w:r>
    </w:p>
    <w:p w14:paraId="6280C2D4" w14:textId="77777777" w:rsidR="00570251" w:rsidRDefault="00570251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0BF3C9A" w14:textId="2CD4D38B" w:rsidR="00F95304" w:rsidRDefault="00202470" w:rsidP="00F805A6">
      <w:pPr>
        <w:spacing w:after="120"/>
        <w:ind w:left="0" w:right="9" w:firstLine="0"/>
        <w:rPr>
          <w:rFonts w:ascii="Arial" w:hAnsi="Arial" w:cs="Arial"/>
          <w:sz w:val="22"/>
        </w:rPr>
      </w:pPr>
      <w:r w:rsidRPr="005347FD">
        <w:rPr>
          <w:rFonts w:ascii="Arial" w:hAnsi="Arial" w:cs="Arial"/>
          <w:sz w:val="22"/>
        </w:rPr>
        <w:t xml:space="preserve">uzavřely níže uvedeného </w:t>
      </w:r>
      <w:r w:rsidR="00361459">
        <w:rPr>
          <w:rFonts w:ascii="Arial" w:hAnsi="Arial" w:cs="Arial"/>
          <w:sz w:val="22"/>
        </w:rPr>
        <w:t xml:space="preserve">dne, měsíce </w:t>
      </w:r>
      <w:r w:rsidR="00574B5E">
        <w:rPr>
          <w:rFonts w:ascii="Arial" w:hAnsi="Arial" w:cs="Arial"/>
          <w:sz w:val="22"/>
        </w:rPr>
        <w:t>a roku v souladu s § 222 odst. 4</w:t>
      </w:r>
      <w:r w:rsidR="00361459">
        <w:rPr>
          <w:rFonts w:ascii="Arial" w:hAnsi="Arial" w:cs="Arial"/>
          <w:sz w:val="22"/>
        </w:rPr>
        <w:t xml:space="preserve"> zákona</w:t>
      </w:r>
      <w:r w:rsidR="00306909">
        <w:rPr>
          <w:rFonts w:ascii="Arial" w:hAnsi="Arial" w:cs="Arial"/>
          <w:sz w:val="22"/>
        </w:rPr>
        <w:t xml:space="preserve"> č. 134/2016 Sb., o </w:t>
      </w:r>
      <w:r w:rsidRPr="005347FD">
        <w:rPr>
          <w:rFonts w:ascii="Arial" w:hAnsi="Arial" w:cs="Arial"/>
          <w:sz w:val="22"/>
        </w:rPr>
        <w:t xml:space="preserve">zadávání veřejných zakázek, ve znění pozdějších předpisů (dále jen „ZZVZ"), ve smyslu podmínek </w:t>
      </w:r>
      <w:r w:rsidR="008710FC">
        <w:rPr>
          <w:rFonts w:ascii="Arial" w:hAnsi="Arial" w:cs="Arial"/>
          <w:sz w:val="22"/>
        </w:rPr>
        <w:br/>
      </w:r>
      <w:r w:rsidRPr="005347FD">
        <w:rPr>
          <w:rFonts w:ascii="Arial" w:hAnsi="Arial" w:cs="Arial"/>
          <w:sz w:val="22"/>
        </w:rPr>
        <w:t xml:space="preserve">a ustanovení uvedených v kompletní zadávací dokumentaci vč. oznámení o zahájení zadávacího řízení uveřejněného ve Věstníku veřejných zakázek pod evidenčním číslem </w:t>
      </w:r>
      <w:r w:rsidR="00D039B0" w:rsidRPr="00D039B0">
        <w:rPr>
          <w:rFonts w:ascii="Arial" w:hAnsi="Arial" w:cs="Arial"/>
          <w:sz w:val="22"/>
        </w:rPr>
        <w:t>Z2021-017831</w:t>
      </w:r>
      <w:r w:rsidR="00FE4E81">
        <w:rPr>
          <w:rStyle w:val="Znakapoznpodarou"/>
          <w:rFonts w:ascii="Arial" w:hAnsi="Arial" w:cs="Arial"/>
          <w:sz w:val="22"/>
        </w:rPr>
        <w:footnoteReference w:id="4"/>
      </w:r>
      <w:r w:rsidRPr="005347FD">
        <w:rPr>
          <w:rFonts w:ascii="Arial" w:hAnsi="Arial" w:cs="Arial"/>
          <w:sz w:val="22"/>
        </w:rPr>
        <w:t xml:space="preserve"> </w:t>
      </w:r>
      <w:r w:rsidR="008710FC">
        <w:rPr>
          <w:rFonts w:ascii="Arial" w:hAnsi="Arial" w:cs="Arial"/>
          <w:sz w:val="22"/>
        </w:rPr>
        <w:br/>
      </w:r>
      <w:r w:rsidRPr="005347FD">
        <w:rPr>
          <w:rFonts w:ascii="Arial" w:hAnsi="Arial" w:cs="Arial"/>
          <w:sz w:val="22"/>
        </w:rPr>
        <w:t xml:space="preserve">a v souladu s cenovou nabídkou </w:t>
      </w:r>
      <w:r w:rsidR="003B6922">
        <w:rPr>
          <w:rFonts w:ascii="Arial" w:hAnsi="Arial" w:cs="Arial"/>
          <w:sz w:val="22"/>
        </w:rPr>
        <w:t>poskytovatel</w:t>
      </w:r>
      <w:r w:rsidR="003119E1">
        <w:rPr>
          <w:rFonts w:ascii="Arial" w:hAnsi="Arial" w:cs="Arial"/>
          <w:sz w:val="22"/>
        </w:rPr>
        <w:t>e</w:t>
      </w:r>
      <w:r w:rsidR="003B6922">
        <w:rPr>
          <w:rStyle w:val="Znakapoznpodarou"/>
          <w:rFonts w:ascii="Arial" w:hAnsi="Arial" w:cs="Arial"/>
          <w:sz w:val="22"/>
        </w:rPr>
        <w:footnoteReference w:id="5"/>
      </w:r>
      <w:r w:rsidR="003B6922">
        <w:rPr>
          <w:rFonts w:ascii="Arial" w:hAnsi="Arial" w:cs="Arial"/>
          <w:sz w:val="22"/>
        </w:rPr>
        <w:t xml:space="preserve"> </w:t>
      </w:r>
      <w:r w:rsidRPr="005347FD">
        <w:rPr>
          <w:rFonts w:ascii="Arial" w:hAnsi="Arial" w:cs="Arial"/>
          <w:sz w:val="22"/>
        </w:rPr>
        <w:t xml:space="preserve">tento dodatek </w:t>
      </w:r>
      <w:r w:rsidR="00574B5E">
        <w:rPr>
          <w:rFonts w:ascii="Arial" w:hAnsi="Arial" w:cs="Arial"/>
          <w:sz w:val="22"/>
        </w:rPr>
        <w:t>číslo 2</w:t>
      </w:r>
      <w:r w:rsidR="000F049B">
        <w:rPr>
          <w:rFonts w:ascii="Arial" w:hAnsi="Arial" w:cs="Arial"/>
          <w:sz w:val="22"/>
        </w:rPr>
        <w:t xml:space="preserve"> </w:t>
      </w:r>
      <w:r w:rsidRPr="005347FD">
        <w:rPr>
          <w:rFonts w:ascii="Arial" w:hAnsi="Arial" w:cs="Arial"/>
          <w:sz w:val="22"/>
        </w:rPr>
        <w:t>(dále jen „dodatek”) ke</w:t>
      </w:r>
      <w:r w:rsidR="00D039B0">
        <w:rPr>
          <w:rFonts w:ascii="Arial" w:hAnsi="Arial" w:cs="Arial"/>
          <w:sz w:val="22"/>
        </w:rPr>
        <w:t xml:space="preserve"> S</w:t>
      </w:r>
      <w:r w:rsidRPr="005347FD">
        <w:rPr>
          <w:rFonts w:ascii="Arial" w:hAnsi="Arial" w:cs="Arial"/>
          <w:sz w:val="22"/>
        </w:rPr>
        <w:t xml:space="preserve">mlouvě o </w:t>
      </w:r>
      <w:r w:rsidR="00D039B0">
        <w:rPr>
          <w:rFonts w:ascii="Arial" w:hAnsi="Arial" w:cs="Arial"/>
          <w:sz w:val="22"/>
        </w:rPr>
        <w:t xml:space="preserve">poskytování služeb uzavřené dne </w:t>
      </w:r>
      <w:r w:rsidR="00FE4E81">
        <w:rPr>
          <w:rFonts w:ascii="Arial" w:hAnsi="Arial" w:cs="Arial"/>
          <w:sz w:val="22"/>
        </w:rPr>
        <w:t>16. 08. 2021</w:t>
      </w:r>
      <w:r w:rsidR="004F6C7D">
        <w:rPr>
          <w:rStyle w:val="Znakapoznpodarou"/>
          <w:rFonts w:ascii="Arial" w:hAnsi="Arial" w:cs="Arial"/>
          <w:sz w:val="22"/>
        </w:rPr>
        <w:footnoteReference w:id="6"/>
      </w:r>
      <w:r w:rsidR="00E2278F">
        <w:rPr>
          <w:rFonts w:ascii="Arial" w:hAnsi="Arial" w:cs="Arial"/>
          <w:sz w:val="22"/>
        </w:rPr>
        <w:t xml:space="preserve"> (dále jen „S</w:t>
      </w:r>
      <w:r w:rsidRPr="005347FD">
        <w:rPr>
          <w:rFonts w:ascii="Arial" w:hAnsi="Arial" w:cs="Arial"/>
          <w:sz w:val="22"/>
        </w:rPr>
        <w:t>mlouva").</w:t>
      </w:r>
    </w:p>
    <w:p w14:paraId="43847D8B" w14:textId="77777777" w:rsidR="00361459" w:rsidRDefault="00361459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4CD10DAC" w14:textId="77777777" w:rsidR="00361459" w:rsidRPr="005347FD" w:rsidRDefault="00361459" w:rsidP="00F805A6">
      <w:pPr>
        <w:spacing w:after="120"/>
        <w:ind w:left="0" w:right="9" w:firstLine="0"/>
        <w:rPr>
          <w:rFonts w:ascii="Arial" w:hAnsi="Arial" w:cs="Arial"/>
          <w:sz w:val="22"/>
        </w:rPr>
      </w:pPr>
    </w:p>
    <w:p w14:paraId="0B064C11" w14:textId="77777777" w:rsidR="00F95304" w:rsidRPr="00A90660" w:rsidRDefault="00202470">
      <w:pPr>
        <w:spacing w:after="0" w:line="259" w:lineRule="auto"/>
        <w:ind w:left="96" w:firstLine="0"/>
        <w:jc w:val="center"/>
        <w:rPr>
          <w:rFonts w:ascii="Arial" w:hAnsi="Arial" w:cs="Arial"/>
          <w:b/>
          <w:sz w:val="22"/>
        </w:rPr>
      </w:pPr>
      <w:r w:rsidRPr="00A90660">
        <w:rPr>
          <w:rFonts w:ascii="Arial" w:hAnsi="Arial" w:cs="Arial"/>
          <w:b/>
          <w:sz w:val="22"/>
        </w:rPr>
        <w:lastRenderedPageBreak/>
        <w:t>Článek I</w:t>
      </w:r>
    </w:p>
    <w:p w14:paraId="0BA0CDB8" w14:textId="77777777" w:rsidR="00F95304" w:rsidRDefault="00202470" w:rsidP="00842B24">
      <w:pPr>
        <w:spacing w:after="187" w:line="259" w:lineRule="auto"/>
        <w:jc w:val="center"/>
        <w:rPr>
          <w:rFonts w:ascii="Arial" w:hAnsi="Arial" w:cs="Arial"/>
          <w:b/>
          <w:sz w:val="22"/>
        </w:rPr>
      </w:pPr>
      <w:r w:rsidRPr="00842B24">
        <w:rPr>
          <w:rFonts w:ascii="Arial" w:hAnsi="Arial" w:cs="Arial"/>
          <w:b/>
          <w:sz w:val="22"/>
        </w:rPr>
        <w:t>Předmět dodatku</w:t>
      </w:r>
    </w:p>
    <w:p w14:paraId="3EBB5E55" w14:textId="1D3B35AD" w:rsidR="007B3807" w:rsidRDefault="00E46E33" w:rsidP="007B3807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7B3807">
        <w:rPr>
          <w:rFonts w:ascii="Arial" w:hAnsi="Arial" w:cs="Arial"/>
          <w:sz w:val="22"/>
        </w:rPr>
        <w:t>Smluvní strany mez</w:t>
      </w:r>
      <w:r w:rsidR="007629A6" w:rsidRPr="007B3807">
        <w:rPr>
          <w:rFonts w:ascii="Arial" w:hAnsi="Arial" w:cs="Arial"/>
          <w:sz w:val="22"/>
        </w:rPr>
        <w:t>i sebou uzavřely dne 16. 08. 2021</w:t>
      </w:r>
      <w:r w:rsidRPr="007B3807">
        <w:rPr>
          <w:rFonts w:ascii="Arial" w:hAnsi="Arial" w:cs="Arial"/>
          <w:sz w:val="22"/>
        </w:rPr>
        <w:t xml:space="preserve"> Smlouvu o </w:t>
      </w:r>
      <w:r w:rsidR="007629A6" w:rsidRPr="007B3807">
        <w:rPr>
          <w:rFonts w:ascii="Arial" w:hAnsi="Arial" w:cs="Arial"/>
          <w:sz w:val="22"/>
        </w:rPr>
        <w:t>poskytování služeb</w:t>
      </w:r>
      <w:r w:rsidRPr="007B3807">
        <w:rPr>
          <w:rFonts w:ascii="Arial" w:hAnsi="Arial" w:cs="Arial"/>
          <w:sz w:val="22"/>
        </w:rPr>
        <w:t xml:space="preserve">, </w:t>
      </w:r>
      <w:r w:rsidR="00D71341" w:rsidRPr="007B3807">
        <w:rPr>
          <w:rFonts w:ascii="Arial" w:hAnsi="Arial" w:cs="Arial"/>
          <w:sz w:val="22"/>
        </w:rPr>
        <w:t xml:space="preserve">č. j. 13813/2021-UVCR-39 </w:t>
      </w:r>
      <w:r w:rsidR="00231702">
        <w:rPr>
          <w:rFonts w:ascii="Arial" w:hAnsi="Arial" w:cs="Arial"/>
          <w:sz w:val="22"/>
        </w:rPr>
        <w:t>č. S</w:t>
      </w:r>
      <w:r w:rsidRPr="007B3807">
        <w:rPr>
          <w:rFonts w:ascii="Arial" w:hAnsi="Arial" w:cs="Arial"/>
          <w:sz w:val="22"/>
        </w:rPr>
        <w:t xml:space="preserve">mlouvy </w:t>
      </w:r>
      <w:r w:rsidR="00D71341" w:rsidRPr="007B3807">
        <w:rPr>
          <w:rFonts w:ascii="Arial" w:hAnsi="Arial" w:cs="Arial"/>
          <w:sz w:val="22"/>
        </w:rPr>
        <w:t>objednatele 21/127-0</w:t>
      </w:r>
      <w:r w:rsidRPr="007B3807">
        <w:rPr>
          <w:rFonts w:ascii="Arial" w:hAnsi="Arial" w:cs="Arial"/>
          <w:sz w:val="22"/>
        </w:rPr>
        <w:t xml:space="preserve"> (dále jen „Smlouva“), jejímž předmětem je </w:t>
      </w:r>
      <w:r w:rsidR="007B3807" w:rsidRPr="007B3807">
        <w:rPr>
          <w:rFonts w:ascii="Arial" w:hAnsi="Arial" w:cs="Arial"/>
          <w:sz w:val="22"/>
        </w:rPr>
        <w:t>závazek poskytovatele přinést objednateli veškeré hardwarové a softwarové řešení akreditačního systému v české  a anglické jazykové mutaci, včetně aplikační podpory systému a veškerých souvisejících  služeb a činností, přičemž podrobná specifikace těchto</w:t>
      </w:r>
      <w:r w:rsidR="00231702">
        <w:rPr>
          <w:rFonts w:ascii="Arial" w:hAnsi="Arial" w:cs="Arial"/>
          <w:sz w:val="22"/>
        </w:rPr>
        <w:t xml:space="preserve"> služeb je uvedena dále ve S</w:t>
      </w:r>
      <w:r w:rsidR="007B3807" w:rsidRPr="007B3807">
        <w:rPr>
          <w:rFonts w:ascii="Arial" w:hAnsi="Arial" w:cs="Arial"/>
          <w:sz w:val="22"/>
        </w:rPr>
        <w:t>mlouvě, zejména v příloze č. 1, a závazek objednatele převzít řádně a včas poskytnuté  služby a platit za ně sjednanou cenu.</w:t>
      </w:r>
    </w:p>
    <w:p w14:paraId="107C7E08" w14:textId="12B5B2E5" w:rsidR="005E4982" w:rsidRPr="00567D1C" w:rsidRDefault="005E4982" w:rsidP="00DC23B5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567D1C">
        <w:rPr>
          <w:rFonts w:ascii="Arial" w:hAnsi="Arial" w:cs="Arial"/>
          <w:sz w:val="22"/>
        </w:rPr>
        <w:t xml:space="preserve">Dne 07. 12. 2021 smluvní strany mezi sebou uzavřely DODATEK č. 1 KE SMLOUVĚ O POSKYTOVÁNÍ SLUŽEB, </w:t>
      </w:r>
      <w:r w:rsidR="00567D1C" w:rsidRPr="00567D1C">
        <w:rPr>
          <w:rFonts w:ascii="Arial" w:hAnsi="Arial" w:cs="Arial"/>
          <w:sz w:val="22"/>
        </w:rPr>
        <w:t>jehož předmětem bylo zajištění b</w:t>
      </w:r>
      <w:r w:rsidRPr="00567D1C">
        <w:rPr>
          <w:rFonts w:ascii="Arial" w:hAnsi="Arial" w:cs="Arial"/>
          <w:sz w:val="22"/>
        </w:rPr>
        <w:t>ezpečnostní</w:t>
      </w:r>
      <w:r w:rsidR="00567D1C" w:rsidRPr="00567D1C">
        <w:rPr>
          <w:rFonts w:ascii="Arial" w:hAnsi="Arial" w:cs="Arial"/>
          <w:sz w:val="22"/>
        </w:rPr>
        <w:t>ho</w:t>
      </w:r>
      <w:r w:rsidRPr="00567D1C">
        <w:rPr>
          <w:rFonts w:ascii="Arial" w:hAnsi="Arial" w:cs="Arial"/>
          <w:sz w:val="22"/>
        </w:rPr>
        <w:t xml:space="preserve"> dohled</w:t>
      </w:r>
      <w:r w:rsidR="00567D1C" w:rsidRPr="00567D1C">
        <w:rPr>
          <w:rFonts w:ascii="Arial" w:hAnsi="Arial" w:cs="Arial"/>
          <w:sz w:val="22"/>
        </w:rPr>
        <w:t>u</w:t>
      </w:r>
      <w:r w:rsidRPr="00567D1C">
        <w:rPr>
          <w:rFonts w:ascii="Arial" w:hAnsi="Arial" w:cs="Arial"/>
          <w:sz w:val="22"/>
        </w:rPr>
        <w:t xml:space="preserve"> na celou dobu předsednictví ČR v Radě EU včetně jednoho měsíce dopředu, tj. od června 2022 do prosince 2022.</w:t>
      </w:r>
      <w:r w:rsidR="00567D1C" w:rsidRPr="00567D1C">
        <w:rPr>
          <w:rFonts w:ascii="Arial" w:hAnsi="Arial" w:cs="Arial"/>
          <w:sz w:val="22"/>
        </w:rPr>
        <w:t xml:space="preserve"> Cílem této již realizované změny závazku ze Smlouvy bylo zkrátit reakční dobu na případné kybernetické útoky.</w:t>
      </w:r>
      <w:r w:rsidR="00DC23B5">
        <w:rPr>
          <w:rFonts w:ascii="Arial" w:hAnsi="Arial" w:cs="Arial"/>
          <w:sz w:val="22"/>
        </w:rPr>
        <w:t xml:space="preserve"> Celková cena plnění byla v dodatku č. 1 stanovena hodnotou </w:t>
      </w:r>
      <w:r w:rsidR="00DC23B5" w:rsidRPr="00DC23B5">
        <w:rPr>
          <w:rFonts w:ascii="Arial" w:hAnsi="Arial" w:cs="Arial"/>
          <w:sz w:val="22"/>
        </w:rPr>
        <w:t>800.800 Kč bez DPH, tj. 968.968 Kč včetně DPH</w:t>
      </w:r>
      <w:r w:rsidR="00DC23B5">
        <w:rPr>
          <w:rFonts w:ascii="Arial" w:hAnsi="Arial" w:cs="Arial"/>
          <w:sz w:val="22"/>
        </w:rPr>
        <w:t xml:space="preserve">, přičemž </w:t>
      </w:r>
      <w:r w:rsidR="008F082E">
        <w:rPr>
          <w:rFonts w:ascii="Arial" w:hAnsi="Arial" w:cs="Arial"/>
          <w:sz w:val="22"/>
        </w:rPr>
        <w:t xml:space="preserve">tato </w:t>
      </w:r>
      <w:r w:rsidR="00DC23B5">
        <w:rPr>
          <w:rFonts w:ascii="Arial" w:hAnsi="Arial" w:cs="Arial"/>
          <w:sz w:val="22"/>
        </w:rPr>
        <w:t>změna závazku ze smlouvy byla realizována dle § 222 odst. 6 ZZVZ.</w:t>
      </w:r>
    </w:p>
    <w:p w14:paraId="7E74E65C" w14:textId="142D5669" w:rsidR="008F082E" w:rsidRDefault="00117D60" w:rsidP="00453C73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 w:rsidRPr="00DE39D6">
        <w:rPr>
          <w:rFonts w:ascii="Arial" w:hAnsi="Arial" w:cs="Arial"/>
          <w:sz w:val="22"/>
        </w:rPr>
        <w:t>V</w:t>
      </w:r>
      <w:r w:rsidR="007B3807" w:rsidRPr="00DE39D6">
        <w:rPr>
          <w:rFonts w:ascii="Arial" w:hAnsi="Arial" w:cs="Arial"/>
          <w:sz w:val="22"/>
        </w:rPr>
        <w:t> průběhu účinnosti (trvání</w:t>
      </w:r>
      <w:r w:rsidR="007B3807" w:rsidRPr="001A06E1">
        <w:rPr>
          <w:rFonts w:ascii="Arial" w:hAnsi="Arial" w:cs="Arial"/>
          <w:sz w:val="22"/>
        </w:rPr>
        <w:t xml:space="preserve">) </w:t>
      </w:r>
      <w:r w:rsidR="00511246">
        <w:rPr>
          <w:rFonts w:ascii="Arial" w:hAnsi="Arial" w:cs="Arial"/>
          <w:sz w:val="22"/>
        </w:rPr>
        <w:t xml:space="preserve">realizační </w:t>
      </w:r>
      <w:r w:rsidR="007B3807" w:rsidRPr="001A06E1">
        <w:rPr>
          <w:rFonts w:ascii="Arial" w:hAnsi="Arial" w:cs="Arial"/>
          <w:sz w:val="22"/>
        </w:rPr>
        <w:t xml:space="preserve">Smlouvy zasáhla do plnění závazku ze </w:t>
      </w:r>
      <w:r w:rsidR="00306909">
        <w:rPr>
          <w:rFonts w:ascii="Arial" w:hAnsi="Arial" w:cs="Arial"/>
          <w:sz w:val="22"/>
        </w:rPr>
        <w:t xml:space="preserve">Smlouvy </w:t>
      </w:r>
      <w:r w:rsidR="00DE39D6">
        <w:rPr>
          <w:rFonts w:ascii="Arial" w:hAnsi="Arial" w:cs="Arial"/>
          <w:sz w:val="22"/>
        </w:rPr>
        <w:t xml:space="preserve">další nezbytná </w:t>
      </w:r>
      <w:r w:rsidR="008F082E">
        <w:rPr>
          <w:rFonts w:ascii="Arial" w:hAnsi="Arial" w:cs="Arial"/>
          <w:sz w:val="22"/>
        </w:rPr>
        <w:t>potřeba změny závazku</w:t>
      </w:r>
      <w:r w:rsidR="00DE39D6">
        <w:rPr>
          <w:rFonts w:ascii="Arial" w:hAnsi="Arial" w:cs="Arial"/>
          <w:sz w:val="22"/>
        </w:rPr>
        <w:t xml:space="preserve"> </w:t>
      </w:r>
      <w:r w:rsidR="00511246">
        <w:rPr>
          <w:rFonts w:ascii="Arial" w:hAnsi="Arial" w:cs="Arial"/>
          <w:sz w:val="22"/>
        </w:rPr>
        <w:t xml:space="preserve">s nižší hodnotou </w:t>
      </w:r>
      <w:r w:rsidR="00DE39D6">
        <w:rPr>
          <w:rFonts w:ascii="Arial" w:hAnsi="Arial" w:cs="Arial"/>
          <w:sz w:val="22"/>
        </w:rPr>
        <w:t>(změna de minimis)</w:t>
      </w:r>
      <w:r w:rsidR="00E878A1" w:rsidRPr="001A06E1">
        <w:rPr>
          <w:rFonts w:ascii="Arial" w:hAnsi="Arial" w:cs="Arial"/>
          <w:sz w:val="22"/>
        </w:rPr>
        <w:t>, která ovlivň</w:t>
      </w:r>
      <w:r w:rsidR="00DE39D6">
        <w:rPr>
          <w:rFonts w:ascii="Arial" w:hAnsi="Arial" w:cs="Arial"/>
          <w:sz w:val="22"/>
        </w:rPr>
        <w:t xml:space="preserve">uje podmínky realizace Smlouvy. Smluvní strany se </w:t>
      </w:r>
      <w:r w:rsidR="008F082E">
        <w:rPr>
          <w:rFonts w:ascii="Arial" w:hAnsi="Arial" w:cs="Arial"/>
          <w:sz w:val="22"/>
        </w:rPr>
        <w:t xml:space="preserve">tak </w:t>
      </w:r>
      <w:r w:rsidR="00DE39D6">
        <w:rPr>
          <w:rFonts w:ascii="Arial" w:hAnsi="Arial" w:cs="Arial"/>
          <w:sz w:val="22"/>
        </w:rPr>
        <w:t xml:space="preserve">dohodly </w:t>
      </w:r>
      <w:r w:rsidR="00E878A1" w:rsidRPr="001A06E1">
        <w:rPr>
          <w:rFonts w:ascii="Arial" w:hAnsi="Arial" w:cs="Arial"/>
          <w:sz w:val="22"/>
        </w:rPr>
        <w:t xml:space="preserve">na </w:t>
      </w:r>
      <w:r w:rsidR="00DE39D6">
        <w:rPr>
          <w:rFonts w:ascii="Arial" w:hAnsi="Arial" w:cs="Arial"/>
          <w:sz w:val="22"/>
        </w:rPr>
        <w:t xml:space="preserve">další (v pořadí již druhé) </w:t>
      </w:r>
      <w:r w:rsidR="00E878A1" w:rsidRPr="001A06E1">
        <w:rPr>
          <w:rFonts w:ascii="Arial" w:hAnsi="Arial" w:cs="Arial"/>
          <w:sz w:val="22"/>
        </w:rPr>
        <w:t xml:space="preserve">změně </w:t>
      </w:r>
      <w:r w:rsidR="00E26B91" w:rsidRPr="001A06E1">
        <w:rPr>
          <w:rFonts w:ascii="Arial" w:hAnsi="Arial" w:cs="Arial"/>
          <w:sz w:val="22"/>
        </w:rPr>
        <w:t xml:space="preserve">závazku ze </w:t>
      </w:r>
      <w:r w:rsidR="00E878A1" w:rsidRPr="001A06E1">
        <w:rPr>
          <w:rFonts w:ascii="Arial" w:hAnsi="Arial" w:cs="Arial"/>
          <w:sz w:val="22"/>
        </w:rPr>
        <w:t>Smlouvy</w:t>
      </w:r>
      <w:r w:rsidR="00E26B91" w:rsidRPr="001A06E1">
        <w:rPr>
          <w:rFonts w:ascii="Arial" w:hAnsi="Arial" w:cs="Arial"/>
          <w:sz w:val="22"/>
        </w:rPr>
        <w:t xml:space="preserve"> na veřejnou zakázku</w:t>
      </w:r>
      <w:r w:rsidR="00E878A1" w:rsidRPr="001A06E1">
        <w:rPr>
          <w:rFonts w:ascii="Arial" w:hAnsi="Arial" w:cs="Arial"/>
          <w:sz w:val="22"/>
        </w:rPr>
        <w:t xml:space="preserve">. Potřeba </w:t>
      </w:r>
      <w:r w:rsidR="00DE39D6">
        <w:rPr>
          <w:rFonts w:ascii="Arial" w:hAnsi="Arial" w:cs="Arial"/>
          <w:sz w:val="22"/>
        </w:rPr>
        <w:t xml:space="preserve">této </w:t>
      </w:r>
      <w:r w:rsidR="00E878A1" w:rsidRPr="001A06E1">
        <w:rPr>
          <w:rFonts w:ascii="Arial" w:hAnsi="Arial" w:cs="Arial"/>
          <w:sz w:val="22"/>
        </w:rPr>
        <w:t xml:space="preserve">změny závazku ze Smlouvy </w:t>
      </w:r>
      <w:r w:rsidR="00E26B91" w:rsidRPr="001A06E1">
        <w:rPr>
          <w:rFonts w:ascii="Arial" w:hAnsi="Arial" w:cs="Arial"/>
          <w:sz w:val="22"/>
        </w:rPr>
        <w:t>na veřejnou zakázku ne</w:t>
      </w:r>
      <w:r w:rsidR="00E878A1" w:rsidRPr="001A06E1">
        <w:rPr>
          <w:rFonts w:ascii="Arial" w:hAnsi="Arial" w:cs="Arial"/>
          <w:sz w:val="22"/>
        </w:rPr>
        <w:t>mění celkovou povahu veřejné zakázky</w:t>
      </w:r>
      <w:r w:rsidR="00164433">
        <w:rPr>
          <w:rFonts w:ascii="Arial" w:hAnsi="Arial" w:cs="Arial"/>
          <w:sz w:val="22"/>
        </w:rPr>
        <w:t>, je povolenou, nepodstatnou změnou</w:t>
      </w:r>
      <w:r w:rsidR="00E878A1" w:rsidRPr="001A06E1">
        <w:rPr>
          <w:rFonts w:ascii="Arial" w:hAnsi="Arial" w:cs="Arial"/>
          <w:sz w:val="22"/>
        </w:rPr>
        <w:t xml:space="preserve"> </w:t>
      </w:r>
      <w:r w:rsidR="00511246">
        <w:rPr>
          <w:rFonts w:ascii="Arial" w:hAnsi="Arial" w:cs="Arial"/>
          <w:sz w:val="22"/>
        </w:rPr>
        <w:t xml:space="preserve">s nižší hodnotou </w:t>
      </w:r>
      <w:r w:rsidR="00DC21AE">
        <w:rPr>
          <w:rFonts w:ascii="Arial" w:hAnsi="Arial" w:cs="Arial"/>
          <w:sz w:val="22"/>
        </w:rPr>
        <w:t xml:space="preserve">dle § 222 ZZVZ </w:t>
      </w:r>
      <w:r w:rsidR="00511246">
        <w:rPr>
          <w:rFonts w:ascii="Arial" w:hAnsi="Arial" w:cs="Arial"/>
          <w:sz w:val="22"/>
        </w:rPr>
        <w:t>odst. 4 ZZVZ</w:t>
      </w:r>
      <w:r w:rsidR="00E26B91" w:rsidRPr="00511246">
        <w:rPr>
          <w:rFonts w:ascii="Arial" w:hAnsi="Arial" w:cs="Arial"/>
          <w:sz w:val="22"/>
        </w:rPr>
        <w:t>.</w:t>
      </w:r>
      <w:r w:rsidR="001767DD" w:rsidRPr="00511246">
        <w:rPr>
          <w:rFonts w:ascii="Arial" w:hAnsi="Arial" w:cs="Arial"/>
          <w:sz w:val="22"/>
        </w:rPr>
        <w:t xml:space="preserve"> </w:t>
      </w:r>
      <w:r w:rsidR="00395163" w:rsidRPr="00511246">
        <w:rPr>
          <w:rFonts w:ascii="Arial" w:hAnsi="Arial" w:cs="Arial"/>
          <w:sz w:val="22"/>
        </w:rPr>
        <w:t xml:space="preserve">Zadavatel je oprávněn provést tuto </w:t>
      </w:r>
      <w:r w:rsidR="00164433" w:rsidRPr="00511246">
        <w:rPr>
          <w:rFonts w:ascii="Arial" w:hAnsi="Arial" w:cs="Arial"/>
          <w:sz w:val="22"/>
        </w:rPr>
        <w:t xml:space="preserve">povolenou </w:t>
      </w:r>
      <w:r w:rsidR="00395163" w:rsidRPr="00511246">
        <w:rPr>
          <w:rFonts w:ascii="Arial" w:hAnsi="Arial" w:cs="Arial"/>
          <w:sz w:val="22"/>
        </w:rPr>
        <w:t>změnu závazku ze Smlouvy</w:t>
      </w:r>
      <w:r w:rsidR="00164433" w:rsidRPr="00511246">
        <w:rPr>
          <w:rFonts w:ascii="Arial" w:hAnsi="Arial" w:cs="Arial"/>
          <w:sz w:val="22"/>
        </w:rPr>
        <w:t xml:space="preserve"> dle § 222 odst. </w:t>
      </w:r>
      <w:r w:rsidR="00511246">
        <w:rPr>
          <w:rFonts w:ascii="Arial" w:hAnsi="Arial" w:cs="Arial"/>
          <w:sz w:val="22"/>
        </w:rPr>
        <w:t>4</w:t>
      </w:r>
      <w:r w:rsidR="00164433" w:rsidRPr="00511246">
        <w:rPr>
          <w:rFonts w:ascii="Arial" w:hAnsi="Arial" w:cs="Arial"/>
          <w:sz w:val="22"/>
        </w:rPr>
        <w:t xml:space="preserve"> ZZVZ</w:t>
      </w:r>
      <w:r w:rsidR="00511246">
        <w:rPr>
          <w:rFonts w:ascii="Arial" w:hAnsi="Arial" w:cs="Arial"/>
          <w:sz w:val="22"/>
        </w:rPr>
        <w:t xml:space="preserve"> (tzv. změna de minimis)</w:t>
      </w:r>
      <w:r w:rsidR="00395163" w:rsidRPr="00511246">
        <w:rPr>
          <w:rFonts w:ascii="Arial" w:hAnsi="Arial" w:cs="Arial"/>
          <w:sz w:val="22"/>
        </w:rPr>
        <w:t xml:space="preserve">, aniž by byl nucen realizovat </w:t>
      </w:r>
      <w:r w:rsidR="00C61538" w:rsidRPr="00511246">
        <w:rPr>
          <w:rFonts w:ascii="Arial" w:hAnsi="Arial" w:cs="Arial"/>
          <w:sz w:val="22"/>
        </w:rPr>
        <w:t>nové</w:t>
      </w:r>
      <w:r w:rsidR="00395163" w:rsidRPr="00511246">
        <w:rPr>
          <w:rFonts w:ascii="Arial" w:hAnsi="Arial" w:cs="Arial"/>
          <w:sz w:val="22"/>
        </w:rPr>
        <w:t xml:space="preserve"> zad</w:t>
      </w:r>
      <w:r w:rsidR="00164433" w:rsidRPr="00511246">
        <w:rPr>
          <w:rFonts w:ascii="Arial" w:hAnsi="Arial" w:cs="Arial"/>
          <w:sz w:val="22"/>
        </w:rPr>
        <w:t xml:space="preserve">ávací řízení. </w:t>
      </w:r>
      <w:r w:rsidR="00E40F45" w:rsidRPr="00511246">
        <w:rPr>
          <w:rFonts w:ascii="Arial" w:hAnsi="Arial" w:cs="Arial"/>
          <w:sz w:val="22"/>
        </w:rPr>
        <w:t xml:space="preserve">Hodnota </w:t>
      </w:r>
      <w:r w:rsidR="00E40F45" w:rsidRPr="007E69CF">
        <w:rPr>
          <w:rFonts w:ascii="Arial" w:hAnsi="Arial" w:cs="Arial"/>
          <w:sz w:val="22"/>
        </w:rPr>
        <w:t xml:space="preserve">změny </w:t>
      </w:r>
      <w:r w:rsidR="001673D4" w:rsidRPr="007E69CF">
        <w:rPr>
          <w:rFonts w:ascii="Arial" w:hAnsi="Arial" w:cs="Arial"/>
          <w:sz w:val="22"/>
        </w:rPr>
        <w:t>(</w:t>
      </w:r>
      <w:r w:rsidR="007E69CF" w:rsidRPr="007E69CF">
        <w:rPr>
          <w:rFonts w:ascii="Arial" w:hAnsi="Arial" w:cs="Arial"/>
          <w:bCs/>
          <w:sz w:val="22"/>
          <w:lang w:eastAsia="ja-JP"/>
        </w:rPr>
        <w:t xml:space="preserve">255.000 </w:t>
      </w:r>
      <w:r w:rsidR="007E69CF">
        <w:rPr>
          <w:rFonts w:ascii="Arial" w:hAnsi="Arial" w:cs="Arial"/>
          <w:bCs/>
          <w:sz w:val="22"/>
          <w:lang w:eastAsia="ja-JP"/>
        </w:rPr>
        <w:t xml:space="preserve">Kč </w:t>
      </w:r>
      <w:r w:rsidR="007E69CF" w:rsidRPr="007E69CF">
        <w:rPr>
          <w:rFonts w:ascii="Arial" w:hAnsi="Arial" w:cs="Arial"/>
          <w:bCs/>
          <w:sz w:val="22"/>
          <w:lang w:eastAsia="ja-JP"/>
        </w:rPr>
        <w:t xml:space="preserve">bez DPH) </w:t>
      </w:r>
      <w:r w:rsidR="00505EE5" w:rsidRPr="007E69CF">
        <w:rPr>
          <w:rFonts w:ascii="Arial" w:hAnsi="Arial" w:cs="Arial"/>
          <w:sz w:val="22"/>
        </w:rPr>
        <w:t>je nižší</w:t>
      </w:r>
      <w:r w:rsidR="00505EE5">
        <w:rPr>
          <w:rFonts w:ascii="Arial" w:hAnsi="Arial" w:cs="Arial"/>
          <w:sz w:val="22"/>
        </w:rPr>
        <w:t xml:space="preserve"> než finanční limit pro nadlimitní veřejnou zakázku</w:t>
      </w:r>
      <w:r w:rsidR="00505EE5">
        <w:rPr>
          <w:rStyle w:val="Znakapoznpodarou"/>
          <w:rFonts w:ascii="Arial" w:hAnsi="Arial" w:cs="Arial"/>
          <w:sz w:val="22"/>
        </w:rPr>
        <w:footnoteReference w:id="7"/>
      </w:r>
      <w:r w:rsidR="00505EE5">
        <w:rPr>
          <w:rFonts w:ascii="Arial" w:hAnsi="Arial" w:cs="Arial"/>
          <w:sz w:val="22"/>
        </w:rPr>
        <w:t xml:space="preserve"> </w:t>
      </w:r>
      <w:r w:rsidR="008F082E">
        <w:rPr>
          <w:rFonts w:ascii="Arial" w:hAnsi="Arial" w:cs="Arial"/>
          <w:sz w:val="22"/>
        </w:rPr>
        <w:t>a zárove</w:t>
      </w:r>
      <w:r w:rsidR="001673D4">
        <w:rPr>
          <w:rFonts w:ascii="Arial" w:hAnsi="Arial" w:cs="Arial"/>
          <w:sz w:val="22"/>
        </w:rPr>
        <w:t xml:space="preserve">ň nižší než 10% původní hodnoty závazku (původní hodnota závazku byla </w:t>
      </w:r>
      <w:r w:rsidR="001673D4" w:rsidRPr="001673D4">
        <w:rPr>
          <w:rFonts w:ascii="Arial" w:hAnsi="Arial" w:cs="Arial"/>
          <w:sz w:val="22"/>
        </w:rPr>
        <w:t>2.670.000 Kč bez DPH, tj. 3.230.700 Kč včetně DPH</w:t>
      </w:r>
    </w:p>
    <w:p w14:paraId="2B45F225" w14:textId="77777777" w:rsidR="0009266E" w:rsidRDefault="007E69CF" w:rsidP="009130CF">
      <w:pPr>
        <w:pStyle w:val="Odstavecseseznamem"/>
        <w:numPr>
          <w:ilvl w:val="0"/>
          <w:numId w:val="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Ačkoliv u změn</w:t>
      </w:r>
      <w:r w:rsidR="0009266E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s nižší hodnotou (tzv. změna de minimis) není z pohledu ZZVZ nutné zkoumat jejich důvod, zadavatel pro plnou informovanost a transparentnost konstatuje, že z</w:t>
      </w:r>
      <w:r w:rsidR="00C32567" w:rsidRPr="00C336B6">
        <w:rPr>
          <w:rFonts w:ascii="Arial" w:hAnsi="Arial" w:cs="Arial"/>
          <w:sz w:val="22"/>
        </w:rPr>
        <w:t>měna spočívá</w:t>
      </w:r>
      <w:r w:rsidR="003D1DF0" w:rsidRPr="00C336B6">
        <w:rPr>
          <w:rFonts w:ascii="Arial" w:hAnsi="Arial" w:cs="Arial"/>
          <w:sz w:val="22"/>
        </w:rPr>
        <w:t xml:space="preserve"> </w:t>
      </w:r>
      <w:r w:rsidR="0009266E" w:rsidRPr="0009266E">
        <w:rPr>
          <w:rFonts w:ascii="Arial" w:hAnsi="Arial" w:cs="Arial"/>
          <w:sz w:val="22"/>
        </w:rPr>
        <w:t>v rozšíření komponent k akreditačnímu systému</w:t>
      </w:r>
      <w:r w:rsidR="0009266E">
        <w:rPr>
          <w:rFonts w:ascii="Arial" w:hAnsi="Arial" w:cs="Arial"/>
          <w:sz w:val="22"/>
        </w:rPr>
        <w:t xml:space="preserve"> o níže uvedené služby, komponenty a aplikace:</w:t>
      </w:r>
    </w:p>
    <w:p w14:paraId="768B5867" w14:textId="1E8E8987" w:rsidR="00842B24" w:rsidRPr="00EC15F6" w:rsidRDefault="00891DBC" w:rsidP="0057334A">
      <w:pPr>
        <w:pStyle w:val="Odstavecseseznamem"/>
        <w:numPr>
          <w:ilvl w:val="0"/>
          <w:numId w:val="11"/>
        </w:numPr>
        <w:spacing w:after="120" w:line="240" w:lineRule="auto"/>
        <w:ind w:left="851" w:hanging="284"/>
        <w:contextualSpacing w:val="0"/>
        <w:rPr>
          <w:rFonts w:ascii="Arial" w:hAnsi="Arial" w:cs="Arial"/>
          <w:b/>
          <w:i/>
          <w:color w:val="auto"/>
          <w:sz w:val="22"/>
        </w:rPr>
      </w:pPr>
      <w:r w:rsidRPr="00EC15F6">
        <w:rPr>
          <w:rFonts w:ascii="Arial" w:hAnsi="Arial" w:cs="Arial"/>
          <w:b/>
          <w:bCs/>
          <w:i/>
          <w:color w:val="auto"/>
          <w:sz w:val="22"/>
        </w:rPr>
        <w:t>celkem 20.000 ks badgů</w:t>
      </w:r>
      <w:r w:rsidR="0009266E" w:rsidRPr="00EC15F6">
        <w:rPr>
          <w:rFonts w:ascii="Arial" w:hAnsi="Arial" w:cs="Arial"/>
          <w:b/>
          <w:i/>
          <w:color w:val="auto"/>
          <w:sz w:val="22"/>
        </w:rPr>
        <w:t xml:space="preserve"> </w:t>
      </w:r>
      <w:r w:rsidRPr="00EC15F6">
        <w:rPr>
          <w:rFonts w:ascii="Arial" w:hAnsi="Arial" w:cs="Arial"/>
          <w:b/>
          <w:i/>
          <w:color w:val="auto"/>
          <w:sz w:val="22"/>
        </w:rPr>
        <w:t>včetně spotřebního materiálu</w:t>
      </w:r>
    </w:p>
    <w:p w14:paraId="54E06759" w14:textId="38B877FC" w:rsidR="00891DBC" w:rsidRPr="00EC15F6" w:rsidRDefault="00891DBC" w:rsidP="0057334A">
      <w:pPr>
        <w:pStyle w:val="Odstavecseseznamem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b/>
          <w:i/>
          <w:sz w:val="22"/>
        </w:rPr>
      </w:pPr>
      <w:r w:rsidRPr="00EC15F6">
        <w:rPr>
          <w:rFonts w:ascii="Arial" w:hAnsi="Arial" w:cs="Arial"/>
          <w:b/>
          <w:i/>
          <w:sz w:val="22"/>
        </w:rPr>
        <w:t>vypracování grafiky akreditačního systému a jeho</w:t>
      </w:r>
      <w:r w:rsidR="00516529" w:rsidRPr="00EC15F6">
        <w:rPr>
          <w:rFonts w:ascii="Arial" w:hAnsi="Arial" w:cs="Arial"/>
          <w:b/>
          <w:i/>
          <w:sz w:val="22"/>
        </w:rPr>
        <w:t xml:space="preserve"> implementac</w:t>
      </w:r>
      <w:r w:rsidRPr="00EC15F6">
        <w:rPr>
          <w:rFonts w:ascii="Arial" w:hAnsi="Arial" w:cs="Arial"/>
          <w:b/>
          <w:i/>
          <w:sz w:val="22"/>
        </w:rPr>
        <w:t>e</w:t>
      </w:r>
      <w:r w:rsidR="00516529" w:rsidRPr="00EC15F6">
        <w:rPr>
          <w:rFonts w:ascii="Arial" w:hAnsi="Arial" w:cs="Arial"/>
          <w:b/>
          <w:i/>
          <w:sz w:val="22"/>
        </w:rPr>
        <w:t xml:space="preserve"> </w:t>
      </w:r>
      <w:r w:rsidRPr="00EC15F6">
        <w:rPr>
          <w:rFonts w:ascii="Arial" w:hAnsi="Arial" w:cs="Arial"/>
          <w:b/>
          <w:i/>
          <w:sz w:val="22"/>
        </w:rPr>
        <w:t>do akreditačního systému.</w:t>
      </w:r>
    </w:p>
    <w:p w14:paraId="608D53ED" w14:textId="0DC96BF2" w:rsidR="00891DBC" w:rsidRPr="00EC15F6" w:rsidRDefault="00865EEF" w:rsidP="0057334A">
      <w:pPr>
        <w:pStyle w:val="Odstavecseseznamem"/>
        <w:numPr>
          <w:ilvl w:val="0"/>
          <w:numId w:val="11"/>
        </w:numPr>
        <w:spacing w:after="120"/>
        <w:ind w:left="851" w:hanging="284"/>
        <w:contextualSpacing w:val="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Zvýšení kybernetické bezpečnosti akreditačního systému</w:t>
      </w:r>
    </w:p>
    <w:p w14:paraId="45AF8ED3" w14:textId="49222FCC" w:rsidR="00524B32" w:rsidRPr="00453C73" w:rsidRDefault="00524B32" w:rsidP="00524B32">
      <w:pPr>
        <w:pStyle w:val="Odstavecseseznamem"/>
        <w:spacing w:after="120" w:line="240" w:lineRule="auto"/>
        <w:ind w:left="567" w:firstLine="0"/>
        <w:jc w:val="center"/>
        <w:rPr>
          <w:rFonts w:ascii="Arial" w:hAnsi="Arial" w:cs="Arial"/>
          <w:b/>
          <w:sz w:val="22"/>
        </w:rPr>
      </w:pPr>
      <w:r w:rsidRPr="00453C73">
        <w:rPr>
          <w:rFonts w:ascii="Arial" w:hAnsi="Arial" w:cs="Arial"/>
          <w:b/>
          <w:sz w:val="22"/>
        </w:rPr>
        <w:t>Článek I</w:t>
      </w:r>
      <w:r w:rsidR="002A204F" w:rsidRPr="00453C73">
        <w:rPr>
          <w:rFonts w:ascii="Arial" w:hAnsi="Arial" w:cs="Arial"/>
          <w:b/>
          <w:sz w:val="22"/>
        </w:rPr>
        <w:t>I</w:t>
      </w:r>
      <w:r w:rsidRPr="00453C73">
        <w:rPr>
          <w:rFonts w:ascii="Arial" w:hAnsi="Arial" w:cs="Arial"/>
          <w:b/>
          <w:sz w:val="22"/>
        </w:rPr>
        <w:t>.</w:t>
      </w:r>
    </w:p>
    <w:p w14:paraId="7B071768" w14:textId="48584C0C" w:rsidR="00524B32" w:rsidRPr="00453C73" w:rsidRDefault="00524B32" w:rsidP="00524B32">
      <w:pPr>
        <w:pStyle w:val="Odstavecseseznamem"/>
        <w:spacing w:after="120" w:line="240" w:lineRule="auto"/>
        <w:ind w:left="567" w:firstLine="0"/>
        <w:jc w:val="center"/>
        <w:rPr>
          <w:rFonts w:ascii="Arial" w:hAnsi="Arial" w:cs="Arial"/>
          <w:b/>
          <w:sz w:val="22"/>
        </w:rPr>
      </w:pPr>
      <w:r w:rsidRPr="00453C73">
        <w:rPr>
          <w:rFonts w:ascii="Arial" w:hAnsi="Arial" w:cs="Arial"/>
          <w:b/>
          <w:sz w:val="22"/>
        </w:rPr>
        <w:t>Cena a platební podmínky</w:t>
      </w:r>
    </w:p>
    <w:p w14:paraId="7E6A3F46" w14:textId="77777777" w:rsidR="002A204F" w:rsidRPr="00453C73" w:rsidRDefault="002A204F" w:rsidP="00524B32">
      <w:pPr>
        <w:pStyle w:val="Odstavecseseznamem"/>
        <w:spacing w:after="120" w:line="240" w:lineRule="auto"/>
        <w:ind w:left="567" w:firstLine="0"/>
        <w:jc w:val="center"/>
        <w:rPr>
          <w:rFonts w:ascii="Arial" w:hAnsi="Arial" w:cs="Arial"/>
          <w:b/>
          <w:sz w:val="22"/>
        </w:rPr>
      </w:pPr>
    </w:p>
    <w:p w14:paraId="5FC35499" w14:textId="100654CE" w:rsidR="00975637" w:rsidRPr="002A204F" w:rsidRDefault="00975637" w:rsidP="00AF4A7E">
      <w:pPr>
        <w:pStyle w:val="Odstavecseseznamem"/>
        <w:numPr>
          <w:ilvl w:val="0"/>
          <w:numId w:val="12"/>
        </w:numPr>
        <w:spacing w:after="0"/>
        <w:ind w:left="0" w:firstLine="0"/>
        <w:rPr>
          <w:rFonts w:ascii="Arial" w:hAnsi="Arial" w:cs="Arial"/>
          <w:sz w:val="22"/>
        </w:rPr>
      </w:pPr>
      <w:r w:rsidRPr="002A204F">
        <w:rPr>
          <w:rFonts w:ascii="Arial" w:hAnsi="Arial" w:cs="Arial"/>
          <w:sz w:val="22"/>
        </w:rPr>
        <w:t xml:space="preserve">Celková cena za předmět plnění </w:t>
      </w:r>
      <w:r w:rsidR="00516529" w:rsidRPr="002A204F">
        <w:rPr>
          <w:rFonts w:ascii="Arial" w:hAnsi="Arial" w:cs="Arial"/>
          <w:sz w:val="22"/>
        </w:rPr>
        <w:t xml:space="preserve">této </w:t>
      </w:r>
      <w:r w:rsidRPr="002A204F">
        <w:rPr>
          <w:rFonts w:ascii="Arial" w:hAnsi="Arial" w:cs="Arial"/>
          <w:sz w:val="22"/>
        </w:rPr>
        <w:t>změny</w:t>
      </w:r>
      <w:r w:rsidR="009A72E3" w:rsidRPr="002A204F">
        <w:rPr>
          <w:rFonts w:ascii="Arial" w:hAnsi="Arial" w:cs="Arial"/>
          <w:sz w:val="22"/>
        </w:rPr>
        <w:t xml:space="preserve"> </w:t>
      </w:r>
      <w:r w:rsidR="00516529" w:rsidRPr="002A204F">
        <w:rPr>
          <w:rFonts w:ascii="Arial" w:hAnsi="Arial" w:cs="Arial"/>
          <w:sz w:val="22"/>
        </w:rPr>
        <w:t xml:space="preserve">de minimis </w:t>
      </w:r>
      <w:r w:rsidR="009A72E3" w:rsidRPr="002A204F">
        <w:rPr>
          <w:rFonts w:ascii="Arial" w:hAnsi="Arial" w:cs="Arial"/>
          <w:sz w:val="22"/>
        </w:rPr>
        <w:t xml:space="preserve">činí </w:t>
      </w:r>
      <w:r w:rsidR="009A72E3" w:rsidRPr="00697E3B">
        <w:rPr>
          <w:rFonts w:ascii="Arial" w:hAnsi="Arial" w:cs="Arial"/>
          <w:sz w:val="22"/>
          <w:u w:val="single"/>
        </w:rPr>
        <w:t>celkem 255.000 Kč bez DPH</w:t>
      </w:r>
      <w:r w:rsidR="00CB0EEB" w:rsidRPr="002A204F">
        <w:rPr>
          <w:rFonts w:ascii="Arial" w:hAnsi="Arial" w:cs="Arial"/>
          <w:sz w:val="22"/>
        </w:rPr>
        <w:t>.</w:t>
      </w:r>
      <w:r w:rsidR="002A204F" w:rsidRPr="002A204F">
        <w:rPr>
          <w:rFonts w:ascii="Arial" w:hAnsi="Arial" w:cs="Arial"/>
          <w:sz w:val="22"/>
        </w:rPr>
        <w:t xml:space="preserve"> </w:t>
      </w:r>
    </w:p>
    <w:p w14:paraId="5DF00B12" w14:textId="77777777" w:rsidR="002A204F" w:rsidRPr="002A204F" w:rsidRDefault="002A204F" w:rsidP="002A204F">
      <w:pPr>
        <w:pStyle w:val="Odstavecseseznamem"/>
        <w:spacing w:after="0"/>
        <w:ind w:left="0" w:firstLine="0"/>
        <w:rPr>
          <w:rFonts w:ascii="Arial" w:hAnsi="Arial" w:cs="Arial"/>
          <w:b/>
          <w:i/>
          <w:sz w:val="22"/>
        </w:rPr>
      </w:pPr>
    </w:p>
    <w:p w14:paraId="1E0C8595" w14:textId="53F5414E" w:rsidR="00F2556F" w:rsidRPr="002A204F" w:rsidRDefault="00F91C36" w:rsidP="00453C73">
      <w:pPr>
        <w:pStyle w:val="Odstavecseseznamem"/>
        <w:numPr>
          <w:ilvl w:val="0"/>
          <w:numId w:val="12"/>
        </w:numPr>
        <w:spacing w:after="120" w:line="259" w:lineRule="auto"/>
        <w:ind w:left="709" w:right="96" w:hanging="709"/>
        <w:rPr>
          <w:rFonts w:ascii="Arial" w:hAnsi="Arial" w:cs="Arial"/>
          <w:sz w:val="22"/>
        </w:rPr>
      </w:pPr>
      <w:r w:rsidRPr="002A204F">
        <w:rPr>
          <w:rFonts w:ascii="Arial" w:hAnsi="Arial" w:cs="Arial"/>
          <w:sz w:val="22"/>
        </w:rPr>
        <w:t>Splatnost faktur</w:t>
      </w:r>
      <w:r w:rsidR="00CB0EEB" w:rsidRPr="002A204F">
        <w:rPr>
          <w:rFonts w:ascii="Arial" w:hAnsi="Arial" w:cs="Arial"/>
          <w:sz w:val="22"/>
        </w:rPr>
        <w:t>y je 21 dnů ode dne</w:t>
      </w:r>
      <w:r w:rsidRPr="002A204F">
        <w:rPr>
          <w:rFonts w:ascii="Arial" w:hAnsi="Arial" w:cs="Arial"/>
          <w:sz w:val="22"/>
        </w:rPr>
        <w:t xml:space="preserve"> prokazatelného doručení objednateli, a to </w:t>
      </w:r>
      <w:r w:rsidR="002A204F">
        <w:rPr>
          <w:rFonts w:ascii="Arial" w:hAnsi="Arial" w:cs="Arial"/>
          <w:sz w:val="22"/>
        </w:rPr>
        <w:t xml:space="preserve">na adresu sídla objednatele. </w:t>
      </w:r>
      <w:r w:rsidRPr="002A204F">
        <w:rPr>
          <w:rFonts w:ascii="Arial" w:hAnsi="Arial" w:cs="Arial"/>
          <w:sz w:val="22"/>
        </w:rPr>
        <w:t xml:space="preserve">Zaplacením se rozumí den odepsání fakturované částky z účtu objednatele ve prospěch  účtu poskytovatele.  </w:t>
      </w:r>
    </w:p>
    <w:p w14:paraId="3152166D" w14:textId="77777777" w:rsidR="00F95304" w:rsidRPr="00AA20E6" w:rsidRDefault="00202470" w:rsidP="00453C73">
      <w:pPr>
        <w:spacing w:after="0" w:line="259" w:lineRule="auto"/>
        <w:ind w:left="5" w:firstLine="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Článek I</w:t>
      </w:r>
      <w:r w:rsidR="00F2556F">
        <w:rPr>
          <w:rFonts w:ascii="Arial" w:hAnsi="Arial" w:cs="Arial"/>
          <w:b/>
          <w:sz w:val="22"/>
        </w:rPr>
        <w:t>I</w:t>
      </w:r>
      <w:r w:rsidRPr="00AA20E6">
        <w:rPr>
          <w:rFonts w:ascii="Arial" w:hAnsi="Arial" w:cs="Arial"/>
          <w:b/>
          <w:sz w:val="22"/>
        </w:rPr>
        <w:t>I.</w:t>
      </w:r>
    </w:p>
    <w:p w14:paraId="35331995" w14:textId="77777777" w:rsidR="00F95304" w:rsidRDefault="00202470" w:rsidP="00453C73">
      <w:pPr>
        <w:spacing w:after="0" w:line="259" w:lineRule="auto"/>
        <w:ind w:left="106" w:right="96" w:hanging="10"/>
        <w:jc w:val="center"/>
        <w:rPr>
          <w:rFonts w:ascii="Arial" w:hAnsi="Arial" w:cs="Arial"/>
          <w:b/>
          <w:sz w:val="22"/>
        </w:rPr>
      </w:pPr>
      <w:r w:rsidRPr="00AA20E6">
        <w:rPr>
          <w:rFonts w:ascii="Arial" w:hAnsi="Arial" w:cs="Arial"/>
          <w:b/>
          <w:sz w:val="22"/>
        </w:rPr>
        <w:t>Závěrečná ustanovení</w:t>
      </w:r>
    </w:p>
    <w:p w14:paraId="533B4CC9" w14:textId="1348CED5" w:rsidR="00F95304" w:rsidRPr="005A54FA" w:rsidRDefault="00AA20E6" w:rsidP="005A54FA">
      <w:pPr>
        <w:spacing w:after="120"/>
        <w:ind w:left="567" w:right="11" w:hanging="567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>1</w:t>
      </w:r>
      <w:r w:rsidR="00202470" w:rsidRPr="005A54FA">
        <w:rPr>
          <w:rFonts w:ascii="Arial" w:hAnsi="Arial" w:cs="Arial"/>
          <w:sz w:val="22"/>
        </w:rPr>
        <w:t xml:space="preserve">. </w:t>
      </w:r>
      <w:r w:rsidRPr="005A54FA">
        <w:rPr>
          <w:rFonts w:ascii="Arial" w:hAnsi="Arial" w:cs="Arial"/>
          <w:sz w:val="22"/>
        </w:rPr>
        <w:t xml:space="preserve">   </w:t>
      </w:r>
      <w:r w:rsidR="00202470" w:rsidRPr="005A54FA">
        <w:rPr>
          <w:rFonts w:ascii="Arial" w:hAnsi="Arial" w:cs="Arial"/>
          <w:sz w:val="22"/>
        </w:rPr>
        <w:t xml:space="preserve">Ostatní ujednání </w:t>
      </w:r>
      <w:r w:rsidR="007A6AE3">
        <w:rPr>
          <w:rFonts w:ascii="Arial" w:hAnsi="Arial" w:cs="Arial"/>
          <w:sz w:val="22"/>
        </w:rPr>
        <w:t xml:space="preserve">a ustanovení </w:t>
      </w:r>
      <w:r w:rsidR="00E815BE">
        <w:rPr>
          <w:rFonts w:ascii="Arial" w:hAnsi="Arial" w:cs="Arial"/>
          <w:sz w:val="22"/>
        </w:rPr>
        <w:t>S</w:t>
      </w:r>
      <w:r w:rsidR="00202470" w:rsidRPr="005A54FA">
        <w:rPr>
          <w:rFonts w:ascii="Arial" w:hAnsi="Arial" w:cs="Arial"/>
          <w:sz w:val="22"/>
        </w:rPr>
        <w:t>mlouvy, nedotčená tímto dodatkem, zůstávají beze změny.</w:t>
      </w:r>
      <w:r w:rsidR="007A6AE3">
        <w:rPr>
          <w:rFonts w:ascii="Arial" w:hAnsi="Arial" w:cs="Arial"/>
          <w:sz w:val="22"/>
        </w:rPr>
        <w:t xml:space="preserve"> </w:t>
      </w:r>
    </w:p>
    <w:p w14:paraId="24FD990E" w14:textId="3EA3F272" w:rsidR="00F95304" w:rsidRPr="005A54FA" w:rsidRDefault="00202470" w:rsidP="00CB0EEB">
      <w:pPr>
        <w:spacing w:after="120"/>
        <w:ind w:left="426" w:right="11" w:hanging="426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 xml:space="preserve">2. </w:t>
      </w:r>
      <w:r w:rsidR="00AA20E6" w:rsidRPr="005A54FA">
        <w:rPr>
          <w:rFonts w:ascii="Arial" w:hAnsi="Arial" w:cs="Arial"/>
          <w:sz w:val="22"/>
        </w:rPr>
        <w:t xml:space="preserve">   </w:t>
      </w:r>
      <w:r w:rsidRPr="005A54FA">
        <w:rPr>
          <w:rFonts w:ascii="Arial" w:hAnsi="Arial" w:cs="Arial"/>
          <w:sz w:val="22"/>
        </w:rPr>
        <w:t>Objednatel je povinným subjektem ve smyslu zákona č. 340/2015 Sb., o zvláštních podmínkách účinnosti některých smluv, uveřejňování těchto smluv a o registru smluv, ve znění pozdějších předpisů (dále</w:t>
      </w:r>
      <w:r w:rsidR="00E443B0" w:rsidRPr="005A54FA">
        <w:rPr>
          <w:rFonts w:ascii="Arial" w:hAnsi="Arial" w:cs="Arial"/>
          <w:sz w:val="22"/>
        </w:rPr>
        <w:t xml:space="preserve"> jen „Registr smluv”). Poskytovatel</w:t>
      </w:r>
      <w:r w:rsidRPr="005A54FA">
        <w:rPr>
          <w:rFonts w:ascii="Arial" w:hAnsi="Arial" w:cs="Arial"/>
          <w:sz w:val="22"/>
        </w:rPr>
        <w:t xml:space="preserve"> souhlasí se zveřejněním tohoto dodatku v</w:t>
      </w:r>
      <w:r w:rsidR="00F2556F">
        <w:rPr>
          <w:rFonts w:ascii="Arial" w:hAnsi="Arial" w:cs="Arial"/>
          <w:sz w:val="22"/>
        </w:rPr>
        <w:t> </w:t>
      </w:r>
      <w:r w:rsidRPr="005A54FA">
        <w:rPr>
          <w:rFonts w:ascii="Arial" w:hAnsi="Arial" w:cs="Arial"/>
          <w:sz w:val="22"/>
        </w:rPr>
        <w:t>Registru smluv</w:t>
      </w:r>
      <w:r w:rsidR="00E443B0" w:rsidRPr="005A54FA">
        <w:rPr>
          <w:rFonts w:ascii="Arial" w:hAnsi="Arial" w:cs="Arial"/>
          <w:sz w:val="22"/>
        </w:rPr>
        <w:t xml:space="preserve"> </w:t>
      </w:r>
      <w:r w:rsidR="00E9615C" w:rsidRPr="005A54FA">
        <w:rPr>
          <w:rFonts w:ascii="Arial" w:hAnsi="Arial" w:cs="Arial"/>
          <w:sz w:val="22"/>
        </w:rPr>
        <w:t xml:space="preserve">- </w:t>
      </w:r>
      <w:hyperlink r:id="rId10" w:history="1">
        <w:r w:rsidR="00E9615C" w:rsidRPr="005A54FA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E9615C" w:rsidRPr="005A54FA">
        <w:rPr>
          <w:rFonts w:ascii="Arial" w:hAnsi="Arial" w:cs="Arial"/>
          <w:sz w:val="22"/>
        </w:rPr>
        <w:t xml:space="preserve"> </w:t>
      </w:r>
      <w:r w:rsidR="00E443B0" w:rsidRPr="005A54FA">
        <w:rPr>
          <w:rFonts w:ascii="Arial" w:hAnsi="Arial" w:cs="Arial"/>
          <w:sz w:val="22"/>
        </w:rPr>
        <w:t>a sekundárně také na profilu zadavatele v systému E-ZAK</w:t>
      </w:r>
      <w:r w:rsidR="00DC21C1" w:rsidRPr="005A54FA">
        <w:rPr>
          <w:rFonts w:ascii="Arial" w:hAnsi="Arial" w:cs="Arial"/>
          <w:sz w:val="22"/>
        </w:rPr>
        <w:t xml:space="preserve"> - </w:t>
      </w:r>
      <w:hyperlink r:id="rId11" w:history="1">
        <w:r w:rsidR="00DC21C1" w:rsidRPr="005A54FA">
          <w:rPr>
            <w:rStyle w:val="Hypertextovodkaz"/>
            <w:rFonts w:ascii="Arial" w:hAnsi="Arial" w:cs="Arial"/>
            <w:sz w:val="22"/>
          </w:rPr>
          <w:t>https://zakazky.vlada.cz/contract_display_1170.html</w:t>
        </w:r>
      </w:hyperlink>
      <w:r w:rsidRPr="005A54FA">
        <w:rPr>
          <w:rFonts w:ascii="Arial" w:hAnsi="Arial" w:cs="Arial"/>
          <w:sz w:val="22"/>
        </w:rPr>
        <w:t>. Splnění této zákonné povinnosti není porušením důvěrnosti info</w:t>
      </w:r>
      <w:r w:rsidR="005013C0" w:rsidRPr="005A54FA">
        <w:rPr>
          <w:rFonts w:ascii="Arial" w:hAnsi="Arial" w:cs="Arial"/>
          <w:sz w:val="22"/>
        </w:rPr>
        <w:t xml:space="preserve">rmací. Poskytovatel </w:t>
      </w:r>
      <w:r w:rsidRPr="005A54FA">
        <w:rPr>
          <w:rFonts w:ascii="Arial" w:hAnsi="Arial" w:cs="Arial"/>
          <w:sz w:val="22"/>
        </w:rPr>
        <w:t xml:space="preserve">výslovně souhlasí s tím, že </w:t>
      </w:r>
      <w:r w:rsidRPr="005A54FA">
        <w:rPr>
          <w:rFonts w:ascii="Arial" w:hAnsi="Arial" w:cs="Arial"/>
          <w:sz w:val="22"/>
        </w:rPr>
        <w:lastRenderedPageBreak/>
        <w:t>uveřejněno bude úplné znění tohoto dodatku, včetně všech identifikačních a kontakt</w:t>
      </w:r>
      <w:r w:rsidR="005013C0" w:rsidRPr="005A54FA">
        <w:rPr>
          <w:rFonts w:ascii="Arial" w:hAnsi="Arial" w:cs="Arial"/>
          <w:sz w:val="22"/>
        </w:rPr>
        <w:t>ních údajů osob, které poskytovatel</w:t>
      </w:r>
      <w:r w:rsidR="00574B5E">
        <w:rPr>
          <w:rFonts w:ascii="Arial" w:hAnsi="Arial" w:cs="Arial"/>
          <w:sz w:val="22"/>
        </w:rPr>
        <w:t xml:space="preserve"> uvedl v textu tohoto dodatku</w:t>
      </w:r>
      <w:r w:rsidRPr="005A54FA">
        <w:rPr>
          <w:rFonts w:ascii="Arial" w:hAnsi="Arial" w:cs="Arial"/>
          <w:sz w:val="22"/>
        </w:rPr>
        <w:t>. Je-li podle Nařízení parlamentu a Rady (EU) 2016/679 0 ochraně fyzických osob v souvislosti se zpracováním osobních údajů a volném pohybu těchto údajů (Obecného nařízení o ochraně osobních údajů) k uveřejnění těchto údajů potřebný s</w:t>
      </w:r>
      <w:r w:rsidR="005013C0" w:rsidRPr="005A54FA">
        <w:rPr>
          <w:rFonts w:ascii="Arial" w:hAnsi="Arial" w:cs="Arial"/>
          <w:sz w:val="22"/>
        </w:rPr>
        <w:t>ouhlas dotčených osob, poskytovatel</w:t>
      </w:r>
      <w:r w:rsidRPr="005A54FA">
        <w:rPr>
          <w:rFonts w:ascii="Arial" w:hAnsi="Arial" w:cs="Arial"/>
          <w:sz w:val="22"/>
        </w:rPr>
        <w:t xml:space="preserve"> výslovně prohlašuje, že takový souhlas všech dotčených osob zajistil. Smluvní strany se dohodly, že dodatek zašle správci Registru smluv k uveřejnění objednatel a</w:t>
      </w:r>
      <w:r w:rsidR="00F2556F">
        <w:rPr>
          <w:rFonts w:ascii="Arial" w:hAnsi="Arial" w:cs="Arial"/>
          <w:sz w:val="22"/>
        </w:rPr>
        <w:t> </w:t>
      </w:r>
      <w:r w:rsidR="00574B5E">
        <w:rPr>
          <w:rFonts w:ascii="Arial" w:hAnsi="Arial" w:cs="Arial"/>
          <w:sz w:val="22"/>
        </w:rPr>
        <w:t xml:space="preserve">bude poskytovatele </w:t>
      </w:r>
      <w:r w:rsidRPr="005A54FA">
        <w:rPr>
          <w:rFonts w:ascii="Arial" w:hAnsi="Arial" w:cs="Arial"/>
          <w:sz w:val="22"/>
        </w:rPr>
        <w:t>písemně informovat o uveřejnění dodatku v Registru smluv</w:t>
      </w:r>
      <w:r w:rsidR="005013C0" w:rsidRPr="005A54FA">
        <w:rPr>
          <w:rStyle w:val="Znakapoznpodarou"/>
          <w:rFonts w:ascii="Arial" w:hAnsi="Arial" w:cs="Arial"/>
          <w:sz w:val="22"/>
        </w:rPr>
        <w:footnoteReference w:id="8"/>
      </w:r>
      <w:r w:rsidR="00C9000D" w:rsidRPr="005A54FA">
        <w:rPr>
          <w:rFonts w:ascii="Arial" w:hAnsi="Arial" w:cs="Arial"/>
          <w:sz w:val="22"/>
        </w:rPr>
        <w:t>. Poskytovatel</w:t>
      </w:r>
      <w:r w:rsidRPr="005A54FA">
        <w:rPr>
          <w:rFonts w:ascii="Arial" w:hAnsi="Arial" w:cs="Arial"/>
          <w:sz w:val="22"/>
        </w:rPr>
        <w:t xml:space="preserve"> je povinen </w:t>
      </w:r>
      <w:r w:rsidR="00C9000D" w:rsidRPr="005A54FA">
        <w:rPr>
          <w:rFonts w:ascii="Arial" w:hAnsi="Arial" w:cs="Arial"/>
          <w:sz w:val="22"/>
        </w:rPr>
        <w:t xml:space="preserve">sám samostatně </w:t>
      </w:r>
      <w:r w:rsidRPr="005A54FA">
        <w:rPr>
          <w:rFonts w:ascii="Arial" w:hAnsi="Arial" w:cs="Arial"/>
          <w:sz w:val="22"/>
        </w:rPr>
        <w:t xml:space="preserve">zkontrolovat, že dodatek byl v Registru smluv </w:t>
      </w:r>
      <w:hyperlink r:id="rId12" w:history="1">
        <w:r w:rsidR="00C9000D" w:rsidRPr="005A54FA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C9000D" w:rsidRPr="005A54FA">
        <w:rPr>
          <w:rFonts w:ascii="Arial" w:hAnsi="Arial" w:cs="Arial"/>
          <w:sz w:val="22"/>
        </w:rPr>
        <w:t xml:space="preserve"> </w:t>
      </w:r>
      <w:r w:rsidRPr="005A54FA">
        <w:rPr>
          <w:rFonts w:ascii="Arial" w:hAnsi="Arial" w:cs="Arial"/>
          <w:sz w:val="22"/>
        </w:rPr>
        <w:t>řádně uv</w:t>
      </w:r>
      <w:r w:rsidR="00C9000D" w:rsidRPr="005A54FA">
        <w:rPr>
          <w:rFonts w:ascii="Arial" w:hAnsi="Arial" w:cs="Arial"/>
          <w:sz w:val="22"/>
        </w:rPr>
        <w:t>eřejněn. V případě, že poskytovatel</w:t>
      </w:r>
      <w:r w:rsidRPr="005A54FA">
        <w:rPr>
          <w:rFonts w:ascii="Arial" w:hAnsi="Arial" w:cs="Arial"/>
          <w:sz w:val="22"/>
        </w:rPr>
        <w:t xml:space="preserve"> zjistí jakékoliv nepřesnosti či nedostatky, je povinen bez zbytečného odkladu o nich objednatele informovat.</w:t>
      </w:r>
    </w:p>
    <w:p w14:paraId="2FE5865A" w14:textId="77777777" w:rsidR="00371F34" w:rsidRPr="005A54FA" w:rsidRDefault="00416A89" w:rsidP="005A54FA">
      <w:pPr>
        <w:spacing w:after="120"/>
        <w:ind w:left="567" w:right="11" w:hanging="567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 xml:space="preserve">3.   </w:t>
      </w:r>
      <w:r w:rsidR="005A54FA" w:rsidRPr="005A54FA">
        <w:rPr>
          <w:rFonts w:ascii="Arial" w:hAnsi="Arial" w:cs="Arial"/>
          <w:sz w:val="22"/>
        </w:rPr>
        <w:t xml:space="preserve">  </w:t>
      </w:r>
      <w:r w:rsidR="00202470" w:rsidRPr="005A54FA">
        <w:rPr>
          <w:rFonts w:ascii="Arial" w:hAnsi="Arial" w:cs="Arial"/>
          <w:sz w:val="22"/>
        </w:rPr>
        <w:t>Tento dodatek nabývá platnosti dnem podpisu dodatku oběma smluvními stranami a účinnosti dnem uveřejnění v Registru smluv</w:t>
      </w:r>
      <w:r w:rsidR="00C9000D" w:rsidRPr="005A54FA">
        <w:rPr>
          <w:rFonts w:ascii="Arial" w:hAnsi="Arial" w:cs="Arial"/>
          <w:sz w:val="22"/>
        </w:rPr>
        <w:t xml:space="preserve"> </w:t>
      </w:r>
      <w:hyperlink r:id="rId13" w:history="1">
        <w:r w:rsidR="00C9000D" w:rsidRPr="005A54FA">
          <w:rPr>
            <w:rStyle w:val="Hypertextovodkaz"/>
            <w:rFonts w:ascii="Arial" w:hAnsi="Arial" w:cs="Arial"/>
            <w:sz w:val="22"/>
          </w:rPr>
          <w:t>https://smlouvy.gov.cz/</w:t>
        </w:r>
      </w:hyperlink>
      <w:r w:rsidR="00202470" w:rsidRPr="005A54FA">
        <w:rPr>
          <w:rFonts w:ascii="Arial" w:hAnsi="Arial" w:cs="Arial"/>
          <w:sz w:val="22"/>
        </w:rPr>
        <w:t>.</w:t>
      </w:r>
      <w:r w:rsidR="00371F34" w:rsidRPr="005A54FA">
        <w:rPr>
          <w:rFonts w:ascii="Arial" w:hAnsi="Arial" w:cs="Arial"/>
          <w:sz w:val="22"/>
        </w:rPr>
        <w:t xml:space="preserve"> </w:t>
      </w:r>
    </w:p>
    <w:p w14:paraId="1360037D" w14:textId="77777777" w:rsidR="00371F34" w:rsidRPr="005A54FA" w:rsidRDefault="00202470" w:rsidP="005A54FA">
      <w:pPr>
        <w:pStyle w:val="Odstavecseseznamem"/>
        <w:numPr>
          <w:ilvl w:val="0"/>
          <w:numId w:val="5"/>
        </w:numPr>
        <w:spacing w:after="120" w:line="240" w:lineRule="auto"/>
        <w:ind w:left="567" w:right="11" w:hanging="567"/>
        <w:contextualSpacing w:val="0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>Tento dodatek je sepsán ve 4 vyhotove</w:t>
      </w:r>
      <w:r w:rsidR="00DC1530" w:rsidRPr="005A54FA">
        <w:rPr>
          <w:rFonts w:ascii="Arial" w:hAnsi="Arial" w:cs="Arial"/>
          <w:sz w:val="22"/>
        </w:rPr>
        <w:t>ních, z nichž 1 obdrží poskytovatel</w:t>
      </w:r>
      <w:r w:rsidRPr="005A54FA">
        <w:rPr>
          <w:rFonts w:ascii="Arial" w:hAnsi="Arial" w:cs="Arial"/>
          <w:sz w:val="22"/>
        </w:rPr>
        <w:t xml:space="preserve"> a 3 obdrží objednatel.</w:t>
      </w:r>
      <w:r w:rsidR="00371F34" w:rsidRPr="005A54FA">
        <w:rPr>
          <w:rFonts w:ascii="Arial" w:hAnsi="Arial" w:cs="Arial"/>
          <w:sz w:val="22"/>
        </w:rPr>
        <w:t xml:space="preserve"> </w:t>
      </w:r>
    </w:p>
    <w:p w14:paraId="65728F40" w14:textId="1ACF8A57" w:rsidR="00F95304" w:rsidRPr="005A54FA" w:rsidRDefault="00202470" w:rsidP="005A54FA">
      <w:pPr>
        <w:pStyle w:val="Odstavecseseznamem"/>
        <w:numPr>
          <w:ilvl w:val="0"/>
          <w:numId w:val="5"/>
        </w:numPr>
        <w:spacing w:after="120" w:line="240" w:lineRule="auto"/>
        <w:ind w:left="567" w:right="11" w:hanging="567"/>
        <w:contextualSpacing w:val="0"/>
        <w:rPr>
          <w:rFonts w:ascii="Arial" w:hAnsi="Arial" w:cs="Arial"/>
          <w:sz w:val="22"/>
        </w:rPr>
      </w:pPr>
      <w:r w:rsidRPr="005A54FA">
        <w:rPr>
          <w:rFonts w:ascii="Arial" w:hAnsi="Arial" w:cs="Arial"/>
          <w:sz w:val="22"/>
        </w:rPr>
        <w:t>Zástupci smluvních stran prohlašují, že tento dodatek odpovídá jejich svobodné a vážné vůli a</w:t>
      </w:r>
      <w:r w:rsidR="00F2556F">
        <w:rPr>
          <w:rFonts w:ascii="Arial" w:hAnsi="Arial" w:cs="Arial"/>
          <w:sz w:val="22"/>
        </w:rPr>
        <w:t> </w:t>
      </w:r>
      <w:r w:rsidRPr="005A54FA">
        <w:rPr>
          <w:rFonts w:ascii="Arial" w:hAnsi="Arial" w:cs="Arial"/>
          <w:sz w:val="22"/>
        </w:rPr>
        <w:t>nebyl uzavřen v tísni nebo za nápadně nevýhodných podmínek, což stvrzují svými</w:t>
      </w:r>
      <w:r w:rsidR="0086634B" w:rsidRPr="005A54FA">
        <w:rPr>
          <w:rFonts w:ascii="Arial" w:hAnsi="Arial" w:cs="Arial"/>
          <w:sz w:val="22"/>
        </w:rPr>
        <w:t xml:space="preserve"> vlastnoručními podpisy</w:t>
      </w:r>
      <w:r w:rsidR="002261B7" w:rsidRPr="005A54FA">
        <w:rPr>
          <w:rFonts w:ascii="Arial" w:hAnsi="Arial" w:cs="Arial"/>
          <w:sz w:val="22"/>
        </w:rPr>
        <w:t>.</w:t>
      </w:r>
    </w:p>
    <w:p w14:paraId="3920DAE3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3C7A1B3E" w14:textId="4FBF9A83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Praze dne</w:t>
      </w:r>
      <w:r w:rsidR="005A3FF2">
        <w:rPr>
          <w:rFonts w:ascii="Arial" w:hAnsi="Arial" w:cs="Arial"/>
          <w:sz w:val="22"/>
        </w:rPr>
        <w:t>22.06.2022</w:t>
      </w:r>
      <w:r w:rsidR="005A3FF2">
        <w:rPr>
          <w:rFonts w:ascii="Arial" w:hAnsi="Arial" w:cs="Arial"/>
          <w:sz w:val="22"/>
        </w:rPr>
        <w:tab/>
      </w:r>
      <w:r w:rsidR="005A3FF2">
        <w:rPr>
          <w:rFonts w:ascii="Arial" w:hAnsi="Arial" w:cs="Arial"/>
          <w:sz w:val="22"/>
        </w:rPr>
        <w:tab/>
      </w:r>
      <w:r w:rsidR="005A3FF2">
        <w:rPr>
          <w:rFonts w:ascii="Arial" w:hAnsi="Arial" w:cs="Arial"/>
          <w:sz w:val="22"/>
        </w:rPr>
        <w:tab/>
      </w:r>
      <w:r w:rsidR="005A3FF2">
        <w:rPr>
          <w:rFonts w:ascii="Arial" w:hAnsi="Arial" w:cs="Arial"/>
          <w:sz w:val="22"/>
        </w:rPr>
        <w:tab/>
        <w:t xml:space="preserve">          </w:t>
      </w:r>
      <w:r>
        <w:rPr>
          <w:rFonts w:ascii="Arial" w:hAnsi="Arial" w:cs="Arial"/>
          <w:sz w:val="22"/>
        </w:rPr>
        <w:t>V Praze dne</w:t>
      </w:r>
      <w:r w:rsidR="005A3FF2">
        <w:rPr>
          <w:rFonts w:ascii="Arial" w:hAnsi="Arial" w:cs="Arial"/>
          <w:sz w:val="22"/>
        </w:rPr>
        <w:t xml:space="preserve"> </w:t>
      </w:r>
      <w:proofErr w:type="gramStart"/>
      <w:r w:rsidR="005A3FF2">
        <w:rPr>
          <w:rFonts w:ascii="Arial" w:hAnsi="Arial" w:cs="Arial"/>
          <w:sz w:val="22"/>
        </w:rPr>
        <w:t>22.06.2022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3373FF21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040F5428" w14:textId="77777777" w:rsidR="002261B7" w:rsidRDefault="002261B7" w:rsidP="002261B7">
      <w:pPr>
        <w:spacing w:after="120"/>
        <w:ind w:right="11"/>
        <w:rPr>
          <w:rFonts w:ascii="Arial" w:hAnsi="Arial" w:cs="Arial"/>
          <w:sz w:val="22"/>
        </w:rPr>
      </w:pPr>
    </w:p>
    <w:p w14:paraId="5B1C3ABA" w14:textId="1AC25A80" w:rsidR="002261B7" w:rsidRDefault="004B120F" w:rsidP="00DC1530">
      <w:pPr>
        <w:spacing w:after="120"/>
        <w:ind w:left="0" w:right="1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Ing. </w:t>
      </w:r>
      <w:r w:rsidR="00DC1530">
        <w:rPr>
          <w:rFonts w:ascii="Arial" w:hAnsi="Arial" w:cs="Arial"/>
          <w:sz w:val="22"/>
        </w:rPr>
        <w:t xml:space="preserve">Tomáš </w:t>
      </w:r>
      <w:r w:rsidR="00DC1530" w:rsidRPr="005A3FF2">
        <w:rPr>
          <w:rFonts w:ascii="Arial" w:hAnsi="Arial" w:cs="Arial"/>
          <w:sz w:val="22"/>
        </w:rPr>
        <w:t>Novosad</w:t>
      </w:r>
      <w:r w:rsidR="008E7147" w:rsidRPr="005A3FF2">
        <w:rPr>
          <w:rFonts w:ascii="Arial" w:hAnsi="Arial" w:cs="Arial"/>
          <w:sz w:val="22"/>
        </w:rPr>
        <w:t>,</w:t>
      </w:r>
      <w:r w:rsidR="008E7147" w:rsidRPr="005A3FF2">
        <w:rPr>
          <w:rFonts w:ascii="Arial" w:eastAsia="Times New Roman" w:hAnsi="Arial" w:cs="Arial"/>
          <w:bCs/>
          <w:sz w:val="22"/>
        </w:rPr>
        <w:t xml:space="preserve"> </w:t>
      </w:r>
      <w:proofErr w:type="gramStart"/>
      <w:r w:rsidR="008E7147" w:rsidRPr="005A3FF2">
        <w:rPr>
          <w:rFonts w:ascii="Arial" w:eastAsia="Times New Roman" w:hAnsi="Arial" w:cs="Arial"/>
          <w:bCs/>
          <w:sz w:val="22"/>
        </w:rPr>
        <w:t>v.r.</w:t>
      </w:r>
      <w:proofErr w:type="gramEnd"/>
      <w:r w:rsidR="00DC1530" w:rsidRPr="005A3FF2">
        <w:rPr>
          <w:rFonts w:ascii="Arial" w:hAnsi="Arial" w:cs="Arial"/>
          <w:sz w:val="22"/>
        </w:rPr>
        <w:t xml:space="preserve"> </w:t>
      </w:r>
      <w:r w:rsidR="002261B7" w:rsidRPr="005A3FF2">
        <w:rPr>
          <w:rFonts w:ascii="Arial" w:hAnsi="Arial" w:cs="Arial"/>
          <w:sz w:val="22"/>
        </w:rPr>
        <w:t xml:space="preserve">           </w:t>
      </w:r>
      <w:r w:rsidR="00DC1530" w:rsidRPr="005A3FF2">
        <w:rPr>
          <w:rFonts w:ascii="Arial" w:hAnsi="Arial" w:cs="Arial"/>
          <w:sz w:val="22"/>
        </w:rPr>
        <w:t xml:space="preserve">                  </w:t>
      </w:r>
      <w:r w:rsidR="008E7147" w:rsidRPr="005A3FF2">
        <w:rPr>
          <w:rFonts w:ascii="Arial" w:hAnsi="Arial" w:cs="Arial"/>
          <w:sz w:val="22"/>
        </w:rPr>
        <w:t xml:space="preserve">                  </w:t>
      </w:r>
      <w:r w:rsidR="00DC1530" w:rsidRPr="005A3FF2">
        <w:rPr>
          <w:rFonts w:ascii="Arial" w:hAnsi="Arial" w:cs="Arial"/>
          <w:sz w:val="22"/>
        </w:rPr>
        <w:t>Alice Krutilová, M.A.</w:t>
      </w:r>
      <w:r w:rsidR="008E7147" w:rsidRPr="005A3FF2">
        <w:rPr>
          <w:rFonts w:ascii="Arial" w:hAnsi="Arial" w:cs="Arial"/>
          <w:sz w:val="22"/>
        </w:rPr>
        <w:t>,</w:t>
      </w:r>
      <w:r w:rsidR="008E7147" w:rsidRPr="005A3FF2">
        <w:rPr>
          <w:rFonts w:ascii="Arial" w:eastAsia="Times New Roman" w:hAnsi="Arial" w:cs="Arial"/>
          <w:bCs/>
          <w:sz w:val="22"/>
        </w:rPr>
        <w:t xml:space="preserve"> </w:t>
      </w:r>
      <w:proofErr w:type="gramStart"/>
      <w:r w:rsidR="008E7147" w:rsidRPr="005A3FF2">
        <w:rPr>
          <w:rFonts w:ascii="Arial" w:eastAsia="Times New Roman" w:hAnsi="Arial" w:cs="Arial"/>
          <w:bCs/>
          <w:sz w:val="22"/>
        </w:rPr>
        <w:t>v.r.</w:t>
      </w:r>
      <w:proofErr w:type="gramEnd"/>
    </w:p>
    <w:p w14:paraId="6505D440" w14:textId="77777777" w:rsidR="00DC1530" w:rsidRDefault="002261B7" w:rsidP="002261B7">
      <w:pPr>
        <w:spacing w:after="120"/>
        <w:ind w:right="11"/>
        <w:rPr>
          <w:rFonts w:ascii="Arial" w:eastAsia="Times New Roman" w:hAnsi="Arial" w:cs="Arial"/>
          <w:sz w:val="22"/>
        </w:rPr>
      </w:pPr>
      <w:r>
        <w:rPr>
          <w:rFonts w:ascii="Arial" w:hAnsi="Arial" w:cs="Arial"/>
          <w:sz w:val="22"/>
        </w:rPr>
        <w:t xml:space="preserve">jednatel společnosti                          </w:t>
      </w:r>
      <w:r w:rsidR="00DC1530">
        <w:rPr>
          <w:rFonts w:ascii="Arial" w:hAnsi="Arial" w:cs="Arial"/>
          <w:sz w:val="22"/>
        </w:rPr>
        <w:t xml:space="preserve">                              </w:t>
      </w:r>
      <w:r w:rsidR="00C61538">
        <w:rPr>
          <w:rFonts w:ascii="Arial" w:hAnsi="Arial" w:cs="Arial"/>
          <w:sz w:val="22"/>
        </w:rPr>
        <w:t xml:space="preserve">ředitelka Odboru </w:t>
      </w:r>
      <w:r w:rsidR="00DC1530">
        <w:rPr>
          <w:rFonts w:ascii="Arial" w:eastAsia="Times New Roman" w:hAnsi="Arial" w:cs="Arial"/>
          <w:sz w:val="22"/>
        </w:rPr>
        <w:t>pro předsednictví</w:t>
      </w:r>
    </w:p>
    <w:p w14:paraId="2BAC7D8F" w14:textId="77777777" w:rsidR="002261B7" w:rsidRPr="00416A89" w:rsidRDefault="00DC1530" w:rsidP="002261B7">
      <w:pPr>
        <w:spacing w:after="120"/>
        <w:ind w:right="11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ČR v Radě EU</w:t>
      </w:r>
    </w:p>
    <w:p w14:paraId="1359966B" w14:textId="77777777" w:rsidR="00F95304" w:rsidRPr="00416A89" w:rsidRDefault="002261B7">
      <w:pPr>
        <w:rPr>
          <w:rFonts w:ascii="Arial" w:hAnsi="Arial" w:cs="Arial"/>
          <w:sz w:val="22"/>
        </w:rPr>
        <w:sectPr w:rsidR="00F95304" w:rsidRPr="00416A89" w:rsidSect="00402ECA">
          <w:footerReference w:type="even" r:id="rId14"/>
          <w:footerReference w:type="default" r:id="rId15"/>
          <w:footerReference w:type="first" r:id="rId16"/>
          <w:pgSz w:w="11900" w:h="16840"/>
          <w:pgMar w:top="709" w:right="1094" w:bottom="1214" w:left="1099" w:header="708" w:footer="708" w:gutter="0"/>
          <w:cols w:space="708"/>
          <w:titlePg/>
        </w:sectPr>
      </w:pPr>
      <w:r>
        <w:rPr>
          <w:rFonts w:ascii="Arial" w:hAnsi="Arial" w:cs="Arial"/>
          <w:sz w:val="22"/>
        </w:rPr>
        <w:t xml:space="preserve">      </w:t>
      </w:r>
    </w:p>
    <w:p w14:paraId="6EEC3493" w14:textId="77777777" w:rsidR="00F95304" w:rsidRPr="00416A89" w:rsidRDefault="00F95304" w:rsidP="0086634B">
      <w:pPr>
        <w:spacing w:after="487"/>
        <w:ind w:left="451" w:right="9" w:firstLine="0"/>
        <w:rPr>
          <w:rFonts w:ascii="Arial" w:hAnsi="Arial" w:cs="Arial"/>
          <w:sz w:val="22"/>
        </w:rPr>
      </w:pPr>
    </w:p>
    <w:sectPr w:rsidR="00F95304" w:rsidRPr="00416A89">
      <w:type w:val="continuous"/>
      <w:pgSz w:w="11900" w:h="16840"/>
      <w:pgMar w:top="1440" w:right="2688" w:bottom="1440" w:left="1109" w:header="708" w:footer="708" w:gutter="0"/>
      <w:cols w:num="2" w:space="708" w:equalWidth="0">
        <w:col w:w="2995" w:space="1632"/>
        <w:col w:w="34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BA86F" w14:textId="77777777" w:rsidR="003069F7" w:rsidRDefault="003069F7">
      <w:pPr>
        <w:spacing w:after="0" w:line="240" w:lineRule="auto"/>
      </w:pPr>
      <w:r>
        <w:separator/>
      </w:r>
    </w:p>
  </w:endnote>
  <w:endnote w:type="continuationSeparator" w:id="0">
    <w:p w14:paraId="5AE1A105" w14:textId="77777777" w:rsidR="003069F7" w:rsidRDefault="0030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E31C9" w14:textId="08CECF11" w:rsidR="00F95304" w:rsidRDefault="00202470">
    <w:pPr>
      <w:spacing w:after="0" w:line="259" w:lineRule="auto"/>
      <w:ind w:left="0" w:right="110" w:firstLine="0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  <w:r>
      <w:rPr>
        <w:sz w:val="34"/>
      </w:rPr>
      <w:t xml:space="preserve">z </w:t>
    </w:r>
    <w:r w:rsidR="003069F7">
      <w:fldChar w:fldCharType="begin"/>
    </w:r>
    <w:r w:rsidR="003069F7">
      <w:instrText xml:space="preserve"> NUMPAGES   \* MERGEFORMAT </w:instrText>
    </w:r>
    <w:r w:rsidR="003069F7">
      <w:fldChar w:fldCharType="separate"/>
    </w:r>
    <w:r w:rsidR="00F53183">
      <w:rPr>
        <w:noProof/>
      </w:rPr>
      <w:t>3</w:t>
    </w:r>
    <w:r w:rsidR="003069F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6DA13" w14:textId="280344E4" w:rsidR="00B433D1" w:rsidRPr="00403AB9" w:rsidRDefault="00B433D1" w:rsidP="00B433D1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B37804">
      <w:rPr>
        <w:rFonts w:ascii="Arial" w:hAnsi="Arial" w:cs="Arial"/>
        <w:sz w:val="18"/>
        <w:szCs w:val="18"/>
      </w:rPr>
      <w:t xml:space="preserve">Stránka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PAGE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5A3FF2">
      <w:rPr>
        <w:rFonts w:ascii="Arial" w:hAnsi="Arial" w:cs="Arial"/>
        <w:bCs/>
        <w:noProof/>
        <w:sz w:val="18"/>
        <w:szCs w:val="18"/>
      </w:rPr>
      <w:t>2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sz w:val="18"/>
        <w:szCs w:val="18"/>
      </w:rPr>
      <w:t xml:space="preserve"> (celkem </w:t>
    </w:r>
    <w:r w:rsidRPr="00B37804">
      <w:rPr>
        <w:rFonts w:ascii="Arial" w:hAnsi="Arial" w:cs="Arial"/>
        <w:bCs/>
        <w:sz w:val="18"/>
        <w:szCs w:val="18"/>
      </w:rPr>
      <w:fldChar w:fldCharType="begin"/>
    </w:r>
    <w:r w:rsidRPr="00B37804">
      <w:rPr>
        <w:rFonts w:ascii="Arial" w:hAnsi="Arial" w:cs="Arial"/>
        <w:bCs/>
        <w:sz w:val="18"/>
        <w:szCs w:val="18"/>
      </w:rPr>
      <w:instrText>NUMPAGES</w:instrText>
    </w:r>
    <w:r w:rsidRPr="00B37804">
      <w:rPr>
        <w:rFonts w:ascii="Arial" w:hAnsi="Arial" w:cs="Arial"/>
        <w:bCs/>
        <w:sz w:val="18"/>
        <w:szCs w:val="18"/>
      </w:rPr>
      <w:fldChar w:fldCharType="separate"/>
    </w:r>
    <w:r w:rsidR="005A3FF2">
      <w:rPr>
        <w:rFonts w:ascii="Arial" w:hAnsi="Arial" w:cs="Arial"/>
        <w:bCs/>
        <w:noProof/>
        <w:sz w:val="18"/>
        <w:szCs w:val="18"/>
      </w:rPr>
      <w:t>4</w:t>
    </w:r>
    <w:r w:rsidRPr="00B37804">
      <w:rPr>
        <w:rFonts w:ascii="Arial" w:hAnsi="Arial" w:cs="Arial"/>
        <w:bCs/>
        <w:sz w:val="18"/>
        <w:szCs w:val="18"/>
      </w:rPr>
      <w:fldChar w:fldCharType="end"/>
    </w:r>
    <w:r w:rsidRPr="00B37804">
      <w:rPr>
        <w:rFonts w:ascii="Arial" w:hAnsi="Arial" w:cs="Arial"/>
        <w:bCs/>
        <w:sz w:val="18"/>
        <w:szCs w:val="18"/>
      </w:rPr>
      <w:t>)</w:t>
    </w:r>
  </w:p>
  <w:p w14:paraId="3F48FA2C" w14:textId="77777777" w:rsidR="00B433D1" w:rsidRDefault="00B433D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F98A7" w14:textId="77777777" w:rsidR="00F95304" w:rsidRDefault="00F95304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CA7D2" w14:textId="77777777" w:rsidR="003069F7" w:rsidRDefault="003069F7">
      <w:pPr>
        <w:spacing w:after="0" w:line="240" w:lineRule="auto"/>
      </w:pPr>
      <w:r>
        <w:separator/>
      </w:r>
    </w:p>
  </w:footnote>
  <w:footnote w:type="continuationSeparator" w:id="0">
    <w:p w14:paraId="613578FC" w14:textId="77777777" w:rsidR="003069F7" w:rsidRDefault="003069F7">
      <w:pPr>
        <w:spacing w:after="0" w:line="240" w:lineRule="auto"/>
      </w:pPr>
      <w:r>
        <w:continuationSeparator/>
      </w:r>
    </w:p>
  </w:footnote>
  <w:footnote w:id="1">
    <w:p w14:paraId="3259CADF" w14:textId="406F17E7" w:rsidR="003D5CE5" w:rsidRPr="003D5CE5" w:rsidRDefault="003D5CE5" w:rsidP="003D5CE5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3D5CE5">
        <w:rPr>
          <w:rStyle w:val="Znakapoznpodarou"/>
          <w:rFonts w:ascii="Arial" w:hAnsi="Arial" w:cs="Arial"/>
          <w:sz w:val="18"/>
          <w:szCs w:val="18"/>
        </w:rPr>
        <w:footnoteRef/>
      </w:r>
      <w:r w:rsidRPr="003D5CE5">
        <w:rPr>
          <w:rFonts w:ascii="Arial" w:hAnsi="Arial" w:cs="Arial"/>
          <w:sz w:val="18"/>
          <w:szCs w:val="18"/>
        </w:rPr>
        <w:t xml:space="preserve"> oprávnění jednat za objednatele vyplývá z interních normativních aktů objednatele (vnitřní předpisy)</w:t>
      </w:r>
    </w:p>
  </w:footnote>
  <w:footnote w:id="2">
    <w:p w14:paraId="1C16ADE2" w14:textId="77777777" w:rsidR="00F62D93" w:rsidRPr="003D5CE5" w:rsidRDefault="00F62D93" w:rsidP="00A67913">
      <w:pPr>
        <w:pStyle w:val="Textpoznpodarou"/>
        <w:ind w:left="0" w:firstLine="0"/>
        <w:jc w:val="left"/>
        <w:rPr>
          <w:rFonts w:ascii="Arial" w:hAnsi="Arial" w:cs="Arial"/>
          <w:sz w:val="18"/>
          <w:szCs w:val="18"/>
        </w:rPr>
      </w:pPr>
      <w:r w:rsidRPr="003D5CE5">
        <w:rPr>
          <w:rStyle w:val="Znakapoznpodarou"/>
          <w:rFonts w:ascii="Arial" w:hAnsi="Arial" w:cs="Arial"/>
          <w:sz w:val="18"/>
          <w:szCs w:val="18"/>
        </w:rPr>
        <w:footnoteRef/>
      </w:r>
      <w:r w:rsidRPr="003D5CE5">
        <w:rPr>
          <w:rFonts w:ascii="Arial" w:hAnsi="Arial" w:cs="Arial"/>
          <w:sz w:val="18"/>
          <w:szCs w:val="18"/>
        </w:rPr>
        <w:t xml:space="preserve"> oprávnění jednat za poskytovatele je zřejmé z veřejného rejstříku </w:t>
      </w:r>
      <w:r w:rsidR="00A07E8B" w:rsidRPr="003D5CE5">
        <w:rPr>
          <w:rFonts w:ascii="Arial" w:hAnsi="Arial" w:cs="Arial"/>
          <w:sz w:val="18"/>
          <w:szCs w:val="18"/>
        </w:rPr>
        <w:t xml:space="preserve">(registru) </w:t>
      </w:r>
      <w:r w:rsidRPr="003D5CE5">
        <w:rPr>
          <w:rFonts w:ascii="Arial" w:hAnsi="Arial" w:cs="Arial"/>
          <w:sz w:val="18"/>
          <w:szCs w:val="18"/>
        </w:rPr>
        <w:t xml:space="preserve">- </w:t>
      </w:r>
      <w:hyperlink r:id="rId1" w:history="1">
        <w:r w:rsidR="00A07E8B" w:rsidRPr="003D5CE5">
          <w:rPr>
            <w:rStyle w:val="Hypertextovodkaz"/>
            <w:rFonts w:ascii="Arial" w:hAnsi="Arial" w:cs="Arial"/>
            <w:sz w:val="18"/>
            <w:szCs w:val="18"/>
          </w:rPr>
          <w:t>https://or.justice.cz/ias/ui/rejstrik-firma.vysledky?subjektId=464479&amp;typ=PLATNY</w:t>
        </w:r>
      </w:hyperlink>
      <w:r w:rsidR="00A07E8B" w:rsidRPr="003D5CE5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2D198328" w14:textId="77777777" w:rsidR="00570251" w:rsidRPr="003D5CE5" w:rsidRDefault="00570251" w:rsidP="00570251">
      <w:pPr>
        <w:pStyle w:val="Bezmezer"/>
        <w:jc w:val="left"/>
        <w:rPr>
          <w:rFonts w:ascii="Arial" w:hAnsi="Arial" w:cs="Arial"/>
          <w:sz w:val="18"/>
          <w:szCs w:val="18"/>
        </w:rPr>
      </w:pPr>
      <w:r w:rsidRPr="003D5CE5">
        <w:rPr>
          <w:rStyle w:val="Znakapoznpodarou"/>
          <w:rFonts w:ascii="Arial" w:hAnsi="Arial" w:cs="Arial"/>
          <w:sz w:val="18"/>
          <w:szCs w:val="18"/>
        </w:rPr>
        <w:footnoteRef/>
      </w:r>
      <w:r w:rsidRPr="003D5CE5">
        <w:rPr>
          <w:rFonts w:ascii="Arial" w:hAnsi="Arial" w:cs="Arial"/>
          <w:sz w:val="18"/>
          <w:szCs w:val="18"/>
        </w:rPr>
        <w:t xml:space="preserve"> objednatel a poskytovatel společně dále též jen Smluvní strany a jednotlivě jako „Smluvní  strana</w:t>
      </w:r>
    </w:p>
  </w:footnote>
  <w:footnote w:id="4">
    <w:p w14:paraId="46C95705" w14:textId="77777777" w:rsidR="00FE4E81" w:rsidRPr="003D5CE5" w:rsidRDefault="00FE4E81" w:rsidP="00570251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3D5CE5">
        <w:rPr>
          <w:rStyle w:val="Znakapoznpodarou"/>
          <w:rFonts w:ascii="Arial" w:hAnsi="Arial" w:cs="Arial"/>
          <w:sz w:val="18"/>
          <w:szCs w:val="18"/>
        </w:rPr>
        <w:footnoteRef/>
      </w:r>
      <w:r w:rsidRPr="003D5CE5">
        <w:rPr>
          <w:rFonts w:ascii="Arial" w:hAnsi="Arial" w:cs="Arial"/>
          <w:sz w:val="18"/>
          <w:szCs w:val="18"/>
        </w:rPr>
        <w:t xml:space="preserve"> v TED referenční číslo </w:t>
      </w:r>
      <w:r w:rsidR="003941F1" w:rsidRPr="003D5CE5">
        <w:rPr>
          <w:rFonts w:ascii="Arial" w:hAnsi="Arial" w:cs="Arial"/>
          <w:sz w:val="18"/>
          <w:szCs w:val="18"/>
        </w:rPr>
        <w:t xml:space="preserve">- </w:t>
      </w:r>
      <w:r w:rsidRPr="003D5CE5">
        <w:rPr>
          <w:rFonts w:ascii="Arial" w:hAnsi="Arial" w:cs="Arial"/>
          <w:sz w:val="18"/>
          <w:szCs w:val="18"/>
        </w:rPr>
        <w:t xml:space="preserve">TED87/2021-017831 a </w:t>
      </w:r>
      <w:r w:rsidR="003941F1" w:rsidRPr="003D5CE5">
        <w:rPr>
          <w:rFonts w:ascii="Arial" w:hAnsi="Arial" w:cs="Arial"/>
          <w:sz w:val="18"/>
          <w:szCs w:val="18"/>
        </w:rPr>
        <w:t>č</w:t>
      </w:r>
      <w:r w:rsidRPr="003D5CE5">
        <w:rPr>
          <w:rFonts w:ascii="Arial" w:hAnsi="Arial" w:cs="Arial"/>
          <w:sz w:val="18"/>
          <w:szCs w:val="18"/>
        </w:rPr>
        <w:t>íslo oznámení řady S</w:t>
      </w:r>
      <w:r w:rsidR="003941F1" w:rsidRPr="003D5CE5">
        <w:rPr>
          <w:rFonts w:ascii="Arial" w:hAnsi="Arial" w:cs="Arial"/>
          <w:sz w:val="18"/>
          <w:szCs w:val="18"/>
        </w:rPr>
        <w:t xml:space="preserve"> - 2021/S 098-256414</w:t>
      </w:r>
    </w:p>
  </w:footnote>
  <w:footnote w:id="5">
    <w:p w14:paraId="351C2B37" w14:textId="77777777" w:rsidR="003B6922" w:rsidRPr="003D5CE5" w:rsidRDefault="003B6922">
      <w:pPr>
        <w:pStyle w:val="Textpoznpodarou"/>
        <w:rPr>
          <w:rFonts w:ascii="Arial" w:hAnsi="Arial" w:cs="Arial"/>
          <w:color w:val="auto"/>
          <w:sz w:val="18"/>
          <w:szCs w:val="18"/>
        </w:rPr>
      </w:pPr>
      <w:r w:rsidRPr="003D5CE5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3D5CE5">
        <w:rPr>
          <w:rFonts w:ascii="Arial" w:hAnsi="Arial" w:cs="Arial"/>
          <w:color w:val="auto"/>
          <w:sz w:val="18"/>
          <w:szCs w:val="18"/>
        </w:rPr>
        <w:t xml:space="preserve"> v ukončeném zadávacím řízení v pozici vybraného dodavatele</w:t>
      </w:r>
    </w:p>
  </w:footnote>
  <w:footnote w:id="6">
    <w:p w14:paraId="14B2B300" w14:textId="77777777" w:rsidR="004F6C7D" w:rsidRPr="003D5CE5" w:rsidRDefault="004F6C7D">
      <w:pPr>
        <w:pStyle w:val="Textpoznpodarou"/>
        <w:rPr>
          <w:rFonts w:ascii="Arial" w:hAnsi="Arial" w:cs="Arial"/>
          <w:color w:val="auto"/>
          <w:sz w:val="18"/>
          <w:szCs w:val="18"/>
        </w:rPr>
      </w:pPr>
      <w:r w:rsidRPr="003D5CE5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3D5CE5">
        <w:rPr>
          <w:rFonts w:ascii="Arial" w:hAnsi="Arial" w:cs="Arial"/>
          <w:color w:val="auto"/>
          <w:sz w:val="18"/>
          <w:szCs w:val="18"/>
        </w:rPr>
        <w:t xml:space="preserve"> v registru smluv uveřejněno dne 16. 08. 2021 pod </w:t>
      </w:r>
      <w:r w:rsidR="00C61538" w:rsidRPr="003D5CE5">
        <w:rPr>
          <w:rFonts w:ascii="Arial" w:hAnsi="Arial" w:cs="Arial"/>
          <w:color w:val="auto"/>
          <w:sz w:val="18"/>
          <w:szCs w:val="18"/>
        </w:rPr>
        <w:t>adresou</w:t>
      </w:r>
      <w:r w:rsidRPr="003D5CE5">
        <w:rPr>
          <w:rFonts w:ascii="Arial" w:hAnsi="Arial" w:cs="Arial"/>
          <w:color w:val="auto"/>
          <w:sz w:val="18"/>
          <w:szCs w:val="18"/>
        </w:rPr>
        <w:t xml:space="preserve"> záznamu https://smlouvy.gov.cz/smlouva/17471403</w:t>
      </w:r>
    </w:p>
  </w:footnote>
  <w:footnote w:id="7">
    <w:p w14:paraId="0338189B" w14:textId="1DDC3F89" w:rsidR="00505EE5" w:rsidRPr="00EC15F6" w:rsidRDefault="00505EE5" w:rsidP="00505EE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color w:val="auto"/>
          <w:sz w:val="18"/>
          <w:szCs w:val="18"/>
        </w:rPr>
      </w:pPr>
      <w:r w:rsidRPr="00EC15F6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EC15F6">
        <w:rPr>
          <w:rFonts w:ascii="Arial" w:hAnsi="Arial" w:cs="Arial"/>
          <w:color w:val="auto"/>
          <w:sz w:val="18"/>
          <w:szCs w:val="18"/>
        </w:rPr>
        <w:t xml:space="preserve"> vizte nařízení vlády č. 172/2016 Sb., </w:t>
      </w:r>
      <w:r w:rsidRPr="00EC15F6">
        <w:rPr>
          <w:rFonts w:ascii="Arial" w:hAnsi="Arial" w:cs="Arial"/>
          <w:bCs/>
          <w:color w:val="auto"/>
          <w:sz w:val="18"/>
          <w:szCs w:val="18"/>
        </w:rPr>
        <w:t xml:space="preserve">o stanovení finančních limitů a částek pro účely </w:t>
      </w:r>
      <w:hyperlink r:id="rId2" w:history="1">
        <w:r w:rsidRPr="00EC15F6">
          <w:rPr>
            <w:rFonts w:ascii="Arial" w:hAnsi="Arial" w:cs="Arial"/>
            <w:bCs/>
            <w:color w:val="auto"/>
            <w:sz w:val="18"/>
            <w:szCs w:val="18"/>
          </w:rPr>
          <w:t>zákona o zadávání veřejných zakázek</w:t>
        </w:r>
      </w:hyperlink>
      <w:r w:rsidRPr="00EC15F6">
        <w:rPr>
          <w:rFonts w:ascii="Arial" w:hAnsi="Arial" w:cs="Arial"/>
          <w:bCs/>
          <w:color w:val="auto"/>
          <w:sz w:val="18"/>
          <w:szCs w:val="18"/>
        </w:rPr>
        <w:t xml:space="preserve"> </w:t>
      </w:r>
    </w:p>
  </w:footnote>
  <w:footnote w:id="8">
    <w:p w14:paraId="0EFF2654" w14:textId="77777777" w:rsidR="005013C0" w:rsidRPr="006A0A21" w:rsidRDefault="005013C0">
      <w:pPr>
        <w:pStyle w:val="Textpoznpodarou"/>
        <w:rPr>
          <w:rFonts w:ascii="Arial" w:hAnsi="Arial" w:cs="Arial"/>
          <w:sz w:val="18"/>
          <w:szCs w:val="18"/>
        </w:rPr>
      </w:pPr>
      <w:r w:rsidRPr="006A0A21">
        <w:rPr>
          <w:rStyle w:val="Znakapoznpodarou"/>
          <w:rFonts w:ascii="Arial" w:hAnsi="Arial" w:cs="Arial"/>
          <w:sz w:val="18"/>
          <w:szCs w:val="18"/>
        </w:rPr>
        <w:footnoteRef/>
      </w:r>
      <w:r w:rsidRPr="006A0A21">
        <w:rPr>
          <w:rFonts w:ascii="Arial" w:hAnsi="Arial" w:cs="Arial"/>
          <w:sz w:val="18"/>
          <w:szCs w:val="18"/>
        </w:rPr>
        <w:t xml:space="preserve"> pokud o to poskytovatel požádá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809"/>
    <w:multiLevelType w:val="hybridMultilevel"/>
    <w:tmpl w:val="4C109AC6"/>
    <w:lvl w:ilvl="0" w:tplc="E44E2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FC4E29"/>
    <w:multiLevelType w:val="hybridMultilevel"/>
    <w:tmpl w:val="A01A910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2D891CB3"/>
    <w:multiLevelType w:val="hybridMultilevel"/>
    <w:tmpl w:val="6BA645FC"/>
    <w:lvl w:ilvl="0" w:tplc="E8F4A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874689"/>
    <w:multiLevelType w:val="hybridMultilevel"/>
    <w:tmpl w:val="869212C4"/>
    <w:lvl w:ilvl="0" w:tplc="445E333C">
      <w:start w:val="3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A6B3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7205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8228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C840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88E8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8E4F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BE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C61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47115F"/>
    <w:multiLevelType w:val="hybridMultilevel"/>
    <w:tmpl w:val="3AAE7B12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 w:tentative="1">
      <w:start w:val="1"/>
      <w:numFmt w:val="lowerLetter"/>
      <w:lvlText w:val="%2."/>
      <w:lvlJc w:val="left"/>
      <w:pPr>
        <w:ind w:left="1445" w:hanging="360"/>
      </w:pPr>
    </w:lvl>
    <w:lvl w:ilvl="2" w:tplc="0405001B" w:tentative="1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5" w:hanging="360"/>
      </w:pPr>
    </w:lvl>
    <w:lvl w:ilvl="4" w:tplc="04050019" w:tentative="1">
      <w:start w:val="1"/>
      <w:numFmt w:val="lowerLetter"/>
      <w:lvlText w:val="%5."/>
      <w:lvlJc w:val="left"/>
      <w:pPr>
        <w:ind w:left="3605" w:hanging="360"/>
      </w:pPr>
    </w:lvl>
    <w:lvl w:ilvl="5" w:tplc="0405001B" w:tentative="1">
      <w:start w:val="1"/>
      <w:numFmt w:val="lowerRoman"/>
      <w:lvlText w:val="%6."/>
      <w:lvlJc w:val="right"/>
      <w:pPr>
        <w:ind w:left="4325" w:hanging="180"/>
      </w:pPr>
    </w:lvl>
    <w:lvl w:ilvl="6" w:tplc="0405000F" w:tentative="1">
      <w:start w:val="1"/>
      <w:numFmt w:val="decimal"/>
      <w:lvlText w:val="%7."/>
      <w:lvlJc w:val="left"/>
      <w:pPr>
        <w:ind w:left="5045" w:hanging="360"/>
      </w:pPr>
    </w:lvl>
    <w:lvl w:ilvl="7" w:tplc="04050019" w:tentative="1">
      <w:start w:val="1"/>
      <w:numFmt w:val="lowerLetter"/>
      <w:lvlText w:val="%8."/>
      <w:lvlJc w:val="left"/>
      <w:pPr>
        <w:ind w:left="5765" w:hanging="360"/>
      </w:pPr>
    </w:lvl>
    <w:lvl w:ilvl="8" w:tplc="040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>
    <w:nsid w:val="39873DE4"/>
    <w:multiLevelType w:val="hybridMultilevel"/>
    <w:tmpl w:val="0FF8EF2C"/>
    <w:lvl w:ilvl="0" w:tplc="F818363E">
      <w:start w:val="2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A80D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2FF2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DB6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9AB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E7F2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249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A892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062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F744C7"/>
    <w:multiLevelType w:val="hybridMultilevel"/>
    <w:tmpl w:val="96301E44"/>
    <w:lvl w:ilvl="0" w:tplc="0405000F">
      <w:start w:val="1"/>
      <w:numFmt w:val="decimal"/>
      <w:lvlText w:val="%1."/>
      <w:lvlJc w:val="left"/>
      <w:pPr>
        <w:ind w:left="734" w:hanging="360"/>
      </w:p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49D64B26"/>
    <w:multiLevelType w:val="hybridMultilevel"/>
    <w:tmpl w:val="3AB6BD06"/>
    <w:lvl w:ilvl="0" w:tplc="46D0FA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D14FEE"/>
    <w:multiLevelType w:val="hybridMultilevel"/>
    <w:tmpl w:val="A66AAA90"/>
    <w:lvl w:ilvl="0" w:tplc="D796473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D4E61"/>
    <w:multiLevelType w:val="hybridMultilevel"/>
    <w:tmpl w:val="D0DAD9C2"/>
    <w:lvl w:ilvl="0" w:tplc="0405000F">
      <w:start w:val="1"/>
      <w:numFmt w:val="decimal"/>
      <w:lvlText w:val="%1."/>
      <w:lvlJc w:val="left"/>
      <w:pPr>
        <w:ind w:left="816" w:hanging="360"/>
      </w:p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>
    <w:nsid w:val="68073271"/>
    <w:multiLevelType w:val="hybridMultilevel"/>
    <w:tmpl w:val="B3C2CB96"/>
    <w:lvl w:ilvl="0" w:tplc="BB1250A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>
    <w:nsid w:val="796C6C62"/>
    <w:multiLevelType w:val="hybridMultilevel"/>
    <w:tmpl w:val="C1FED32C"/>
    <w:lvl w:ilvl="0" w:tplc="0624ED64">
      <w:start w:val="4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04"/>
    <w:rsid w:val="000134C8"/>
    <w:rsid w:val="00026A41"/>
    <w:rsid w:val="00044F5C"/>
    <w:rsid w:val="0006703E"/>
    <w:rsid w:val="0009266E"/>
    <w:rsid w:val="000D09EE"/>
    <w:rsid w:val="000E7D6B"/>
    <w:rsid w:val="000F049B"/>
    <w:rsid w:val="00117D60"/>
    <w:rsid w:val="00140088"/>
    <w:rsid w:val="00164433"/>
    <w:rsid w:val="001673D4"/>
    <w:rsid w:val="001701F8"/>
    <w:rsid w:val="001767DD"/>
    <w:rsid w:val="001834C1"/>
    <w:rsid w:val="001A06E1"/>
    <w:rsid w:val="001A36B2"/>
    <w:rsid w:val="001A6A34"/>
    <w:rsid w:val="001C6839"/>
    <w:rsid w:val="00202470"/>
    <w:rsid w:val="00203156"/>
    <w:rsid w:val="00221699"/>
    <w:rsid w:val="002261B7"/>
    <w:rsid w:val="00227816"/>
    <w:rsid w:val="00231702"/>
    <w:rsid w:val="002A204F"/>
    <w:rsid w:val="002E15BB"/>
    <w:rsid w:val="00306909"/>
    <w:rsid w:val="003069F7"/>
    <w:rsid w:val="00310AE9"/>
    <w:rsid w:val="003119E1"/>
    <w:rsid w:val="003162FB"/>
    <w:rsid w:val="00361459"/>
    <w:rsid w:val="00366EA8"/>
    <w:rsid w:val="00371F34"/>
    <w:rsid w:val="00380078"/>
    <w:rsid w:val="00384F5B"/>
    <w:rsid w:val="003941F1"/>
    <w:rsid w:val="00395163"/>
    <w:rsid w:val="003952C7"/>
    <w:rsid w:val="003B6922"/>
    <w:rsid w:val="003D1DF0"/>
    <w:rsid w:val="003D5CE5"/>
    <w:rsid w:val="003F00ED"/>
    <w:rsid w:val="00402ECA"/>
    <w:rsid w:val="0040383A"/>
    <w:rsid w:val="00413419"/>
    <w:rsid w:val="0041465F"/>
    <w:rsid w:val="00416A89"/>
    <w:rsid w:val="0042184D"/>
    <w:rsid w:val="00424755"/>
    <w:rsid w:val="0044304A"/>
    <w:rsid w:val="00453C73"/>
    <w:rsid w:val="00475EC8"/>
    <w:rsid w:val="00494816"/>
    <w:rsid w:val="004B120F"/>
    <w:rsid w:val="004E5BC4"/>
    <w:rsid w:val="004F6C7D"/>
    <w:rsid w:val="005013C0"/>
    <w:rsid w:val="00502F1D"/>
    <w:rsid w:val="00504E5C"/>
    <w:rsid w:val="00505EE5"/>
    <w:rsid w:val="00511246"/>
    <w:rsid w:val="00516529"/>
    <w:rsid w:val="00524B32"/>
    <w:rsid w:val="00530BBF"/>
    <w:rsid w:val="005347FD"/>
    <w:rsid w:val="00554F7C"/>
    <w:rsid w:val="005639AF"/>
    <w:rsid w:val="00567D1C"/>
    <w:rsid w:val="00570251"/>
    <w:rsid w:val="0057334A"/>
    <w:rsid w:val="00574B5E"/>
    <w:rsid w:val="00587E31"/>
    <w:rsid w:val="005A3FF2"/>
    <w:rsid w:val="005A54FA"/>
    <w:rsid w:val="005B7183"/>
    <w:rsid w:val="005E4982"/>
    <w:rsid w:val="005E507B"/>
    <w:rsid w:val="00672073"/>
    <w:rsid w:val="00687DEA"/>
    <w:rsid w:val="00697E3B"/>
    <w:rsid w:val="006A0A21"/>
    <w:rsid w:val="006A74FF"/>
    <w:rsid w:val="006D1214"/>
    <w:rsid w:val="006E2E9D"/>
    <w:rsid w:val="006F7EC1"/>
    <w:rsid w:val="007322F8"/>
    <w:rsid w:val="00736112"/>
    <w:rsid w:val="007629A6"/>
    <w:rsid w:val="0077737E"/>
    <w:rsid w:val="007A3829"/>
    <w:rsid w:val="007A6AE3"/>
    <w:rsid w:val="007B3807"/>
    <w:rsid w:val="007D31CE"/>
    <w:rsid w:val="007D7F8A"/>
    <w:rsid w:val="007E69CF"/>
    <w:rsid w:val="007F5D4F"/>
    <w:rsid w:val="008364EF"/>
    <w:rsid w:val="00842B24"/>
    <w:rsid w:val="00865EEF"/>
    <w:rsid w:val="0086634B"/>
    <w:rsid w:val="008710FC"/>
    <w:rsid w:val="00891DBC"/>
    <w:rsid w:val="00895B29"/>
    <w:rsid w:val="008A0ECD"/>
    <w:rsid w:val="008A269A"/>
    <w:rsid w:val="008C1384"/>
    <w:rsid w:val="008C511E"/>
    <w:rsid w:val="008E7147"/>
    <w:rsid w:val="008F082E"/>
    <w:rsid w:val="009054E6"/>
    <w:rsid w:val="00915311"/>
    <w:rsid w:val="00951190"/>
    <w:rsid w:val="00955ED8"/>
    <w:rsid w:val="00964B0C"/>
    <w:rsid w:val="00975637"/>
    <w:rsid w:val="00984FF8"/>
    <w:rsid w:val="0098692D"/>
    <w:rsid w:val="009A72E3"/>
    <w:rsid w:val="009B070F"/>
    <w:rsid w:val="009B085A"/>
    <w:rsid w:val="009C0CE8"/>
    <w:rsid w:val="009C6859"/>
    <w:rsid w:val="009D0861"/>
    <w:rsid w:val="009D1727"/>
    <w:rsid w:val="009E322C"/>
    <w:rsid w:val="009F123A"/>
    <w:rsid w:val="00A04D79"/>
    <w:rsid w:val="00A07E8B"/>
    <w:rsid w:val="00A13F23"/>
    <w:rsid w:val="00A14244"/>
    <w:rsid w:val="00A273CA"/>
    <w:rsid w:val="00A47F29"/>
    <w:rsid w:val="00A67512"/>
    <w:rsid w:val="00A67913"/>
    <w:rsid w:val="00A90660"/>
    <w:rsid w:val="00A97055"/>
    <w:rsid w:val="00AA20E6"/>
    <w:rsid w:val="00AC3FB8"/>
    <w:rsid w:val="00AD25D5"/>
    <w:rsid w:val="00AE4720"/>
    <w:rsid w:val="00B22B5A"/>
    <w:rsid w:val="00B40D91"/>
    <w:rsid w:val="00B433D1"/>
    <w:rsid w:val="00B53137"/>
    <w:rsid w:val="00B65C01"/>
    <w:rsid w:val="00BF6CC1"/>
    <w:rsid w:val="00C23A42"/>
    <w:rsid w:val="00C32567"/>
    <w:rsid w:val="00C336B6"/>
    <w:rsid w:val="00C61538"/>
    <w:rsid w:val="00C74D5E"/>
    <w:rsid w:val="00C7525F"/>
    <w:rsid w:val="00C86553"/>
    <w:rsid w:val="00C9000D"/>
    <w:rsid w:val="00C9262A"/>
    <w:rsid w:val="00CB0EEB"/>
    <w:rsid w:val="00CB2ACD"/>
    <w:rsid w:val="00CF3FA3"/>
    <w:rsid w:val="00CF5A8A"/>
    <w:rsid w:val="00D039B0"/>
    <w:rsid w:val="00D20198"/>
    <w:rsid w:val="00D445B8"/>
    <w:rsid w:val="00D514DB"/>
    <w:rsid w:val="00D55215"/>
    <w:rsid w:val="00D632A9"/>
    <w:rsid w:val="00D66C20"/>
    <w:rsid w:val="00D71341"/>
    <w:rsid w:val="00DB5548"/>
    <w:rsid w:val="00DC1530"/>
    <w:rsid w:val="00DC21AE"/>
    <w:rsid w:val="00DC21C1"/>
    <w:rsid w:val="00DC23B5"/>
    <w:rsid w:val="00DC4BED"/>
    <w:rsid w:val="00DD3305"/>
    <w:rsid w:val="00DE006A"/>
    <w:rsid w:val="00DE39D6"/>
    <w:rsid w:val="00DF52F0"/>
    <w:rsid w:val="00E05A26"/>
    <w:rsid w:val="00E2278F"/>
    <w:rsid w:val="00E2377E"/>
    <w:rsid w:val="00E26B91"/>
    <w:rsid w:val="00E30632"/>
    <w:rsid w:val="00E40F45"/>
    <w:rsid w:val="00E443B0"/>
    <w:rsid w:val="00E46E33"/>
    <w:rsid w:val="00E534E9"/>
    <w:rsid w:val="00E67B2B"/>
    <w:rsid w:val="00E815BE"/>
    <w:rsid w:val="00E878A1"/>
    <w:rsid w:val="00E9615C"/>
    <w:rsid w:val="00EB53CE"/>
    <w:rsid w:val="00EC15F6"/>
    <w:rsid w:val="00EE2FF4"/>
    <w:rsid w:val="00F1756F"/>
    <w:rsid w:val="00F24CC9"/>
    <w:rsid w:val="00F2556F"/>
    <w:rsid w:val="00F37128"/>
    <w:rsid w:val="00F53183"/>
    <w:rsid w:val="00F62D93"/>
    <w:rsid w:val="00F805A6"/>
    <w:rsid w:val="00F8774B"/>
    <w:rsid w:val="00F909F3"/>
    <w:rsid w:val="00F91C36"/>
    <w:rsid w:val="00F95304"/>
    <w:rsid w:val="00FB05FE"/>
    <w:rsid w:val="00FE4E81"/>
    <w:rsid w:val="00FE7DB4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C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E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E81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E81"/>
    <w:rPr>
      <w:vertAlign w:val="superscript"/>
    </w:rPr>
  </w:style>
  <w:style w:type="paragraph" w:styleId="Bezmezer">
    <w:name w:val="No Spacing"/>
    <w:uiPriority w:val="1"/>
    <w:qFormat/>
    <w:rsid w:val="00F805A6"/>
    <w:pPr>
      <w:spacing w:after="0" w:line="240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57" w:line="223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AA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20E6"/>
    <w:rPr>
      <w:rFonts w:ascii="Calibri" w:eastAsia="Calibri" w:hAnsi="Calibri" w:cs="Calibri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416A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7D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3063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306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6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632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6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63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632"/>
    <w:rPr>
      <w:rFonts w:ascii="Segoe UI" w:eastAsia="Calibri" w:hAnsi="Segoe UI" w:cs="Segoe UI"/>
      <w:color w:val="00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E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E81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E4E81"/>
    <w:rPr>
      <w:vertAlign w:val="superscript"/>
    </w:rPr>
  </w:style>
  <w:style w:type="paragraph" w:styleId="Bezmezer">
    <w:name w:val="No Spacing"/>
    <w:uiPriority w:val="1"/>
    <w:qFormat/>
    <w:rsid w:val="00F805A6"/>
    <w:pPr>
      <w:spacing w:after="0" w:line="240" w:lineRule="auto"/>
      <w:ind w:left="427" w:hanging="413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mlouvy.gov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mlouvy.gov.cz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azky.vlada.cz/contract_display_1170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mlouvy.gov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aspi://module='ASPI'&amp;link='134/2016%20Sb.%2523'&amp;ucin-k-dni='30.12.9999'" TargetMode="External"/><Relationship Id="rId1" Type="http://schemas.openxmlformats.org/officeDocument/2006/relationships/hyperlink" Target="https://or.justice.cz/ias/ui/rejstrik-firma.vysledky?subjektId=464479&amp;typ=PLAT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E891-5917-43BA-8786-88EFFD41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D-17.281-1 Herduka úklidové práce</vt:lpstr>
    </vt:vector>
  </TitlesOfParts>
  <Company>Úřad vlády ČR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D-17.281-1 Herduka úklidové práce</dc:title>
  <dc:creator>sedlaro</dc:creator>
  <cp:lastModifiedBy>Ptáčková Radmila</cp:lastModifiedBy>
  <cp:revision>2</cp:revision>
  <cp:lastPrinted>2022-06-22T06:50:00Z</cp:lastPrinted>
  <dcterms:created xsi:type="dcterms:W3CDTF">2022-06-23T12:49:00Z</dcterms:created>
  <dcterms:modified xsi:type="dcterms:W3CDTF">2022-06-23T12:49:00Z</dcterms:modified>
</cp:coreProperties>
</file>