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78EE1" w14:textId="5524E074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62F78EE2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62F78EE3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62F78EE4" w14:textId="77777777" w:rsidR="00726B26" w:rsidRDefault="00726B26" w:rsidP="00726B26"/>
    <w:p w14:paraId="4E0A5EBB" w14:textId="77777777" w:rsidR="001712F5" w:rsidRPr="00726B26" w:rsidRDefault="001712F5" w:rsidP="001712F5">
      <w:pPr>
        <w:rPr>
          <w:b/>
        </w:rPr>
      </w:pPr>
      <w:r>
        <w:rPr>
          <w:b/>
        </w:rPr>
        <w:t>PHOENIX lékárenský velkoobchod, s.r.o.</w:t>
      </w:r>
    </w:p>
    <w:p w14:paraId="7EE0FF1A" w14:textId="77777777" w:rsidR="001712F5" w:rsidRDefault="001712F5" w:rsidP="001712F5">
      <w:r>
        <w:t>IČ: 45359326</w:t>
      </w:r>
    </w:p>
    <w:p w14:paraId="18A77A1D" w14:textId="77777777" w:rsidR="001712F5" w:rsidRPr="00512AB9" w:rsidRDefault="001712F5" w:rsidP="001712F5">
      <w:r>
        <w:t>DIČ: CZ45359326</w:t>
      </w:r>
    </w:p>
    <w:p w14:paraId="6C047323" w14:textId="77777777" w:rsidR="001712F5" w:rsidRPr="00512AB9" w:rsidRDefault="001712F5" w:rsidP="001712F5">
      <w:r>
        <w:t>se sídlem</w:t>
      </w:r>
      <w:r w:rsidRPr="00512AB9">
        <w:t xml:space="preserve">:  </w:t>
      </w:r>
      <w:r>
        <w:t>K pérovně 945/7, 102 00 Praha 10 - Hostivař</w:t>
      </w:r>
    </w:p>
    <w:p w14:paraId="01C2064C" w14:textId="58C17F28" w:rsidR="001712F5" w:rsidRPr="00512AB9" w:rsidRDefault="001712F5" w:rsidP="001712F5">
      <w:r>
        <w:t>zastoupena</w:t>
      </w:r>
      <w:r w:rsidRPr="00512AB9">
        <w:t xml:space="preserve">: </w:t>
      </w:r>
      <w:r w:rsidR="00674E7B">
        <w:t>MUDr. Michaelou Steklou, prokuristkou a Ing. Petrem Dvořákem, prokuristou</w:t>
      </w:r>
    </w:p>
    <w:p w14:paraId="0B783966" w14:textId="77777777" w:rsidR="001712F5" w:rsidRPr="00512AB9" w:rsidRDefault="001712F5" w:rsidP="001712F5">
      <w:r w:rsidRPr="00512AB9">
        <w:t xml:space="preserve">bankovní spojení: </w:t>
      </w:r>
      <w:r w:rsidRPr="007925F1">
        <w:t>Česká spořitelna</w:t>
      </w:r>
    </w:p>
    <w:p w14:paraId="1E3EC2D8" w14:textId="77777777" w:rsidR="001712F5" w:rsidRPr="00512AB9" w:rsidRDefault="001712F5" w:rsidP="001712F5">
      <w:r w:rsidRPr="00512AB9">
        <w:t xml:space="preserve">číslo účtu: </w:t>
      </w:r>
      <w:r>
        <w:t>1054262/0800</w:t>
      </w:r>
    </w:p>
    <w:p w14:paraId="68C59932" w14:textId="77777777" w:rsidR="001712F5" w:rsidRPr="00512AB9" w:rsidRDefault="001712F5" w:rsidP="001712F5">
      <w:r>
        <w:t>z</w:t>
      </w:r>
      <w:r w:rsidRPr="00512AB9">
        <w:t>apsán</w:t>
      </w:r>
      <w:r>
        <w:t>a</w:t>
      </w:r>
      <w:r w:rsidRPr="00512AB9">
        <w:t xml:space="preserve"> v obchodním rejstříku </w:t>
      </w:r>
      <w:r w:rsidRPr="007925F1">
        <w:t>vedeném Městským soudem</w:t>
      </w:r>
      <w:r w:rsidRPr="00652864">
        <w:t xml:space="preserve"> v </w:t>
      </w:r>
      <w:r>
        <w:t>Praze</w:t>
      </w:r>
      <w:r w:rsidRPr="00652864">
        <w:t xml:space="preserve">, oddíl </w:t>
      </w:r>
      <w:r>
        <w:t>C</w:t>
      </w:r>
      <w:r w:rsidRPr="00652864">
        <w:t xml:space="preserve">, vložka </w:t>
      </w:r>
      <w:r>
        <w:t>275345</w:t>
      </w:r>
    </w:p>
    <w:p w14:paraId="62F78EEE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62F78EEF" w14:textId="77777777" w:rsidR="00726B26" w:rsidRPr="002B77A6" w:rsidRDefault="00726B26" w:rsidP="00726B26">
      <w:pPr>
        <w:rPr>
          <w:rStyle w:val="platne1"/>
        </w:rPr>
      </w:pPr>
    </w:p>
    <w:p w14:paraId="62F78EF0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2F78EF1" w14:textId="77777777" w:rsidR="00726B26" w:rsidRPr="002B77A6" w:rsidRDefault="00726B26" w:rsidP="00726B26">
      <w:pPr>
        <w:rPr>
          <w:rStyle w:val="platne1"/>
        </w:rPr>
      </w:pPr>
    </w:p>
    <w:p w14:paraId="62F78EF2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62F78EF3" w14:textId="29A4B195" w:rsidR="00726B26" w:rsidRPr="002B77A6" w:rsidRDefault="00726B26" w:rsidP="00726B26">
      <w:r w:rsidRPr="002B77A6">
        <w:t>IČ</w:t>
      </w:r>
      <w:r w:rsidR="00D222B5">
        <w:t>O</w:t>
      </w:r>
      <w:r w:rsidRPr="002B77A6">
        <w:t>: 65269705</w:t>
      </w:r>
    </w:p>
    <w:p w14:paraId="62F78EF4" w14:textId="77777777" w:rsidR="00726B26" w:rsidRPr="002B77A6" w:rsidRDefault="00726B26" w:rsidP="00726B26">
      <w:r w:rsidRPr="002B77A6">
        <w:t>DIČ: CZ65269705</w:t>
      </w:r>
    </w:p>
    <w:p w14:paraId="62F78EF5" w14:textId="4AEFD4EA" w:rsidR="00726B26" w:rsidRPr="002B77A6" w:rsidRDefault="00726B26" w:rsidP="00726B26">
      <w:r w:rsidRPr="002B77A6">
        <w:t xml:space="preserve">se sídlem: Jihlavská 20, 625 00 </w:t>
      </w:r>
      <w:r w:rsidR="00D222B5">
        <w:t>Brno</w:t>
      </w:r>
    </w:p>
    <w:p w14:paraId="62F78EF6" w14:textId="03D59466" w:rsidR="00726B26" w:rsidRPr="002B77A6" w:rsidRDefault="00726B26" w:rsidP="00726B26">
      <w:r>
        <w:t>zastoupena</w:t>
      </w:r>
      <w:r w:rsidRPr="002B77A6">
        <w:t xml:space="preserve">: </w:t>
      </w:r>
      <w:r w:rsidR="001F7596">
        <w:t xml:space="preserve">MUDr. </w:t>
      </w:r>
      <w:r w:rsidR="00913C27">
        <w:t>I</w:t>
      </w:r>
      <w:r w:rsidR="001F7596">
        <w:t>v</w:t>
      </w:r>
      <w:r w:rsidR="00913C27">
        <w:t>o</w:t>
      </w:r>
      <w:r w:rsidR="001F7596">
        <w:t xml:space="preserve"> </w:t>
      </w:r>
      <w:r w:rsidR="00913C27">
        <w:t>Rovný</w:t>
      </w:r>
      <w:r w:rsidR="001F7596">
        <w:t xml:space="preserve">, </w:t>
      </w:r>
      <w:r w:rsidR="00913C27">
        <w:t>MBA</w:t>
      </w:r>
      <w:r w:rsidRPr="002B77A6">
        <w:t xml:space="preserve">, ředitel </w:t>
      </w:r>
    </w:p>
    <w:p w14:paraId="62F78EF7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62F78EF8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62F78EF9" w14:textId="77777777" w:rsidR="00726B26" w:rsidRDefault="00726B26" w:rsidP="00726B26"/>
    <w:p w14:paraId="62F78EFA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62F78EFB" w14:textId="77777777" w:rsidR="00726B26" w:rsidRPr="002B77A6" w:rsidRDefault="00726B26" w:rsidP="00726B26">
      <w:pPr>
        <w:rPr>
          <w:rStyle w:val="platne1"/>
        </w:rPr>
      </w:pPr>
    </w:p>
    <w:p w14:paraId="62F78EFC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62F78EFD" w14:textId="77777777" w:rsidR="00726B26" w:rsidRPr="002B77A6" w:rsidRDefault="00726B26" w:rsidP="00726B26">
      <w:pPr>
        <w:rPr>
          <w:rStyle w:val="platne1"/>
        </w:rPr>
      </w:pPr>
    </w:p>
    <w:p w14:paraId="62F78EFE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62F78F00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62F78F01" w14:textId="77777777" w:rsidR="00726B26" w:rsidRPr="002B77A6" w:rsidRDefault="00726B26" w:rsidP="00726B26">
      <w:pPr>
        <w:jc w:val="center"/>
        <w:rPr>
          <w:b/>
          <w:bCs/>
        </w:rPr>
      </w:pPr>
    </w:p>
    <w:p w14:paraId="62F78F02" w14:textId="34E07BB1" w:rsidR="00014CFB" w:rsidRDefault="00014CFB" w:rsidP="00290F5B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="00717C3C" w:rsidRPr="002B20FD">
        <w:t>„</w:t>
      </w:r>
      <w:proofErr w:type="spellStart"/>
      <w:r w:rsidR="00057807">
        <w:rPr>
          <w:b/>
        </w:rPr>
        <w:t>Methylprednisolon</w:t>
      </w:r>
      <w:proofErr w:type="spellEnd"/>
      <w:r w:rsidR="009029FF" w:rsidRPr="002B20FD">
        <w:t>“</w:t>
      </w:r>
      <w:r w:rsidR="00290F5B" w:rsidRPr="002B20FD">
        <w:t xml:space="preserve"> </w:t>
      </w:r>
      <w:r w:rsidRPr="002B20FD">
        <w:t>(</w:t>
      </w:r>
      <w:r>
        <w:t>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62F78F03" w14:textId="77777777" w:rsidR="00014CFB" w:rsidRDefault="00014CFB" w:rsidP="00014CFB">
      <w:pPr>
        <w:jc w:val="center"/>
        <w:rPr>
          <w:b/>
          <w:bCs/>
        </w:rPr>
      </w:pPr>
    </w:p>
    <w:p w14:paraId="62F78F04" w14:textId="77777777" w:rsidR="00014CFB" w:rsidRDefault="00014CFB" w:rsidP="00014CFB">
      <w:pPr>
        <w:pStyle w:val="Nadpis1"/>
      </w:pPr>
      <w:r>
        <w:t>Předmět smlouvy</w:t>
      </w:r>
    </w:p>
    <w:p w14:paraId="62F78F05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62F78F06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62F78F0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8" w14:textId="7777777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písemných objednávek</w:t>
      </w:r>
      <w:r w:rsidR="00C37DD2">
        <w:t xml:space="preserve">, které jsou jednostranným právním jednáním 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62F78F09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A" w14:textId="77777777" w:rsidR="00014CFB" w:rsidRDefault="00014CFB" w:rsidP="00014CFB">
      <w:pPr>
        <w:pStyle w:val="Odstavecsmlouvy"/>
      </w:pPr>
      <w:r>
        <w:lastRenderedPageBreak/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</w:p>
    <w:p w14:paraId="62F78F0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C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2F78F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0E" w14:textId="77777777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>řádně a včas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62F78F0F" w14:textId="77777777" w:rsidR="00014CFB" w:rsidRDefault="00014CFB" w:rsidP="00014CFB">
      <w:pPr>
        <w:jc w:val="center"/>
        <w:rPr>
          <w:b/>
          <w:bCs/>
        </w:rPr>
      </w:pPr>
    </w:p>
    <w:p w14:paraId="62F78F10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62F78F11" w14:textId="77777777" w:rsidR="00014CFB" w:rsidRPr="002B77A6" w:rsidRDefault="00014CFB" w:rsidP="00014CFB">
      <w:pPr>
        <w:jc w:val="center"/>
        <w:rPr>
          <w:b/>
          <w:bCs/>
        </w:rPr>
      </w:pPr>
    </w:p>
    <w:p w14:paraId="0455A918" w14:textId="77777777" w:rsidR="001712F5" w:rsidRDefault="00014CFB" w:rsidP="001712F5">
      <w:pPr>
        <w:pStyle w:val="Odstavecsmlouvy"/>
      </w:pPr>
      <w:bookmarkStart w:id="2" w:name="_Ref501111900"/>
      <w:r>
        <w:t xml:space="preserve">Dodávky Zboží budou realizovány na základě Objednávek doručených Prodávajícímu jedním </w:t>
      </w:r>
      <w:bookmarkEnd w:id="2"/>
      <w:r w:rsidR="001712F5">
        <w:t>z následujících způsobů dle volby Kupujícího:</w:t>
      </w:r>
    </w:p>
    <w:p w14:paraId="6544B29E" w14:textId="6EA42DB4" w:rsidR="001712F5" w:rsidRDefault="001712F5" w:rsidP="001712F5">
      <w:pPr>
        <w:pStyle w:val="Psmenoodstavce"/>
      </w:pPr>
      <w:r>
        <w:t xml:space="preserve">e-mailem na adresu </w:t>
      </w:r>
      <w:r w:rsidR="00E90F49">
        <w:t>objednávky XXX</w:t>
      </w:r>
    </w:p>
    <w:p w14:paraId="17853A62" w14:textId="1C670A9B" w:rsidR="001712F5" w:rsidRDefault="001712F5" w:rsidP="001712F5">
      <w:pPr>
        <w:pStyle w:val="Psmenoodstavce"/>
      </w:pPr>
      <w:r>
        <w:t>v internetovém systému Prodávajícího na adrese</w:t>
      </w:r>
      <w:r w:rsidR="00E90F49">
        <w:t xml:space="preserve"> XXX</w:t>
      </w:r>
    </w:p>
    <w:p w14:paraId="62F78F16" w14:textId="19D10FBE" w:rsidR="00014CFB" w:rsidRDefault="00014CFB" w:rsidP="001712F5">
      <w:pPr>
        <w:pStyle w:val="Odstavecsmlouvy"/>
        <w:numPr>
          <w:ilvl w:val="0"/>
          <w:numId w:val="0"/>
        </w:numPr>
        <w:ind w:left="567"/>
      </w:pPr>
    </w:p>
    <w:p w14:paraId="62F78F17" w14:textId="003AFA09" w:rsidR="00014CFB" w:rsidRDefault="00014CFB" w:rsidP="00014CFB">
      <w:pPr>
        <w:pStyle w:val="Odstavecsmlouvy"/>
      </w:pPr>
      <w:r>
        <w:t xml:space="preserve">V naléhavých případech je Kupující oprávněn učinit Objednávku rovněž telefonicky na čísle </w:t>
      </w:r>
      <w:r w:rsidR="001712F5">
        <w:t>800 800 830.</w:t>
      </w:r>
      <w:r>
        <w:t xml:space="preserve"> </w:t>
      </w:r>
    </w:p>
    <w:p w14:paraId="62F78F1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9" w14:textId="787ED80B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adresu </w:t>
      </w:r>
      <w:r w:rsidR="00E90F49">
        <w:t>XXX</w:t>
      </w:r>
    </w:p>
    <w:p w14:paraId="62F78F1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1B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62F78F1C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62F78F1D" w14:textId="77777777" w:rsidR="00014CFB" w:rsidRDefault="00014CFB" w:rsidP="00014CFB">
      <w:pPr>
        <w:pStyle w:val="Psmenoodstavce"/>
      </w:pPr>
      <w:r>
        <w:t>množství a druhy Zboží;</w:t>
      </w:r>
    </w:p>
    <w:p w14:paraId="62F78F1E" w14:textId="77777777" w:rsidR="00014CFB" w:rsidRDefault="00014CFB" w:rsidP="00014CFB">
      <w:pPr>
        <w:pStyle w:val="Psmenoodstavce"/>
      </w:pPr>
      <w:r>
        <w:t>místo dodání.</w:t>
      </w:r>
    </w:p>
    <w:p w14:paraId="62F78F1F" w14:textId="77777777" w:rsidR="00BE451F" w:rsidRPr="002B77A6" w:rsidRDefault="00BE451F" w:rsidP="000C1FD1">
      <w:pPr>
        <w:jc w:val="center"/>
        <w:rPr>
          <w:b/>
          <w:bCs/>
        </w:rPr>
      </w:pPr>
    </w:p>
    <w:p w14:paraId="62F78F20" w14:textId="3226D86D" w:rsidR="00014CFB" w:rsidRDefault="00014CFB" w:rsidP="00824804">
      <w:pPr>
        <w:pStyle w:val="Nadpis1"/>
      </w:pPr>
      <w:bookmarkStart w:id="4" w:name="_Ref477351956"/>
      <w:r>
        <w:t>Dodací podmínky</w:t>
      </w:r>
    </w:p>
    <w:p w14:paraId="62F78F2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2" w14:textId="77777777" w:rsidR="00014CFB" w:rsidRDefault="00014CFB" w:rsidP="00923251">
      <w:pPr>
        <w:pStyle w:val="Odstavecsmlouvy"/>
      </w:pPr>
      <w:r>
        <w:t>Místem dodání je Nemocniční lékárna</w:t>
      </w:r>
      <w:r w:rsidRPr="006E2DA5">
        <w:t xml:space="preserve"> </w:t>
      </w:r>
      <w:r>
        <w:t xml:space="preserve">Fakultní nemocnice Brno, a to </w:t>
      </w:r>
      <w:r w:rsidR="002470C7">
        <w:t xml:space="preserve">dle volby Kupujícího </w:t>
      </w:r>
      <w:r>
        <w:t xml:space="preserve">Pracoviště </w:t>
      </w:r>
      <w:r w:rsidR="00923251" w:rsidRPr="00923251">
        <w:t>Nemocnice Bohunice a Porodnice</w:t>
      </w:r>
      <w:r>
        <w:t xml:space="preserve">, Jihlavská 20, 625 00 Brno, </w:t>
      </w:r>
      <w:r w:rsidR="001F7596">
        <w:t xml:space="preserve">a Obilní trh 11, 602 00 Brno, </w:t>
      </w:r>
      <w:r w:rsidR="002470C7">
        <w:t xml:space="preserve">a </w:t>
      </w:r>
      <w:r>
        <w:t xml:space="preserve">Pracoviště </w:t>
      </w:r>
      <w:r w:rsidR="00923251">
        <w:t>Dětská nemocnice</w:t>
      </w:r>
      <w:r>
        <w:t>, Černopolní 9, 613 00 Brno.</w:t>
      </w:r>
    </w:p>
    <w:p w14:paraId="62F78F23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4" w14:textId="798F3CEE" w:rsidR="00014CFB" w:rsidRDefault="00014CFB" w:rsidP="00014CFB">
      <w:pPr>
        <w:pStyle w:val="Odstavecsmlouvy"/>
      </w:pPr>
      <w:bookmarkStart w:id="5" w:name="_Ref525635743"/>
      <w:bookmarkStart w:id="6" w:name="_Ref8729760"/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066EDF">
        <w:rPr>
          <w:b/>
        </w:rPr>
        <w:t>2 pracovních dnů</w:t>
      </w:r>
      <w:r>
        <w:t xml:space="preserve"> od jejího doručení Prodávající</w:t>
      </w:r>
      <w:r w:rsidR="00EA4C8B">
        <w:t>mu</w:t>
      </w:r>
      <w:r w:rsidR="00806564">
        <w:t>, ledaže si smluvní strany dohodly rozvozový plán</w:t>
      </w:r>
      <w:r>
        <w:t>.</w:t>
      </w:r>
      <w:bookmarkEnd w:id="5"/>
      <w:r w:rsidRPr="00B936A8">
        <w:t xml:space="preserve"> </w:t>
      </w:r>
      <w:r w:rsidR="00806564">
        <w:t>V případě, že si smluvní strany dohodly rozvozový plán</w:t>
      </w:r>
      <w:r>
        <w:t>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 w:rsidR="00754D50">
        <w:t xml:space="preserve">po doručení Objednávky </w:t>
      </w:r>
      <w:r w:rsidR="00754D50" w:rsidRPr="00B936A8">
        <w:t xml:space="preserve">nejbližším </w:t>
      </w:r>
      <w:r w:rsidRPr="00B936A8">
        <w:t xml:space="preserve">následujícím rozvozem dle </w:t>
      </w:r>
      <w:r w:rsidR="00806564">
        <w:t xml:space="preserve">tohoto rozvozového plánu. Zboží však </w:t>
      </w:r>
      <w:r w:rsidR="002D48A0">
        <w:t xml:space="preserve">vždy </w:t>
      </w:r>
      <w:r w:rsidR="00806564">
        <w:t>musí být dodáno v pracovních dnech v době od 6:00 hodin do 15:00 hodin nebo v sobotu v době od 8:00 hodin do 12:00 hodin, ledaže se smluvní strany dohodnou jinak.</w:t>
      </w:r>
      <w:bookmarkEnd w:id="6"/>
    </w:p>
    <w:p w14:paraId="594B7AC1" w14:textId="77777777" w:rsidR="00BE64FF" w:rsidRDefault="00BE64FF" w:rsidP="00BE64FF">
      <w:pPr>
        <w:pStyle w:val="Odstavecseseznamem"/>
      </w:pPr>
    </w:p>
    <w:p w14:paraId="6EF2F7CD" w14:textId="6387BA0C" w:rsidR="00BE64FF" w:rsidRDefault="00BE64FF" w:rsidP="00BE64FF">
      <w:pPr>
        <w:pStyle w:val="Odstavecsmlouvy"/>
      </w:pPr>
      <w:r>
        <w:t>V případě, že Prodávající není schopen (při splnění podmínek Smlouvy) dílčí plnění dodat či jej není schopen dodat v celém rozsahu, je povinen o této skutečnosti Kupujícího informovat formou  tzv. „</w:t>
      </w:r>
      <w:r>
        <w:rPr>
          <w:b/>
          <w:i/>
        </w:rPr>
        <w:t>defektního listu</w:t>
      </w:r>
      <w:r>
        <w:t xml:space="preserve">“ zaslaného do dvou hodin od doručení výzvy. Z defektního listu musí vyplývat, v jakém rozsahu není Prodávající dílčí plnění schopen dodat. V rozsahu vymezeném defektním listem je pak oprávněn dílčí plnění nedodat. V takovém případě je Kupující oprávněn postupovat dle </w:t>
      </w:r>
      <w:r w:rsidR="00824804">
        <w:t xml:space="preserve">čl. VIII odst. 1 </w:t>
      </w:r>
      <w:r>
        <w:t>Smlouvy.</w:t>
      </w:r>
    </w:p>
    <w:p w14:paraId="62F78F2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6" w14:textId="77777777" w:rsidR="00014CFB" w:rsidRDefault="00014CFB" w:rsidP="00014CFB">
      <w:pPr>
        <w:pStyle w:val="Odstavecsmlouvy"/>
      </w:pPr>
      <w:bookmarkStart w:id="7" w:name="_Ref530751629"/>
      <w:r>
        <w:lastRenderedPageBreak/>
        <w:t>Zboží může být dodáno pouze po baleních o maximální hmotnosti 15 kg.</w:t>
      </w:r>
      <w:bookmarkEnd w:id="7"/>
      <w:r w:rsidR="002470C7">
        <w:t xml:space="preserve"> V odůvodněných případech a s výslovným souhlasem Kupujícího může být Zboží dodáno po baleních o hmotnosti až 20 kg.</w:t>
      </w:r>
    </w:p>
    <w:p w14:paraId="62F78F27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28" w14:textId="4DBB5CFD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754D50">
        <w:t>1</w:t>
      </w:r>
      <w:r w:rsidR="006A590E">
        <w:t>4</w:t>
      </w:r>
      <w:r w:rsidR="00754D50">
        <w:t xml:space="preserve"> nebo vyšší</w:t>
      </w:r>
      <w:r w:rsidR="00806564">
        <w:t xml:space="preserve">, případně ve formátech XML nebo CSV sestavený tak, aby umožnil automatizovanou konverzi do formátu PDK verze </w:t>
      </w:r>
      <w:r w:rsidR="00B44C11">
        <w:t>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62F78F29" w14:textId="77777777" w:rsidR="00EA4C8B" w:rsidRDefault="00EA4C8B" w:rsidP="003E07FA">
      <w:pPr>
        <w:pStyle w:val="Psmenoodstavce"/>
        <w:ind w:left="1418" w:firstLine="0"/>
      </w:pPr>
      <w:r>
        <w:t>identifikační údaje Kupujícího a Prodávajícího;</w:t>
      </w:r>
    </w:p>
    <w:p w14:paraId="62F78F2A" w14:textId="77777777" w:rsidR="00EA4C8B" w:rsidRDefault="00EA4C8B" w:rsidP="003E07FA">
      <w:pPr>
        <w:pStyle w:val="Psmenoodstavce"/>
        <w:ind w:left="1418" w:firstLine="0"/>
      </w:pPr>
      <w:r>
        <w:t>evidenční číslo Dodacího listu;</w:t>
      </w:r>
    </w:p>
    <w:p w14:paraId="62F78F2B" w14:textId="77777777" w:rsidR="00806564" w:rsidRDefault="00806564" w:rsidP="003E07FA">
      <w:pPr>
        <w:pStyle w:val="Psmenoodstavce"/>
        <w:ind w:left="1418" w:firstLine="0"/>
      </w:pPr>
      <w:r>
        <w:t>evidenční číslo veřejné zakázky dle Věstníku veřejných zakázek a není-li takové číslo, pak číslo této smlouvy dle číslování Kupujícího;</w:t>
      </w:r>
    </w:p>
    <w:p w14:paraId="62F78F2C" w14:textId="77777777" w:rsidR="00EA4C8B" w:rsidRDefault="00EA4C8B" w:rsidP="003E07FA">
      <w:pPr>
        <w:pStyle w:val="Psmenoodstavce"/>
        <w:ind w:left="1418" w:firstLine="0"/>
      </w:pPr>
      <w:r>
        <w:t>datum uskutečnění dodávky;</w:t>
      </w:r>
    </w:p>
    <w:p w14:paraId="62F78F2D" w14:textId="77777777" w:rsidR="00EA4C8B" w:rsidRDefault="00EA4C8B" w:rsidP="003E07FA">
      <w:pPr>
        <w:pStyle w:val="Psmenoodstavce"/>
        <w:ind w:left="1418" w:firstLine="0"/>
      </w:pPr>
      <w:r>
        <w:t>specifikace dodaného Zboží a množství;</w:t>
      </w:r>
    </w:p>
    <w:p w14:paraId="62F78F2E" w14:textId="77777777" w:rsidR="00EA4C8B" w:rsidRDefault="00EA4C8B" w:rsidP="003E07FA">
      <w:pPr>
        <w:pStyle w:val="Psmenoodstavce"/>
        <w:ind w:left="1418" w:firstLine="0"/>
      </w:pPr>
      <w:r>
        <w:t>jednotkové ceny dodaného Zboží (bez DPH a včetně DPH);</w:t>
      </w:r>
    </w:p>
    <w:p w14:paraId="62F78F2F" w14:textId="4D06B502" w:rsidR="00EA4C8B" w:rsidRDefault="00EA4C8B" w:rsidP="003E07FA">
      <w:pPr>
        <w:pStyle w:val="Psmenoodstavce"/>
        <w:ind w:left="1418" w:firstLine="0"/>
      </w:pPr>
      <w:r w:rsidRPr="00512AB9">
        <w:t>údaje o šarži</w:t>
      </w:r>
      <w:r w:rsidR="002F473F">
        <w:rPr>
          <w:rStyle w:val="Znakapoznpodarou"/>
        </w:rPr>
        <w:footnoteReference w:id="1"/>
      </w:r>
      <w:r w:rsidRPr="00512AB9">
        <w:t xml:space="preserve"> a exspiraci </w:t>
      </w:r>
      <w:r>
        <w:t>Z</w:t>
      </w:r>
      <w:r w:rsidRPr="00512AB9">
        <w:t>boží</w:t>
      </w:r>
      <w:r>
        <w:t>;</w:t>
      </w:r>
    </w:p>
    <w:p w14:paraId="62F78F30" w14:textId="77777777" w:rsidR="00EA4C8B" w:rsidRDefault="00EA4C8B" w:rsidP="003E07FA">
      <w:pPr>
        <w:pStyle w:val="Psmenoodstavce"/>
        <w:ind w:left="1418" w:firstLine="0"/>
      </w:pPr>
      <w:r w:rsidRPr="00512AB9">
        <w:t>údaje o kódech SÚKL</w:t>
      </w:r>
      <w:r w:rsidR="00941D28">
        <w:t>;</w:t>
      </w:r>
    </w:p>
    <w:p w14:paraId="62F78F31" w14:textId="77777777" w:rsidR="00E26944" w:rsidRDefault="00941D28" w:rsidP="003E07FA">
      <w:pPr>
        <w:pStyle w:val="Psmenoodstavce"/>
        <w:ind w:left="1418" w:firstLine="0"/>
      </w:pPr>
      <w:r>
        <w:t>u zdravotnického materiálu</w:t>
      </w:r>
      <w:r w:rsidR="00E26944">
        <w:t xml:space="preserve"> i tříd</w:t>
      </w:r>
      <w:r>
        <w:t>y</w:t>
      </w:r>
      <w:r w:rsidR="00E26944">
        <w:t xml:space="preserve"> bezpečnosti</w:t>
      </w:r>
      <w:r>
        <w:t>;</w:t>
      </w:r>
    </w:p>
    <w:p w14:paraId="62F78F32" w14:textId="77777777" w:rsidR="006D5E44" w:rsidRDefault="00754D50" w:rsidP="003E07FA">
      <w:pPr>
        <w:pStyle w:val="Psmenoodstavce"/>
        <w:ind w:left="1418" w:firstLine="0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F78F33" w14:textId="366EBA58" w:rsidR="00EA4C8B" w:rsidRDefault="006D5E44" w:rsidP="003E07FA">
      <w:pPr>
        <w:pStyle w:val="Psmenoodstavce"/>
        <w:ind w:left="1418" w:firstLine="0"/>
      </w:pPr>
      <w:r>
        <w:t>u tzv. ZM</w:t>
      </w:r>
      <w:r w:rsidR="003E07FA">
        <w:t xml:space="preserve"> (</w:t>
      </w:r>
      <w:r w:rsidR="00653730">
        <w:t xml:space="preserve">zdravotnický </w:t>
      </w:r>
      <w:r w:rsidR="003E07FA">
        <w:t>materiál)</w:t>
      </w:r>
      <w:r>
        <w:t xml:space="preserve"> a LP</w:t>
      </w:r>
      <w:r w:rsidR="003E07FA">
        <w:t xml:space="preserve"> (léčivé přípravky)</w:t>
      </w:r>
      <w:r>
        <w:t xml:space="preserve">, kód </w:t>
      </w:r>
      <w:r w:rsidR="003E07FA">
        <w:t>Všeobecné zdravotní pojišťovny</w:t>
      </w:r>
      <w:r w:rsidR="00923251">
        <w:t xml:space="preserve"> (dále jen „</w:t>
      </w:r>
      <w:r w:rsidR="00923251" w:rsidRPr="00717C3C">
        <w:rPr>
          <w:b/>
        </w:rPr>
        <w:t>VZP</w:t>
      </w:r>
      <w:r w:rsidR="00923251">
        <w:t>“)</w:t>
      </w:r>
      <w:r w:rsidR="003E07FA">
        <w:t>, pokud je přidělen</w:t>
      </w:r>
      <w:r w:rsidR="00B57703">
        <w:t>.</w:t>
      </w:r>
    </w:p>
    <w:p w14:paraId="62F78F34" w14:textId="77777777" w:rsidR="00B57703" w:rsidRDefault="00B57703" w:rsidP="003E07FA">
      <w:pPr>
        <w:pStyle w:val="Odstavecsmlouvy"/>
        <w:numPr>
          <w:ilvl w:val="0"/>
          <w:numId w:val="0"/>
        </w:numPr>
        <w:ind w:left="567"/>
      </w:pPr>
    </w:p>
    <w:p w14:paraId="62F78F35" w14:textId="77777777" w:rsidR="00014CFB" w:rsidRDefault="00014CFB" w:rsidP="00014CFB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Dodacího listu v listinné a elektronické </w:t>
      </w:r>
      <w:r w:rsidR="003241AA">
        <w:t>formě</w:t>
      </w:r>
      <w:r>
        <w:t>.</w:t>
      </w:r>
    </w:p>
    <w:p w14:paraId="62F78F36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7" w14:textId="77777777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 xml:space="preserve">potvrdí pověřená osoba Kupujícího 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62F78F38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62F78F39" w14:textId="77777777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62F78F3A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B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62F78F3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3D" w14:textId="77777777" w:rsidR="00014CFB" w:rsidRPr="004E4993" w:rsidRDefault="00241316" w:rsidP="00014CFB">
      <w:pPr>
        <w:pStyle w:val="Odstavecsmlouvy"/>
      </w:pPr>
      <w:r w:rsidRPr="00EE6269">
        <w:rPr>
          <w:iCs/>
        </w:rPr>
        <w:t xml:space="preserve">Nebezpečí škody na zboží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IV.6 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 xml:space="preserve">. Škoda </w:t>
      </w:r>
      <w:r w:rsidRPr="00EE6269">
        <w:rPr>
          <w:iCs/>
        </w:rPr>
        <w:lastRenderedPageBreak/>
        <w:t xml:space="preserve">na Zboží, která vznikla po přechodu jejího nebezpečí na Kupujícího, nemá vliv na jeho povinnost </w:t>
      </w:r>
      <w:r w:rsidRPr="004E4993">
        <w:rPr>
          <w:iCs/>
        </w:rPr>
        <w:t>zaplatit Kupní cenu, ledaže ke škodě na Zboží došlo v důsledku porušení povinnosti Prodávajícího</w:t>
      </w:r>
      <w:r w:rsidR="00014CFB" w:rsidRPr="004E4993">
        <w:t>.</w:t>
      </w:r>
    </w:p>
    <w:p w14:paraId="62F78F3E" w14:textId="77777777" w:rsidR="00014CFB" w:rsidRPr="004E4993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460DB94" w14:textId="77777777" w:rsidR="004E4993" w:rsidRPr="004E4993" w:rsidRDefault="00014CFB" w:rsidP="004E4993">
      <w:pPr>
        <w:pStyle w:val="Odstavecsmlouvy"/>
      </w:pPr>
      <w:r w:rsidRPr="004E4993">
        <w:t>Prodávající se zavazuje informovat Kupujícího o výpadcích ve výrobě či distribuci Zboží bez zbytečného odkladu poté, co se o nich dozvěděl.</w:t>
      </w:r>
    </w:p>
    <w:p w14:paraId="773F79DF" w14:textId="77777777" w:rsidR="004E4993" w:rsidRPr="004E4993" w:rsidRDefault="004E4993" w:rsidP="004E4993"/>
    <w:p w14:paraId="0C4329D7" w14:textId="77777777" w:rsidR="00423B9E" w:rsidRDefault="00423B9E" w:rsidP="00423B9E">
      <w:pPr>
        <w:pStyle w:val="Odstavecsmlouvy"/>
      </w:pPr>
      <w:r w:rsidRPr="004E4993">
        <w:t>V případě, že orgán státního dohledu nařídí stažení některého Zboží z oběhu, které již Prodávající dodal Kupujícímu, je Prodávající povinen toto Zboží</w:t>
      </w:r>
      <w:r>
        <w:t xml:space="preserve"> od Kupujícího na vlastní náklady odebrat zpět a Kupní cenu tohoto zboží Kupujícímu vrátit, případně po dohodě s Kupujícím dodat Zboží náhradní.</w:t>
      </w:r>
    </w:p>
    <w:p w14:paraId="62F78F4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2F78F45" w14:textId="77777777" w:rsidR="000C1FD1" w:rsidRPr="002B77A6" w:rsidRDefault="000C1FD1" w:rsidP="000C1FD1">
      <w:pPr>
        <w:pStyle w:val="Nadpis1"/>
      </w:pPr>
      <w:r>
        <w:t>Kupní cena</w:t>
      </w:r>
      <w:bookmarkEnd w:id="4"/>
    </w:p>
    <w:p w14:paraId="62F78F46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62F78F47" w14:textId="77777777" w:rsidR="000C1FD1" w:rsidRDefault="000C1FD1" w:rsidP="000C1FD1">
      <w:pPr>
        <w:pStyle w:val="Odstavecsmlouvy"/>
      </w:pPr>
      <w:bookmarkStart w:id="8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8"/>
    </w:p>
    <w:p w14:paraId="62F78F48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9" w14:textId="78B0334B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>oklady, pojištění během dopravy, správní poplatky, daně, recyklační poplatek (pouze u zboží, které to</w:t>
      </w:r>
      <w:r w:rsidR="00B23360">
        <w:t xml:space="preserve">muto poplatku podle zákona č. </w:t>
      </w:r>
      <w:r>
        <w:t>5</w:t>
      </w:r>
      <w:r w:rsidR="00B23360">
        <w:t>41</w:t>
      </w:r>
      <w:r>
        <w:t>/20</w:t>
      </w:r>
      <w:r w:rsidR="00B23360">
        <w:t>20</w:t>
      </w:r>
      <w:r>
        <w:t xml:space="preserve"> Sb., o odpadech, ve znění pozdějších předpisů,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62F78F4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4B" w14:textId="2B77604B" w:rsidR="000C1FD1" w:rsidRDefault="000C1FD1" w:rsidP="000C1FD1">
      <w:pPr>
        <w:pStyle w:val="Odstavecsmlouvy"/>
      </w:pPr>
      <w:r>
        <w:t>Navýšení Kupní ceny je možné pouze v případě legislativních změn, které mají prokazatelný vliv na výši Kupní ceny, a na základě písemného návrhu Prodávajícího</w:t>
      </w:r>
      <w:r w:rsidR="006D5E44">
        <w:t>, který musí Kupující písemně odsouhlasit.</w:t>
      </w:r>
      <w:r>
        <w:t xml:space="preserve"> </w:t>
      </w:r>
    </w:p>
    <w:p w14:paraId="13B9CC67" w14:textId="77777777" w:rsidR="00B468B6" w:rsidRDefault="00B468B6" w:rsidP="00B468B6"/>
    <w:p w14:paraId="70579518" w14:textId="578D0B9D" w:rsidR="00B468B6" w:rsidRDefault="00B468B6" w:rsidP="00B468B6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průměrnou roční míru inflace za předchozí kalendářní rok </w:t>
      </w:r>
      <w:r w:rsidRPr="006E1A4C">
        <w:t>zveřejněnou Českým statistickým úřadem, nejvýše však o 5 % (i v případě, že míra inflace za předchozí kalendářní rok bude vyšší) a to vždy k 1. 4. příslušného roku, počínaje 1. 4. 2021. Zvýšení jednotkových cen dle Přílohy č. 1 této smlouvy o inflaci je Prodávající povinen Kupujícímu oznámit nejpozději do 15. 3. příslušného roku, jinak toto právo navýšit jednotkové ceny dle Přílohy č. 1 této smlouvy v příslušném roce zaniká.</w:t>
      </w:r>
    </w:p>
    <w:p w14:paraId="59037288" w14:textId="7050593A" w:rsidR="00B468B6" w:rsidRPr="006E1A4C" w:rsidRDefault="00B468B6" w:rsidP="00B468B6">
      <w:pPr>
        <w:pStyle w:val="Odstavecsmlouvy"/>
        <w:numPr>
          <w:ilvl w:val="0"/>
          <w:numId w:val="0"/>
        </w:numPr>
      </w:pPr>
    </w:p>
    <w:p w14:paraId="1DB5E062" w14:textId="5262FAAB" w:rsidR="00B468B6" w:rsidRDefault="00B468B6" w:rsidP="00B468B6">
      <w:pPr>
        <w:pStyle w:val="Odstavecsmlouvy"/>
      </w:pPr>
      <w:r w:rsidRPr="006E1A4C">
        <w:t>Ustanovení čl. V.</w:t>
      </w:r>
      <w:r w:rsidR="00222710">
        <w:t xml:space="preserve"> </w:t>
      </w:r>
      <w:r w:rsidRPr="006E1A4C">
        <w:t>4  této smlouvy se použije pouze v případě, že průměrná roční míra inflace za předchozí kalendářní rok bude vyšší nebo rovna 2 %. V případě záporné míry inflace se kupní cena nesnižuje.</w:t>
      </w:r>
    </w:p>
    <w:p w14:paraId="2D203622" w14:textId="77777777" w:rsidR="00CE7FF5" w:rsidRDefault="00CE7FF5" w:rsidP="00CE7FF5">
      <w:pPr>
        <w:pStyle w:val="Odstavecseseznamem"/>
      </w:pPr>
    </w:p>
    <w:p w14:paraId="1371CEC0" w14:textId="2D10EF24" w:rsidR="00ED558C" w:rsidRPr="00ED558C" w:rsidRDefault="00ED558C" w:rsidP="00ED558C">
      <w:pPr>
        <w:pStyle w:val="Odstavecsmlouvy"/>
      </w:pPr>
      <w:r w:rsidRPr="00ED558C">
        <w:rPr>
          <w:iCs/>
          <w:color w:val="000000"/>
          <w:shd w:val="clear" w:color="auto" w:fill="FFFFFF"/>
        </w:rPr>
        <w:t>Prodávající se zavazuje písemně informovat kupujícího o změně regulačních předpisů mající vliv na cenu léčivých přípravků, které jsou předmětem plnění této smlouvy. V případě, že dojde ke snížení/ zvýšení úhradových cen předmětu plnění, je prodávající povinen provést snížení/ zvýšení kupní ceny dodatkem k této smlouvě.</w:t>
      </w:r>
    </w:p>
    <w:p w14:paraId="62F78F4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ED5763C" w14:textId="77777777" w:rsidR="00B468B6" w:rsidRDefault="00B468B6" w:rsidP="00DB633B">
      <w:pPr>
        <w:jc w:val="right"/>
      </w:pPr>
    </w:p>
    <w:p w14:paraId="62F78F50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1" w14:textId="3C57A4D9" w:rsidR="000C1FD1" w:rsidRDefault="000C1FD1" w:rsidP="00824804">
      <w:pPr>
        <w:pStyle w:val="Nadpis1"/>
      </w:pPr>
      <w:r>
        <w:t>Platební podmínky</w:t>
      </w:r>
    </w:p>
    <w:p w14:paraId="62F78F52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0C17B88" w14:textId="77777777" w:rsidR="001712F5" w:rsidRPr="007925F1" w:rsidRDefault="001712F5" w:rsidP="001712F5">
      <w:pPr>
        <w:pStyle w:val="Odstavecsmlouvy"/>
      </w:pPr>
      <w:r w:rsidRPr="00512AB9">
        <w:t xml:space="preserve">Platba bude prováděna bezhotovostním převodem na účet </w:t>
      </w:r>
      <w:r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Kupujícímu, a to</w:t>
      </w:r>
      <w:r w:rsidRPr="00512AB9">
        <w:t xml:space="preserve"> </w:t>
      </w:r>
      <w:r w:rsidRPr="007925F1">
        <w:t xml:space="preserve">ve formě tzv. sběrných faktur v denním intervalu. </w:t>
      </w:r>
    </w:p>
    <w:p w14:paraId="62F78F54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5" w14:textId="77777777" w:rsidR="000C1FD1" w:rsidRDefault="00825B3C" w:rsidP="000C1FD1">
      <w:pPr>
        <w:pStyle w:val="Odstavecsmlouvy"/>
      </w:pPr>
      <w:r w:rsidRPr="00512AB9">
        <w:lastRenderedPageBreak/>
        <w:t xml:space="preserve">Splatnost faktur je sjednána na </w:t>
      </w:r>
      <w:r>
        <w:t>60</w:t>
      </w:r>
      <w:r w:rsidRPr="00512AB9">
        <w:t xml:space="preserve"> dní ode dne </w:t>
      </w:r>
      <w:r w:rsidR="009D4364">
        <w:t xml:space="preserve">doručení </w:t>
      </w:r>
      <w:r w:rsidRPr="00512AB9">
        <w:t>faktury</w:t>
      </w:r>
      <w:r>
        <w:t xml:space="preserve"> Kupujícímu</w:t>
      </w:r>
      <w:r w:rsidR="000C1FD1" w:rsidRPr="006925A2">
        <w:t>.</w:t>
      </w:r>
      <w:r w:rsidR="0010754F">
        <w:t xml:space="preserve"> Lhůta splatnosti faktur počíná běžet </w:t>
      </w:r>
      <w:r w:rsidR="003D3584">
        <w:t>převzetím Zboží Kupujícím</w:t>
      </w:r>
      <w:r w:rsidR="0010754F">
        <w:t>.</w:t>
      </w:r>
    </w:p>
    <w:p w14:paraId="62F78F56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57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62F78F58" w14:textId="77777777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2F78F59" w14:textId="77777777" w:rsidR="000C1FD1" w:rsidRDefault="000C1FD1" w:rsidP="000C1FD1">
      <w:pPr>
        <w:pStyle w:val="Psmenoodstavce"/>
      </w:pPr>
      <w:r>
        <w:t>evidenční číslo daňového dokladu;</w:t>
      </w:r>
    </w:p>
    <w:p w14:paraId="62F78F5A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62F78F5B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62F78F5C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62F78F5D" w14:textId="77777777" w:rsidR="000C1FD1" w:rsidRDefault="000C1FD1" w:rsidP="000C1FD1">
      <w:pPr>
        <w:pStyle w:val="Psmenoodstavce"/>
      </w:pPr>
      <w:r>
        <w:t>datum splatnosti;</w:t>
      </w:r>
    </w:p>
    <w:p w14:paraId="62F78F5E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62F78F5F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62F78F60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62F78F61" w14:textId="77777777" w:rsidR="000C1FD1" w:rsidRDefault="000C1FD1" w:rsidP="000C1FD1">
      <w:pPr>
        <w:pStyle w:val="Psmenoodstavce"/>
      </w:pPr>
      <w:r w:rsidRPr="00512AB9">
        <w:t>údaje o kódech SÚKL</w:t>
      </w:r>
      <w:r w:rsidR="00BE4FE7">
        <w:t>;</w:t>
      </w:r>
    </w:p>
    <w:p w14:paraId="62F78F62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62F78F63" w14:textId="77777777" w:rsidR="006D5E44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</w:t>
      </w:r>
      <w:r w:rsidR="006D5E44">
        <w:t>;</w:t>
      </w:r>
    </w:p>
    <w:p w14:paraId="62F78F64" w14:textId="4E0CAB91" w:rsidR="00754D50" w:rsidRDefault="006D5E44" w:rsidP="00754D50">
      <w:pPr>
        <w:pStyle w:val="Psmenoodstavce"/>
      </w:pPr>
      <w:r>
        <w:t>u ZM</w:t>
      </w:r>
      <w:r w:rsidR="00923251">
        <w:t xml:space="preserve"> (</w:t>
      </w:r>
      <w:r w:rsidR="00653730">
        <w:t xml:space="preserve">zdravotnický </w:t>
      </w:r>
      <w:r w:rsidR="00923251">
        <w:t>materiál)</w:t>
      </w:r>
      <w:r>
        <w:t xml:space="preserve"> a LP</w:t>
      </w:r>
      <w:r w:rsidR="00923251">
        <w:t xml:space="preserve"> (léčivé přípravky)</w:t>
      </w:r>
      <w:r>
        <w:t>, kód VZP</w:t>
      </w:r>
      <w:r w:rsidR="00923251">
        <w:t>, pokud je přidělen.</w:t>
      </w:r>
    </w:p>
    <w:p w14:paraId="62F78F65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6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62F78F67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8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62F78F69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A" w14:textId="77777777" w:rsidR="000C1FD1" w:rsidRDefault="000C1FD1" w:rsidP="003B350F">
      <w:pPr>
        <w:pStyle w:val="Odstavecsmlouvy"/>
      </w:pPr>
      <w:r w:rsidRPr="006925A2">
        <w:t xml:space="preserve">Úhrada </w:t>
      </w:r>
      <w:r>
        <w:t>K</w:t>
      </w:r>
      <w:r w:rsidRPr="006925A2">
        <w:t>upní ceny bude provedena bezhotovostním převodem z bankovní</w:t>
      </w:r>
      <w:r>
        <w:t>ho</w:t>
      </w:r>
      <w:r w:rsidRPr="006925A2">
        <w:t xml:space="preserve"> účt</w:t>
      </w:r>
      <w:r>
        <w:t>u</w:t>
      </w:r>
      <w:r w:rsidRPr="006925A2">
        <w:t xml:space="preserve"> Kupujícího na bankovní účet Prodávajícího uvedený v záhlaví této smlouvy. Dnem úhrady se rozumí den odepsání příslušné částky z bankovního účtu Kupujícího</w:t>
      </w:r>
      <w:r w:rsidR="003B350F" w:rsidRPr="003B350F">
        <w:t xml:space="preserve"> ve prospěch bankovního účtu Prodávajícího</w:t>
      </w:r>
      <w:r>
        <w:t>, ledaže se smluvní strany dohodnou jinak</w:t>
      </w:r>
      <w:r w:rsidRPr="006925A2">
        <w:t>.</w:t>
      </w:r>
    </w:p>
    <w:p w14:paraId="62F78F6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C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62F78F6D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6E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62F78F6F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2F78F70" w14:textId="5CC45166" w:rsidR="000C1FD1" w:rsidRPr="00913C27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</w:p>
    <w:p w14:paraId="385CAF38" w14:textId="77777777" w:rsidR="00913C27" w:rsidRDefault="00913C27" w:rsidP="00913C27">
      <w:pPr>
        <w:pStyle w:val="Odstavecseseznamem"/>
      </w:pPr>
    </w:p>
    <w:p w14:paraId="72738F4B" w14:textId="77777777" w:rsidR="00913C27" w:rsidRPr="001B5F9C" w:rsidRDefault="00913C27" w:rsidP="00913C27">
      <w:pPr>
        <w:pStyle w:val="Odstavecsmlouvy"/>
        <w:numPr>
          <w:ilvl w:val="0"/>
          <w:numId w:val="0"/>
        </w:numPr>
        <w:ind w:left="567"/>
      </w:pPr>
    </w:p>
    <w:bookmarkEnd w:id="0"/>
    <w:p w14:paraId="62F78F73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62F78F74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F78F75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62F78F76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62F78F78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62F78F79" w14:textId="0A58AE34" w:rsidR="0070760F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9B47B76" w14:textId="77777777" w:rsidR="002F473F" w:rsidRDefault="002F473F" w:rsidP="002F473F"/>
    <w:p w14:paraId="5DC3AF47" w14:textId="305BD643" w:rsidR="002F473F" w:rsidRPr="00512AB9" w:rsidRDefault="002F473F" w:rsidP="002F473F">
      <w:pPr>
        <w:pStyle w:val="Odstavecsmlouvy"/>
      </w:pPr>
      <w:r>
        <w:t>Zboží musí být označeno šarží na vnějším i vnitřním obalu. Zboží s ex</w:t>
      </w:r>
      <w:r w:rsidR="00B23360">
        <w:t>s</w:t>
      </w:r>
      <w:r>
        <w:t>pirační dobou musí být opatřeno také údajem o ex</w:t>
      </w:r>
      <w:r w:rsidR="00B23360">
        <w:t>s</w:t>
      </w:r>
      <w:r>
        <w:t>piraci.</w:t>
      </w:r>
    </w:p>
    <w:p w14:paraId="62F78F7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B" w14:textId="311B2F4A" w:rsidR="0070760F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>minimálně 30 % z celkové exspirační dob</w:t>
      </w:r>
      <w:r w:rsidR="003E1948">
        <w:rPr>
          <w:b/>
        </w:rPr>
        <w:t xml:space="preserve">y </w:t>
      </w:r>
      <w:r w:rsidR="00CD098E" w:rsidRPr="00CD098E">
        <w:rPr>
          <w:b/>
        </w:rPr>
        <w:t>Z</w:t>
      </w:r>
      <w:r w:rsidRPr="00CD098E">
        <w:rPr>
          <w:b/>
        </w:rPr>
        <w:t>boží</w:t>
      </w:r>
      <w:r w:rsidR="005452F8" w:rsidRPr="005452F8">
        <w:t xml:space="preserve"> 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15B75DFC" w14:textId="77777777" w:rsidR="00313C45" w:rsidRDefault="00313C45" w:rsidP="00313C45">
      <w:pPr>
        <w:pStyle w:val="Odstavecseseznamem"/>
      </w:pPr>
    </w:p>
    <w:p w14:paraId="632DB114" w14:textId="3D7D61BB" w:rsidR="002F473F" w:rsidRPr="00512AB9" w:rsidRDefault="002F473F" w:rsidP="0079294C">
      <w:pPr>
        <w:pStyle w:val="Odstavecsmlouvy"/>
      </w:pPr>
      <w:r>
        <w:t>Prodávající je oprávněn dodat kupuj</w:t>
      </w:r>
      <w:r w:rsidR="0079294C">
        <w:t>ícímu Z</w:t>
      </w:r>
      <w:r>
        <w:t>boží i s dobou použitelnosti kratší než 3 měsíce. V takovém případě je kupující oprávněn neupotřebenou čá</w:t>
      </w:r>
      <w:r w:rsidR="0079294C">
        <w:t>st takto dodaného Zboží vrátit Prodávajícímu, nejpozději však do 14 dní od vypršení ex</w:t>
      </w:r>
      <w:r w:rsidR="00B23360">
        <w:t>s</w:t>
      </w:r>
      <w:r w:rsidR="0079294C">
        <w:t>pirační doby. Prodávající je povinen takové Zboží převzít (např. při dodání dílčího plnění). V případě vrácení Zboží dle tohoto odstavce je prodávající povinen Kupujícímu vrátit částku, kterou za dotčené Zboží zaplatil, a to nejpozději do 10 kalendářních dnů ode dne vrácení Zboží (příp. dne, kdy Prodávající bezdůvodně odmítl převzít vrácené Zboží).</w:t>
      </w:r>
    </w:p>
    <w:p w14:paraId="62F78F7C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62F78F7D" w14:textId="1C4EE7C0" w:rsidR="0070760F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4702B599" w14:textId="77777777" w:rsidR="00735D7D" w:rsidRDefault="00735D7D" w:rsidP="00735D7D"/>
    <w:p w14:paraId="1A1D7756" w14:textId="67A5387D" w:rsidR="00735D7D" w:rsidRPr="00735D7D" w:rsidRDefault="00735D7D" w:rsidP="0070760F">
      <w:pPr>
        <w:pStyle w:val="Odstavecsmlouvy"/>
      </w:pPr>
      <w:r w:rsidRPr="00735D7D">
        <w:t>Zjistí-li 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6F762E81" w14:textId="77777777" w:rsidR="00735D7D" w:rsidRPr="00735D7D" w:rsidRDefault="00735D7D" w:rsidP="00735D7D"/>
    <w:p w14:paraId="48750826" w14:textId="19493E71" w:rsidR="00735D7D" w:rsidRPr="00735D7D" w:rsidRDefault="00735D7D" w:rsidP="0070760F">
      <w:pPr>
        <w:pStyle w:val="Odstavecsmlouvy"/>
      </w:pPr>
      <w:r w:rsidRPr="00735D7D">
        <w:t>Skryté vady, kterými se rozumí vady vzniklé rozbitím, prázdná balení v originálních baleních či kartónech atd., je kupující oprávněn reklamovat u prodávajícího do jednoho měsíce od převzetí zboží.</w:t>
      </w:r>
    </w:p>
    <w:p w14:paraId="47991383" w14:textId="77777777" w:rsidR="00735D7D" w:rsidRPr="00735D7D" w:rsidRDefault="00735D7D" w:rsidP="00735D7D">
      <w:pPr>
        <w:pStyle w:val="Odstavecseseznamem"/>
        <w:rPr>
          <w:rFonts w:ascii="Arial" w:hAnsi="Arial"/>
        </w:rPr>
      </w:pPr>
    </w:p>
    <w:p w14:paraId="29ED296D" w14:textId="07A5D064" w:rsidR="00735D7D" w:rsidRPr="00735D7D" w:rsidRDefault="00735D7D" w:rsidP="0070760F">
      <w:pPr>
        <w:pStyle w:val="Odstavecsmlouvy"/>
      </w:pPr>
      <w:r w:rsidRPr="00735D7D">
        <w:t>Vady jakosti, projevující se tím, že zboží neodpovídá smluvené kvalitě a projeví se v době použitelnosti (exspirace), je kupující oprávněn uplatnit u prodávajícího nejpozději poslední den exspirační doby. Prodávající je povinen vyřídit reklamaci do 30 dnů</w:t>
      </w:r>
      <w:r w:rsidRPr="00735D7D">
        <w:br/>
        <w:t>od jejího doručení.</w:t>
      </w:r>
    </w:p>
    <w:p w14:paraId="62F78F7E" w14:textId="77777777" w:rsidR="00CD098E" w:rsidRPr="00735D7D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19E2C74" w14:textId="77777777" w:rsidR="00735D7D" w:rsidRPr="00735D7D" w:rsidRDefault="0070760F" w:rsidP="00735D7D">
      <w:pPr>
        <w:pStyle w:val="Odstavecsmlouvy"/>
      </w:pPr>
      <w:r w:rsidRPr="00735D7D">
        <w:t xml:space="preserve">Má-li </w:t>
      </w:r>
      <w:r w:rsidR="00CD098E" w:rsidRPr="00735D7D">
        <w:t>Z</w:t>
      </w:r>
      <w:r w:rsidRPr="00735D7D">
        <w:t xml:space="preserve">boží vady jakosti, je </w:t>
      </w:r>
      <w:r w:rsidR="00CD098E" w:rsidRPr="00735D7D">
        <w:t>P</w:t>
      </w:r>
      <w:r w:rsidRPr="00735D7D">
        <w:t xml:space="preserve">rodávající povinen bez zbytečného odkladu po </w:t>
      </w:r>
      <w:r w:rsidR="003E1948" w:rsidRPr="00735D7D">
        <w:t xml:space="preserve">oznámení </w:t>
      </w:r>
      <w:r w:rsidRPr="00735D7D">
        <w:t xml:space="preserve">vad </w:t>
      </w:r>
      <w:r w:rsidR="00CD098E" w:rsidRPr="00735D7D">
        <w:t>K</w:t>
      </w:r>
      <w:r w:rsidRPr="00735D7D">
        <w:t xml:space="preserve">upujícím dodat </w:t>
      </w:r>
      <w:r w:rsidR="00CD098E" w:rsidRPr="00735D7D">
        <w:t>K</w:t>
      </w:r>
      <w:r w:rsidRPr="00735D7D">
        <w:t xml:space="preserve">upujícímu náhradní zboží za zboží vadné nebo vrátit </w:t>
      </w:r>
      <w:r w:rsidR="00CD098E" w:rsidRPr="00735D7D">
        <w:t>K</w:t>
      </w:r>
      <w:r w:rsidRPr="00735D7D">
        <w:t xml:space="preserve">upujícímu cenu vadného zboží. Volba nároku náleží </w:t>
      </w:r>
      <w:r w:rsidR="00CD098E" w:rsidRPr="00735D7D">
        <w:t>K</w:t>
      </w:r>
      <w:r w:rsidRPr="00735D7D">
        <w:t>upujícímu.</w:t>
      </w:r>
    </w:p>
    <w:p w14:paraId="6CAA4357" w14:textId="74D2A011" w:rsidR="00735D7D" w:rsidRPr="00735D7D" w:rsidRDefault="00735D7D" w:rsidP="00735D7D"/>
    <w:p w14:paraId="219611F3" w14:textId="0400E6AD" w:rsidR="00735D7D" w:rsidRPr="00735D7D" w:rsidRDefault="00735D7D" w:rsidP="00735D7D">
      <w:pPr>
        <w:pStyle w:val="Odstavecsmlouvy"/>
      </w:pPr>
      <w:r w:rsidRPr="00735D7D">
        <w:t>V případě vyřazení léčiva z důvodu nevyhovující kvality dle informace SÚKL je kupující oprávněn uplatnit u prodávajícího reklamaci do 30 dnů od data zveřejnění informace. Prodávající je povinen vyřídit reklamaci do 30 dnů od jejího doručení.</w:t>
      </w:r>
    </w:p>
    <w:p w14:paraId="3D341B25" w14:textId="77777777" w:rsidR="00735D7D" w:rsidRPr="00735D7D" w:rsidRDefault="00735D7D" w:rsidP="00735D7D">
      <w:pPr>
        <w:pStyle w:val="Odstavecsmlouvy"/>
        <w:numPr>
          <w:ilvl w:val="0"/>
          <w:numId w:val="0"/>
        </w:numPr>
        <w:ind w:left="567"/>
      </w:pPr>
    </w:p>
    <w:p w14:paraId="62F78F81" w14:textId="77777777" w:rsidR="0070760F" w:rsidRDefault="0070760F" w:rsidP="0070760F">
      <w:pPr>
        <w:pStyle w:val="Odstavecsmlouvy"/>
      </w:pPr>
      <w:r w:rsidRPr="00735D7D">
        <w:t>Kupující je oprávněn vedle nároků z vad zboží uplatňovat i jakékoliv jiné nároky související s dodáním vadného zboží (např. nárok na náhradu škody).</w:t>
      </w:r>
    </w:p>
    <w:p w14:paraId="62F78F82" w14:textId="77777777" w:rsidR="00726B26" w:rsidRPr="002B77A6" w:rsidRDefault="00726B26" w:rsidP="00726B26">
      <w:pPr>
        <w:jc w:val="center"/>
        <w:rPr>
          <w:b/>
          <w:bCs/>
        </w:rPr>
      </w:pPr>
    </w:p>
    <w:p w14:paraId="62F78F83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62F78F84" w14:textId="77777777" w:rsidR="00726B26" w:rsidRPr="002B77A6" w:rsidRDefault="00726B26" w:rsidP="00726B26">
      <w:pPr>
        <w:jc w:val="center"/>
        <w:rPr>
          <w:b/>
          <w:bCs/>
        </w:rPr>
      </w:pPr>
    </w:p>
    <w:p w14:paraId="5B9FBE56" w14:textId="5E6B7CBC" w:rsidR="00824804" w:rsidRPr="00824804" w:rsidRDefault="00273A86" w:rsidP="00824804">
      <w:pPr>
        <w:pStyle w:val="Odstavecsmlouvy"/>
        <w:spacing w:after="240"/>
        <w:ind w:left="426"/>
      </w:pPr>
      <w:r w:rsidRPr="00824804">
        <w:t xml:space="preserve">V případě </w:t>
      </w:r>
      <w:r w:rsidR="00E76E71" w:rsidRPr="00824804">
        <w:t>nedodání zboží</w:t>
      </w:r>
      <w:r w:rsidR="00BA2B10" w:rsidRPr="00824804">
        <w:t xml:space="preserve"> v návaznosti na </w:t>
      </w:r>
      <w:r w:rsidR="00A62E9B">
        <w:t>defektní</w:t>
      </w:r>
      <w:r w:rsidR="00BA2B10" w:rsidRPr="00824804">
        <w:t xml:space="preserve"> list</w:t>
      </w:r>
      <w:r w:rsidR="00E76E71" w:rsidRPr="00824804">
        <w:t xml:space="preserve">, </w:t>
      </w:r>
      <w:r w:rsidRPr="00824804">
        <w:t>prodlen</w:t>
      </w:r>
      <w:r w:rsidR="00E76E71" w:rsidRPr="00824804">
        <w:t>í prodávajícího s dodáním zboží nebo</w:t>
      </w:r>
      <w:r w:rsidRPr="00824804">
        <w:t xml:space="preserve"> s dodáním náhradního zboží při re</w:t>
      </w:r>
      <w:r w:rsidR="00E76E71" w:rsidRPr="00824804">
        <w:t>klamaci vad zboží kupujícím, případně</w:t>
      </w:r>
      <w:r w:rsidRPr="00824804">
        <w:t xml:space="preserve"> odmítne-li prodávající objednáv</w:t>
      </w:r>
      <w:r w:rsidR="00A62E9B">
        <w:t>ku kupujícího či její část, je</w:t>
      </w:r>
      <w:r w:rsidRPr="00824804">
        <w:t xml:space="preserve"> kupující oprávněn nakoupit zboží na volném trhu od jiného dodavatele za cenu obvyklou. </w:t>
      </w:r>
      <w:r w:rsidR="00A62E9B" w:rsidRPr="00D24606">
        <w:rPr>
          <w:color w:val="000000"/>
          <w:shd w:val="clear" w:color="auto" w:fill="FFFFFF"/>
        </w:rPr>
        <w:t xml:space="preserve">Prodávající je </w:t>
      </w:r>
      <w:r w:rsidR="00A62E9B">
        <w:rPr>
          <w:color w:val="000000"/>
          <w:shd w:val="clear" w:color="auto" w:fill="FFFFFF"/>
        </w:rPr>
        <w:t xml:space="preserve">v takovém případě </w:t>
      </w:r>
      <w:r w:rsidR="00A62E9B" w:rsidRPr="00D24606">
        <w:rPr>
          <w:color w:val="000000"/>
          <w:shd w:val="clear" w:color="auto" w:fill="FFFFFF"/>
        </w:rPr>
        <w:t>oprávněn</w:t>
      </w:r>
      <w:r w:rsidR="00A62E9B">
        <w:rPr>
          <w:color w:val="000000"/>
          <w:shd w:val="clear" w:color="auto" w:fill="FFFFFF"/>
        </w:rPr>
        <w:t xml:space="preserve"> </w:t>
      </w:r>
      <w:r w:rsidR="001C1BB6">
        <w:rPr>
          <w:color w:val="000000"/>
          <w:shd w:val="clear" w:color="auto" w:fill="FFFFFF"/>
        </w:rPr>
        <w:t xml:space="preserve">bez zbytečného odkladu </w:t>
      </w:r>
      <w:r w:rsidR="00A62E9B">
        <w:rPr>
          <w:color w:val="000000"/>
          <w:shd w:val="clear" w:color="auto" w:fill="FFFFFF"/>
        </w:rPr>
        <w:t xml:space="preserve">nabídnout </w:t>
      </w:r>
      <w:r w:rsidR="00A62E9B" w:rsidRPr="00D24606">
        <w:rPr>
          <w:color w:val="000000"/>
          <w:shd w:val="clear" w:color="auto" w:fill="FFFFFF"/>
        </w:rPr>
        <w:t xml:space="preserve">kupujícímu alternativní </w:t>
      </w:r>
      <w:r w:rsidR="00A62E9B">
        <w:rPr>
          <w:color w:val="000000"/>
          <w:shd w:val="clear" w:color="auto" w:fill="FFFFFF"/>
        </w:rPr>
        <w:t>zboží, které</w:t>
      </w:r>
      <w:r w:rsidR="00A62E9B" w:rsidRPr="00D24606">
        <w:rPr>
          <w:color w:val="000000"/>
          <w:shd w:val="clear" w:color="auto" w:fill="FFFFFF"/>
        </w:rPr>
        <w:t xml:space="preserve"> bude v souladu s </w:t>
      </w:r>
      <w:r w:rsidR="00A62E9B">
        <w:rPr>
          <w:color w:val="000000"/>
          <w:shd w:val="clear" w:color="auto" w:fill="FFFFFF"/>
        </w:rPr>
        <w:t xml:space="preserve">touto smlouvou a Zadávací </w:t>
      </w:r>
      <w:r w:rsidR="00A62E9B" w:rsidRPr="00D24606">
        <w:rPr>
          <w:color w:val="000000"/>
          <w:shd w:val="clear" w:color="auto" w:fill="FFFFFF"/>
        </w:rPr>
        <w:t>dokumentací.</w:t>
      </w:r>
      <w:r w:rsidR="00A62E9B">
        <w:rPr>
          <w:color w:val="000000"/>
          <w:shd w:val="clear" w:color="auto" w:fill="FFFFFF"/>
        </w:rPr>
        <w:t xml:space="preserve"> </w:t>
      </w:r>
      <w:r w:rsidR="00A62E9B" w:rsidRPr="00D24606">
        <w:rPr>
          <w:color w:val="000000"/>
          <w:shd w:val="clear" w:color="auto" w:fill="FFFFFF"/>
        </w:rPr>
        <w:t xml:space="preserve">Kupující má </w:t>
      </w:r>
      <w:r w:rsidR="00A62E9B">
        <w:rPr>
          <w:color w:val="000000"/>
          <w:shd w:val="clear" w:color="auto" w:fill="FFFFFF"/>
        </w:rPr>
        <w:t xml:space="preserve">však </w:t>
      </w:r>
      <w:r w:rsidR="00A62E9B" w:rsidRPr="00D24606">
        <w:rPr>
          <w:color w:val="000000"/>
          <w:shd w:val="clear" w:color="auto" w:fill="FFFFFF"/>
        </w:rPr>
        <w:t xml:space="preserve">právo dodávku </w:t>
      </w:r>
      <w:r w:rsidR="00A62E9B">
        <w:rPr>
          <w:color w:val="000000"/>
          <w:shd w:val="clear" w:color="auto" w:fill="FFFFFF"/>
        </w:rPr>
        <w:t xml:space="preserve">tohoto alternativního zboží </w:t>
      </w:r>
      <w:r w:rsidR="00A62E9B" w:rsidRPr="00D24606">
        <w:rPr>
          <w:color w:val="000000"/>
          <w:shd w:val="clear" w:color="auto" w:fill="FFFFFF"/>
        </w:rPr>
        <w:t>odmítnout.</w:t>
      </w:r>
      <w:r w:rsidR="00A62E9B">
        <w:rPr>
          <w:color w:val="000000"/>
          <w:shd w:val="clear" w:color="auto" w:fill="FFFFFF"/>
        </w:rPr>
        <w:t xml:space="preserve"> Pokud kupující dodávku alternativní zboží odmítne, je p</w:t>
      </w:r>
      <w:r w:rsidRPr="00824804">
        <w:rPr>
          <w:color w:val="000000"/>
        </w:rPr>
        <w:t xml:space="preserve">rodávající povinen </w:t>
      </w:r>
      <w:r w:rsidRPr="00824804">
        <w:rPr>
          <w:bCs/>
          <w:color w:val="000000"/>
        </w:rPr>
        <w:t>na základě penalizační faktury</w:t>
      </w:r>
      <w:r w:rsidRPr="00824804">
        <w:rPr>
          <w:color w:val="000000"/>
        </w:rPr>
        <w:t xml:space="preserve"> </w:t>
      </w:r>
      <w:r w:rsidRPr="00824804">
        <w:rPr>
          <w:bCs/>
          <w:color w:val="000000"/>
        </w:rPr>
        <w:t>vystavené kupujícím</w:t>
      </w:r>
      <w:r w:rsidRPr="00824804">
        <w:rPr>
          <w:color w:val="000000"/>
        </w:rPr>
        <w:t xml:space="preserve"> uhradit kupujícímu rozdíl mezi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dle této smlouvy a kupní cenou zboží </w:t>
      </w:r>
      <w:r w:rsidRPr="00824804">
        <w:rPr>
          <w:bCs/>
          <w:color w:val="000000"/>
        </w:rPr>
        <w:t>(včetně DPH)</w:t>
      </w:r>
      <w:r w:rsidRPr="00824804">
        <w:rPr>
          <w:color w:val="000000"/>
        </w:rPr>
        <w:t xml:space="preserve"> uhrazenou kupujícím za zboží z volného trhu. </w:t>
      </w:r>
      <w:r w:rsidRPr="00824804">
        <w:t xml:space="preserve">Nárok kupujícího na náhradu škody není tímto ustanovením dotčen. </w:t>
      </w:r>
    </w:p>
    <w:p w14:paraId="20C25C4F" w14:textId="34AA161D" w:rsidR="00D24606" w:rsidRPr="00D24606" w:rsidRDefault="00D24606" w:rsidP="00D24606">
      <w:pPr>
        <w:pStyle w:val="Odstavecsmlouvy"/>
        <w:spacing w:after="240"/>
        <w:ind w:left="426"/>
      </w:pPr>
      <w:r>
        <w:rPr>
          <w:color w:val="000000"/>
        </w:rPr>
        <w:t>O</w:t>
      </w:r>
      <w:r w:rsidR="00273A86" w:rsidRPr="00D24606">
        <w:rPr>
          <w:color w:val="000000"/>
        </w:rPr>
        <w:t>dmítne-li prodávající objednávku kupujícího či její část z důvodu stahování zboží z trhu na základě rozhodnutí SÚKL (doložené příslušným rozhodnutím SÚKL), nebo z důvodu výpadku dodávek/omezení výroby zboží delšího než šest měsíců (doložené prohlášením výrobce zboží), nevznikne kupujícímu v těchto případech nárok na úhradu rozdílu v ceně dle odst. 1 tohoto článku. Prodávající je povinen doložit kupujícímu podklady prokazující výše uvedené důvody prodlení nejpozději do 48 hodin od uplynutí termínu pro dodání zboží dle této smlouvy, nedohodnou-li se smluvní strany jinak.</w:t>
      </w:r>
    </w:p>
    <w:p w14:paraId="5D72D0AB" w14:textId="77777777" w:rsidR="00D24606" w:rsidRDefault="00273A86" w:rsidP="00D24606">
      <w:pPr>
        <w:pStyle w:val="Odstavecsmlouvy"/>
        <w:spacing w:after="240"/>
        <w:ind w:left="426"/>
      </w:pPr>
      <w:r w:rsidRPr="00D24606">
        <w:t>Prodávající se zavazuje uhradit penalizační fakturu</w:t>
      </w:r>
      <w:r w:rsidR="00BA2B10" w:rsidRPr="00D24606">
        <w:t xml:space="preserve"> kupujícímu ve lhůtě do 1</w:t>
      </w:r>
      <w:r w:rsidRPr="00D24606">
        <w:t>0 dnů ode dne doručení výzvy k jejímu zaplacení.</w:t>
      </w:r>
    </w:p>
    <w:p w14:paraId="57C018FE" w14:textId="67C075C4" w:rsidR="00273A86" w:rsidRPr="00D24606" w:rsidRDefault="00273A86" w:rsidP="00D24606">
      <w:pPr>
        <w:pStyle w:val="Odstavecsmlouvy"/>
        <w:spacing w:after="240"/>
        <w:ind w:left="426"/>
      </w:pPr>
      <w:r w:rsidRPr="00D24606">
        <w:t>Zaplacením penalizační faktury není dotčeno právo kupujícího na náhradu škody v plné výši.</w:t>
      </w:r>
    </w:p>
    <w:p w14:paraId="62F78F8E" w14:textId="77777777" w:rsidR="00EE6269" w:rsidRPr="002B77A6" w:rsidRDefault="00EE6269" w:rsidP="00726B26">
      <w:pPr>
        <w:jc w:val="center"/>
        <w:rPr>
          <w:b/>
          <w:bCs/>
        </w:rPr>
      </w:pPr>
    </w:p>
    <w:p w14:paraId="62F78F8F" w14:textId="77777777" w:rsidR="00726B26" w:rsidRDefault="00726B26" w:rsidP="00C92C8B">
      <w:pPr>
        <w:pStyle w:val="Nadpis1"/>
      </w:pPr>
      <w:r w:rsidRPr="002B77A6">
        <w:t>Závěrečná ujednání</w:t>
      </w:r>
    </w:p>
    <w:p w14:paraId="62F78F90" w14:textId="77777777" w:rsidR="00726B26" w:rsidRPr="002B77A6" w:rsidRDefault="00726B26" w:rsidP="00726B26">
      <w:pPr>
        <w:jc w:val="center"/>
        <w:rPr>
          <w:b/>
          <w:bCs/>
        </w:rPr>
      </w:pPr>
    </w:p>
    <w:p w14:paraId="62F78F91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62F78F92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62F78F93" w14:textId="16D2AD9F" w:rsidR="009F5A2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</w:t>
      </w:r>
      <w:r w:rsidR="00620E77">
        <w:t xml:space="preserve">platnosti dnem podpisu obou smluvních stran a </w:t>
      </w:r>
      <w:r w:rsidR="00575F84" w:rsidRPr="00620E77">
        <w:rPr>
          <w:b/>
        </w:rPr>
        <w:t xml:space="preserve">účinnosti </w:t>
      </w:r>
      <w:r w:rsidR="00620E77">
        <w:rPr>
          <w:b/>
        </w:rPr>
        <w:t xml:space="preserve">dnem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na dobu </w:t>
      </w:r>
      <w:r w:rsidR="009029FF">
        <w:rPr>
          <w:b/>
        </w:rPr>
        <w:t>čtyř let.</w:t>
      </w:r>
    </w:p>
    <w:p w14:paraId="62F78F94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62F78F95" w14:textId="77777777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2 měsíce 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</w:p>
    <w:p w14:paraId="62F78F96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4978AC84" w14:textId="77777777" w:rsidR="002738B6" w:rsidRDefault="001E166C" w:rsidP="001E166C">
      <w:pPr>
        <w:pStyle w:val="Odstavecsmlouvy"/>
      </w:pPr>
      <w:r>
        <w:t>Prodávající na sebe přebírá nebezpečí změny okolností dle § 1765 odst. 2 občanského zákoníku.</w:t>
      </w:r>
    </w:p>
    <w:p w14:paraId="39B6BECF" w14:textId="77777777" w:rsidR="002738B6" w:rsidRDefault="002738B6" w:rsidP="002738B6">
      <w:pPr>
        <w:pStyle w:val="Odstavecseseznamem"/>
      </w:pPr>
    </w:p>
    <w:p w14:paraId="1D084FF8" w14:textId="784AA6FD" w:rsidR="002738B6" w:rsidRDefault="002738B6" w:rsidP="002738B6">
      <w:pPr>
        <w:pStyle w:val="Odstavecsmlouvy"/>
      </w:pPr>
      <w:r>
        <w:t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62F78F98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62F78F99" w14:textId="77777777" w:rsidR="00C92C8B" w:rsidRDefault="00B945BB" w:rsidP="009F5A27">
      <w:pPr>
        <w:pStyle w:val="Odstavecsmlouvy"/>
      </w:pPr>
      <w:r>
        <w:lastRenderedPageBreak/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62F78F9A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B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62F78F9C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2F78F9D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62F78F9E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9F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62F78FA0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1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</w:p>
    <w:p w14:paraId="62F78FA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3" w14:textId="77777777" w:rsidR="001D71E3" w:rsidRPr="00717C3C" w:rsidRDefault="00726B26" w:rsidP="001D71E3">
      <w:pPr>
        <w:pStyle w:val="Odstavecsmlouvy"/>
      </w:pPr>
      <w:r w:rsidRPr="00717C3C">
        <w:rPr>
          <w:snapToGrid w:val="0"/>
        </w:rPr>
        <w:t xml:space="preserve">Tato </w:t>
      </w:r>
      <w:r w:rsidR="00825B3C" w:rsidRPr="00717C3C">
        <w:rPr>
          <w:snapToGrid w:val="0"/>
        </w:rPr>
        <w:t>smlouva</w:t>
      </w:r>
      <w:r w:rsidRPr="00717C3C">
        <w:rPr>
          <w:snapToGrid w:val="0"/>
        </w:rPr>
        <w:t xml:space="preserve"> je sepsána </w:t>
      </w:r>
      <w:r w:rsidR="00717C3C" w:rsidRPr="00717C3C">
        <w:rPr>
          <w:snapToGrid w:val="0"/>
        </w:rPr>
        <w:t xml:space="preserve">třech </w:t>
      </w:r>
      <w:r w:rsidRPr="00717C3C">
        <w:rPr>
          <w:snapToGrid w:val="0"/>
        </w:rPr>
        <w:t xml:space="preserve">vyhotoveních stejné platnosti a závaznosti, přičemž </w:t>
      </w:r>
      <w:r w:rsidR="00451B43" w:rsidRPr="00717C3C">
        <w:rPr>
          <w:snapToGrid w:val="0"/>
        </w:rPr>
        <w:t xml:space="preserve">Prodávající obdrží jedno vyhotovení a Kupující obdrží </w:t>
      </w:r>
      <w:r w:rsidR="00E66209" w:rsidRPr="00717C3C">
        <w:rPr>
          <w:snapToGrid w:val="0"/>
        </w:rPr>
        <w:t>dvě</w:t>
      </w:r>
      <w:r w:rsidR="00451B43" w:rsidRPr="00717C3C">
        <w:rPr>
          <w:snapToGrid w:val="0"/>
        </w:rPr>
        <w:t xml:space="preserve"> vyhotovení</w:t>
      </w:r>
      <w:r w:rsidR="00023008" w:rsidRPr="00717C3C">
        <w:rPr>
          <w:snapToGrid w:val="0"/>
        </w:rPr>
        <w:t>.</w:t>
      </w:r>
    </w:p>
    <w:p w14:paraId="62F78FA4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62F78FA5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62F78FA6" w14:textId="3349207B" w:rsidR="007E416F" w:rsidRDefault="007E416F" w:rsidP="000A5B93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kupní ceny</w:t>
      </w:r>
      <w:r w:rsidR="000A5B93">
        <w:t>.</w:t>
      </w:r>
    </w:p>
    <w:p w14:paraId="62F78FA7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2F78FA8" w14:textId="77777777" w:rsidR="00726B26" w:rsidRPr="001D71E3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36"/>
        <w:gridCol w:w="675"/>
        <w:gridCol w:w="4212"/>
      </w:tblGrid>
      <w:tr w:rsidR="004A45B0" w:rsidRPr="00D722DC" w14:paraId="62F78FAD" w14:textId="77777777" w:rsidTr="001712F5">
        <w:tc>
          <w:tcPr>
            <w:tcW w:w="4536" w:type="dxa"/>
            <w:shd w:val="clear" w:color="auto" w:fill="auto"/>
          </w:tcPr>
          <w:p w14:paraId="7A31092B" w14:textId="77777777" w:rsidR="00313C45" w:rsidRDefault="00313C4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</w:p>
          <w:p w14:paraId="62F78FAA" w14:textId="79862F37" w:rsidR="004A45B0" w:rsidRPr="00D722DC" w:rsidRDefault="004A45B0" w:rsidP="00E90F49">
            <w:pPr>
              <w:pStyle w:val="slovn"/>
              <w:numPr>
                <w:ilvl w:val="0"/>
                <w:numId w:val="0"/>
              </w:numPr>
              <w:tabs>
                <w:tab w:val="num" w:pos="567"/>
                <w:tab w:val="left" w:pos="1200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1712F5">
              <w:rPr>
                <w:sz w:val="22"/>
                <w:szCs w:val="22"/>
              </w:rPr>
              <w:t>Praze</w:t>
            </w:r>
            <w:r w:rsidR="00E90F49">
              <w:rPr>
                <w:sz w:val="22"/>
                <w:szCs w:val="22"/>
              </w:rPr>
              <w:tab/>
            </w:r>
            <w:proofErr w:type="gramStart"/>
            <w:r w:rsidR="00E90F49">
              <w:rPr>
                <w:sz w:val="22"/>
                <w:szCs w:val="22"/>
              </w:rPr>
              <w:t>14.6.2022</w:t>
            </w:r>
            <w:proofErr w:type="gramEnd"/>
          </w:p>
        </w:tc>
        <w:tc>
          <w:tcPr>
            <w:tcW w:w="675" w:type="dxa"/>
            <w:shd w:val="clear" w:color="auto" w:fill="auto"/>
          </w:tcPr>
          <w:p w14:paraId="26CC37D3" w14:textId="77777777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B" w14:textId="507EAD53" w:rsidR="00313C45" w:rsidRPr="00D722DC" w:rsidRDefault="00313C4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4C910E2B" w14:textId="77777777" w:rsidR="00313C45" w:rsidRDefault="00313C4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C" w14:textId="0F5B15A0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E90F49">
              <w:rPr>
                <w:sz w:val="22"/>
                <w:szCs w:val="22"/>
              </w:rPr>
              <w:t xml:space="preserve"> </w:t>
            </w:r>
            <w:proofErr w:type="gramStart"/>
            <w:r w:rsidR="00E90F49">
              <w:rPr>
                <w:sz w:val="22"/>
                <w:szCs w:val="22"/>
              </w:rPr>
              <w:t>21.6.2022</w:t>
            </w:r>
            <w:proofErr w:type="gramEnd"/>
          </w:p>
        </w:tc>
      </w:tr>
      <w:tr w:rsidR="004A45B0" w:rsidRPr="00D722DC" w14:paraId="62F78FB6" w14:textId="77777777" w:rsidTr="001712F5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62F78FA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A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1" w14:textId="517AFF9F" w:rsidR="00CD098E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6AD565E" w14:textId="77777777" w:rsidR="00045B03" w:rsidRPr="00D722DC" w:rsidRDefault="00045B03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62F78FB3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675" w:type="dxa"/>
            <w:shd w:val="clear" w:color="auto" w:fill="auto"/>
          </w:tcPr>
          <w:p w14:paraId="62F78FB4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62F78FB5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62F78FBD" w14:textId="77777777" w:rsidTr="001712F5"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FB1FFD3" w14:textId="77777777" w:rsidR="001712F5" w:rsidRPr="00D722DC" w:rsidRDefault="001712F5" w:rsidP="001712F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4C226C">
              <w:rPr>
                <w:b/>
                <w:sz w:val="22"/>
                <w:szCs w:val="22"/>
              </w:rPr>
              <w:t>PHOENIX lékárenský velkoobchod, s.r.o.</w:t>
            </w:r>
          </w:p>
          <w:p w14:paraId="5EE87AD6" w14:textId="42A0F681" w:rsidR="00E90F49" w:rsidRDefault="00E90F49" w:rsidP="001712F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</w:pPr>
            <w:r>
              <w:t>MUDr. Mi</w:t>
            </w:r>
            <w:r>
              <w:t>chaelou Steklou, prokuristka</w:t>
            </w:r>
          </w:p>
          <w:p w14:paraId="62F78FB8" w14:textId="0A1A04F6" w:rsidR="004A45B0" w:rsidRPr="00D722DC" w:rsidRDefault="00E90F49" w:rsidP="001712F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t>Ing. Petrem Dvořákem, prokurista</w:t>
            </w:r>
          </w:p>
        </w:tc>
        <w:tc>
          <w:tcPr>
            <w:tcW w:w="675" w:type="dxa"/>
            <w:shd w:val="clear" w:color="auto" w:fill="auto"/>
          </w:tcPr>
          <w:p w14:paraId="62F78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62F78FBA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2444273B" w14:textId="77777777" w:rsidR="00913C27" w:rsidRDefault="001F7596" w:rsidP="00913C2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1F7596">
              <w:rPr>
                <w:sz w:val="22"/>
                <w:szCs w:val="22"/>
              </w:rPr>
              <w:t xml:space="preserve">MUDr. </w:t>
            </w:r>
            <w:r w:rsidR="00913C27">
              <w:rPr>
                <w:sz w:val="22"/>
                <w:szCs w:val="22"/>
              </w:rPr>
              <w:t>I</w:t>
            </w:r>
            <w:r w:rsidRPr="001F7596">
              <w:rPr>
                <w:sz w:val="22"/>
                <w:szCs w:val="22"/>
              </w:rPr>
              <w:t>v</w:t>
            </w:r>
            <w:r w:rsidR="00913C27">
              <w:rPr>
                <w:sz w:val="22"/>
                <w:szCs w:val="22"/>
              </w:rPr>
              <w:t>o</w:t>
            </w:r>
            <w:r w:rsidRPr="001F7596">
              <w:rPr>
                <w:sz w:val="22"/>
                <w:szCs w:val="22"/>
              </w:rPr>
              <w:t xml:space="preserve"> </w:t>
            </w:r>
            <w:r w:rsidR="00913C27">
              <w:rPr>
                <w:sz w:val="22"/>
                <w:szCs w:val="22"/>
              </w:rPr>
              <w:t>Rovný</w:t>
            </w:r>
            <w:r w:rsidRPr="001F7596">
              <w:rPr>
                <w:sz w:val="22"/>
                <w:szCs w:val="22"/>
              </w:rPr>
              <w:t xml:space="preserve">, </w:t>
            </w:r>
            <w:r w:rsidR="00913C27">
              <w:rPr>
                <w:sz w:val="22"/>
                <w:szCs w:val="22"/>
              </w:rPr>
              <w:t>MBA</w:t>
            </w:r>
          </w:p>
          <w:p w14:paraId="62F78FBC" w14:textId="47D07C7A" w:rsidR="004A45B0" w:rsidRPr="00D722DC" w:rsidRDefault="004A45B0" w:rsidP="00913C27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 xml:space="preserve"> ředitel</w:t>
            </w:r>
          </w:p>
        </w:tc>
      </w:tr>
    </w:tbl>
    <w:p w14:paraId="57C7A7E7" w14:textId="77777777" w:rsidR="00FE5B7C" w:rsidRDefault="000729CF" w:rsidP="007E416F">
      <w:pPr>
        <w:jc w:val="center"/>
        <w:sectPr w:rsidR="00FE5B7C" w:rsidSect="00D930BD">
          <w:footerReference w:type="default" r:id="rId13"/>
          <w:footerReference w:type="first" r:id="rId14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  <w:r>
        <w:br w:type="page"/>
      </w:r>
    </w:p>
    <w:p w14:paraId="62F78FBF" w14:textId="0F5C020F" w:rsidR="007E416F" w:rsidRPr="000729CF" w:rsidRDefault="00575F84" w:rsidP="007E416F">
      <w:pPr>
        <w:jc w:val="center"/>
        <w:rPr>
          <w:b/>
        </w:rPr>
      </w:pPr>
      <w:r>
        <w:rPr>
          <w:b/>
        </w:rPr>
        <w:lastRenderedPageBreak/>
        <w:t xml:space="preserve">PŘÍLOHA Č. </w:t>
      </w:r>
      <w:r w:rsidR="000A5B93">
        <w:rPr>
          <w:b/>
        </w:rPr>
        <w:t>1</w:t>
      </w:r>
    </w:p>
    <w:p w14:paraId="62F78FC0" w14:textId="77777777" w:rsidR="007E416F" w:rsidRPr="000729CF" w:rsidRDefault="007E416F" w:rsidP="007E416F">
      <w:pPr>
        <w:jc w:val="center"/>
        <w:rPr>
          <w:b/>
        </w:rPr>
      </w:pPr>
    </w:p>
    <w:p w14:paraId="62F78FC1" w14:textId="38F5CA06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62F78FC2" w14:textId="77777777" w:rsidR="00896745" w:rsidRDefault="00896745" w:rsidP="00896745">
      <w:pPr>
        <w:rPr>
          <w:b/>
        </w:rPr>
      </w:pPr>
    </w:p>
    <w:p w14:paraId="62F78FC4" w14:textId="62F967CE" w:rsidR="00AA34DF" w:rsidRDefault="00AA34DF" w:rsidP="00023008"/>
    <w:tbl>
      <w:tblPr>
        <w:tblW w:w="15593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1908"/>
        <w:gridCol w:w="916"/>
        <w:gridCol w:w="1544"/>
        <w:gridCol w:w="1560"/>
        <w:gridCol w:w="1559"/>
        <w:gridCol w:w="992"/>
        <w:gridCol w:w="1134"/>
        <w:gridCol w:w="851"/>
        <w:gridCol w:w="1134"/>
        <w:gridCol w:w="850"/>
        <w:gridCol w:w="2126"/>
      </w:tblGrid>
      <w:tr w:rsidR="00FE5B7C" w:rsidRPr="00FE5B7C" w14:paraId="3473BA3F" w14:textId="77777777" w:rsidTr="00FE5B7C">
        <w:trPr>
          <w:trHeight w:val="282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CDDC"/>
            <w:noWrap/>
            <w:vAlign w:val="bottom"/>
            <w:hideMark/>
          </w:tcPr>
          <w:p w14:paraId="62F38CF7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Methylprednisolon</w:t>
            </w:r>
            <w:proofErr w:type="spellEnd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- 4 roky</w:t>
            </w:r>
          </w:p>
        </w:tc>
      </w:tr>
      <w:tr w:rsidR="00FE5B7C" w:rsidRPr="00FE5B7C" w14:paraId="6C04227E" w14:textId="77777777" w:rsidTr="00232D5B">
        <w:trPr>
          <w:trHeight w:val="282"/>
        </w:trPr>
        <w:tc>
          <w:tcPr>
            <w:tcW w:w="10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6BCC68C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19C386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E6EBD47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601F36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79A5354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7B88E4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C3F88B1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C6BBD6D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4ED13E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BE1EC7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AF7775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486A20F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FE5B7C" w:rsidRPr="00FE5B7C" w14:paraId="4F2A76E2" w14:textId="77777777" w:rsidTr="00232D5B">
        <w:trPr>
          <w:trHeight w:val="112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AC1E27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ATC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0DAB09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Účinná látka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26775A1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Kód SÚKL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618508C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DD6C109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Síla a léková forma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B83643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Velikost balení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70066075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Způsob dodání (přímo/distributor)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3FAF6A95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Cena 1 balení (Kč bez DPH)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98AD45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10%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3C136C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Cena 1 balení (Kč vč. DPH)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hideMark/>
          </w:tcPr>
          <w:p w14:paraId="66C1EA87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Počet balení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84F2425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Nabídková cena za daný počet balení (Kč bez DPH)</w:t>
            </w:r>
          </w:p>
        </w:tc>
      </w:tr>
      <w:tr w:rsidR="00E90F49" w:rsidRPr="00FE5B7C" w14:paraId="6B11C4B1" w14:textId="77777777" w:rsidTr="00C60356">
        <w:trPr>
          <w:trHeight w:val="331"/>
        </w:trPr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1F94F8" w14:textId="77777777" w:rsidR="00E90F49" w:rsidRPr="00FE5B7C" w:rsidRDefault="00E90F49" w:rsidP="00E90F49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H02AB04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A2B1E7" w14:textId="77777777" w:rsidR="00E90F49" w:rsidRPr="00FE5B7C" w:rsidRDefault="00E90F49" w:rsidP="00E90F49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methylprednisolon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7D8FD384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0009709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11B25EAD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SOLU-MEDROL 40MG/ML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02E6BFBC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pso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lqf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1x40MG+1ML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563B34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sic 1x40mg+1ml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2C2A24AB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67CD7861" w14:textId="5A872373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0900D49" w14:textId="37006D97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15A8083" w14:textId="5C33B8CC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00F702" w14:textId="469D22AD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810E443" w14:textId="7F96C5F3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</w:tr>
      <w:tr w:rsidR="00E90F49" w:rsidRPr="00FE5B7C" w14:paraId="13D0AEC1" w14:textId="77777777" w:rsidTr="00C60356">
        <w:trPr>
          <w:trHeight w:val="331"/>
        </w:trPr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398CA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932CF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621EF63B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0009710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58D916C4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SOLU-MEDROL 62,5MG/ML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1B4B352C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pso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lqf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1x125MG+2ML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4395E7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sic 1x125mg+2ml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4EDA8C3E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hideMark/>
          </w:tcPr>
          <w:p w14:paraId="314311BF" w14:textId="28759EC0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5251E"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0CA373" w14:textId="6CC16D19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E77588" w14:textId="488304FB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A949488" w14:textId="0B03D2A6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113131A" w14:textId="48671D9A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</w:tr>
      <w:tr w:rsidR="00E90F49" w:rsidRPr="00FE5B7C" w14:paraId="71B8C666" w14:textId="77777777" w:rsidTr="00C60356">
        <w:trPr>
          <w:trHeight w:val="331"/>
        </w:trPr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CE194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BED6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A03E9F1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0094882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73327FFD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SOLU-MEDROL 62,5MG/ML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73650B03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pso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lqf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 1x250MG+4ML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6466E8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sic 1x250mg+4ml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54CC8CA6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hideMark/>
          </w:tcPr>
          <w:p w14:paraId="463CA940" w14:textId="2012639A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5251E"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35DA23" w14:textId="706BBF70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CFE3B0B" w14:textId="21183D3F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02BF607" w14:textId="30CCDD6B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18A4D00" w14:textId="691DEAAE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</w:tr>
      <w:tr w:rsidR="00E90F49" w:rsidRPr="00FE5B7C" w14:paraId="4258B5B4" w14:textId="77777777" w:rsidTr="00C60356">
        <w:trPr>
          <w:trHeight w:val="331"/>
        </w:trPr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293F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28D6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B3A5024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0009711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772149F8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SOLU-MEDROL 62,5MG/ML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531FA794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pso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lqf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1x500MG+8ML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6CB59B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sic 1x500mg+8ml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657FB0CE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hideMark/>
          </w:tcPr>
          <w:p w14:paraId="6EAEC333" w14:textId="68CA9D43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5251E"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1836434" w14:textId="2F3BDEF5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8A7EF49" w14:textId="23B08ADE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D93BFE7" w14:textId="2D9160B1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7835C879" w14:textId="77684BCF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</w:tr>
      <w:tr w:rsidR="00E90F49" w:rsidRPr="00FE5B7C" w14:paraId="6B3A20E5" w14:textId="77777777" w:rsidTr="00C60356">
        <w:trPr>
          <w:trHeight w:val="331"/>
        </w:trPr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9C05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5FA9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63CF82D3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0009712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ADACDD8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SOLU-MEDROL 62,5MG/ML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717A53F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pso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proofErr w:type="spellStart"/>
            <w:r w:rsidRPr="00FE5B7C">
              <w:rPr>
                <w:rFonts w:ascii="Cambria" w:hAnsi="Cambria" w:cs="Calibri"/>
                <w:sz w:val="20"/>
                <w:szCs w:val="20"/>
              </w:rPr>
              <w:t>lqf</w:t>
            </w:r>
            <w:proofErr w:type="spellEnd"/>
            <w:r w:rsidRPr="00FE5B7C">
              <w:rPr>
                <w:rFonts w:ascii="Cambria" w:hAnsi="Cambria" w:cs="Calibri"/>
                <w:sz w:val="20"/>
                <w:szCs w:val="20"/>
              </w:rPr>
              <w:t xml:space="preserve"> 1x1gm+16ML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2B2A31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proofErr w:type="spellStart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inj</w:t>
            </w:r>
            <w:proofErr w:type="spellEnd"/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sic 1x1gm+16ml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vAlign w:val="bottom"/>
            <w:hideMark/>
          </w:tcPr>
          <w:p w14:paraId="7FFE7E80" w14:textId="77777777" w:rsidR="00E90F49" w:rsidRPr="00FE5B7C" w:rsidRDefault="00E90F49" w:rsidP="00E90F49">
            <w:pPr>
              <w:spacing w:line="240" w:lineRule="auto"/>
              <w:jc w:val="left"/>
              <w:rPr>
                <w:rFonts w:ascii="Cambria" w:hAnsi="Cambria" w:cs="Calibri"/>
                <w:sz w:val="20"/>
                <w:szCs w:val="20"/>
              </w:rPr>
            </w:pPr>
            <w:r w:rsidRPr="00FE5B7C">
              <w:rPr>
                <w:rFonts w:ascii="Cambria" w:hAnsi="Cambria" w:cs="Calibri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E1"/>
            <w:noWrap/>
            <w:hideMark/>
          </w:tcPr>
          <w:p w14:paraId="6147F97F" w14:textId="5A853500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35251E"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13B66DD" w14:textId="409E635A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EE5EB12" w14:textId="21B3B109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57819FC" w14:textId="0A73C476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7B89A98B" w14:textId="36E0A356" w:rsidR="00E90F49" w:rsidRPr="00FE5B7C" w:rsidRDefault="00E90F49" w:rsidP="00E90F49">
            <w:pPr>
              <w:spacing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XXX</w:t>
            </w:r>
          </w:p>
        </w:tc>
      </w:tr>
      <w:tr w:rsidR="00FE5B7C" w:rsidRPr="00FE5B7C" w14:paraId="77F19D4E" w14:textId="77777777" w:rsidTr="00232D5B">
        <w:trPr>
          <w:trHeight w:val="282"/>
        </w:trPr>
        <w:tc>
          <w:tcPr>
            <w:tcW w:w="10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00CE482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A717AE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A4460DB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4461BD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66661A1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BC52C0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BF73ED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2CF45AE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B10459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6007F88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295CE5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9DDAAE2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FE5B7C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FE5B7C" w:rsidRPr="00FE5B7C" w14:paraId="378584C1" w14:textId="77777777" w:rsidTr="00FE5B7C">
        <w:trPr>
          <w:trHeight w:val="282"/>
        </w:trPr>
        <w:tc>
          <w:tcPr>
            <w:tcW w:w="134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B2CA72F" w14:textId="77777777" w:rsidR="00FE5B7C" w:rsidRPr="00FE5B7C" w:rsidRDefault="00FE5B7C" w:rsidP="00FE5B7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FE5B7C">
              <w:rPr>
                <w:rFonts w:ascii="Cambria" w:hAnsi="Cambria" w:cs="Calibri"/>
                <w:b/>
                <w:bCs/>
                <w:sz w:val="20"/>
                <w:szCs w:val="20"/>
              </w:rPr>
              <w:t>Celková nabídková cena (Kč bez DPH)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1674A4" w14:textId="138D1E8E" w:rsidR="00FE5B7C" w:rsidRPr="00FE5B7C" w:rsidRDefault="00344E1D" w:rsidP="00344E1D">
            <w:pPr>
              <w:spacing w:line="240" w:lineRule="auto"/>
              <w:jc w:val="right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16 896 650,00</w:t>
            </w:r>
          </w:p>
        </w:tc>
      </w:tr>
    </w:tbl>
    <w:p w14:paraId="151022C7" w14:textId="77777777" w:rsidR="00FE5B7C" w:rsidRDefault="00FE5B7C" w:rsidP="00FE5B7C">
      <w:pPr>
        <w:ind w:hanging="709"/>
      </w:pPr>
      <w:bookmarkStart w:id="9" w:name="_GoBack"/>
      <w:bookmarkEnd w:id="9"/>
    </w:p>
    <w:sectPr w:rsidR="00FE5B7C" w:rsidSect="00FE5B7C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78FC8" w14:textId="77777777" w:rsidR="00EE44D9" w:rsidRDefault="00EE44D9" w:rsidP="006337DC">
      <w:r>
        <w:separator/>
      </w:r>
    </w:p>
  </w:endnote>
  <w:endnote w:type="continuationSeparator" w:id="0">
    <w:p w14:paraId="62F78FC9" w14:textId="77777777" w:rsidR="00EE44D9" w:rsidRDefault="00EE44D9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78FCA" w14:textId="07AE9272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E90F49">
      <w:rPr>
        <w:noProof/>
        <w:sz w:val="20"/>
        <w:szCs w:val="20"/>
      </w:rPr>
      <w:t>8</w:t>
    </w:r>
    <w:r w:rsidRPr="00150F89">
      <w:rPr>
        <w:sz w:val="20"/>
        <w:szCs w:val="20"/>
      </w:rPr>
      <w:fldChar w:fldCharType="end"/>
    </w:r>
  </w:p>
  <w:p w14:paraId="62F78FCB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78FCC" w14:textId="63BA812F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0F49">
      <w:rPr>
        <w:noProof/>
      </w:rPr>
      <w:t>1</w:t>
    </w:r>
    <w:r>
      <w:fldChar w:fldCharType="end"/>
    </w:r>
  </w:p>
  <w:p w14:paraId="62F78FCD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8FC6" w14:textId="77777777" w:rsidR="00EE44D9" w:rsidRDefault="00EE44D9" w:rsidP="006337DC">
      <w:r>
        <w:separator/>
      </w:r>
    </w:p>
  </w:footnote>
  <w:footnote w:type="continuationSeparator" w:id="0">
    <w:p w14:paraId="62F78FC7" w14:textId="77777777" w:rsidR="00EE44D9" w:rsidRDefault="00EE44D9" w:rsidP="006337DC">
      <w:r>
        <w:continuationSeparator/>
      </w:r>
    </w:p>
  </w:footnote>
  <w:footnote w:id="1">
    <w:p w14:paraId="7EDC1448" w14:textId="77777777" w:rsidR="002F473F" w:rsidRPr="002F473F" w:rsidRDefault="002F473F" w:rsidP="002F473F">
      <w:pPr>
        <w:spacing w:before="60" w:line="240" w:lineRule="auto"/>
        <w:rPr>
          <w:rFonts w:asciiTheme="majorHAnsi" w:hAnsiTheme="majorHAnsi"/>
        </w:rPr>
      </w:pPr>
      <w:r w:rsidRPr="002F473F">
        <w:rPr>
          <w:rStyle w:val="Znakapoznpodarou"/>
          <w:sz w:val="16"/>
          <w:szCs w:val="16"/>
        </w:rPr>
        <w:footnoteRef/>
      </w:r>
      <w:r w:rsidRPr="002F473F">
        <w:t xml:space="preserve"> </w:t>
      </w:r>
      <w:r w:rsidRPr="002F473F">
        <w:rPr>
          <w:sz w:val="16"/>
          <w:szCs w:val="16"/>
        </w:rPr>
        <w:t>V případě, že je v rámci jedné dodávky dodáno zboží různých šarží, je prodávající povinen uvádět na dodacích listech počty kusů zboží s každou šarží samostatně.</w:t>
      </w:r>
    </w:p>
    <w:p w14:paraId="155AE013" w14:textId="3DD80DA8" w:rsidR="002F473F" w:rsidRDefault="002F473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53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A70D9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916CBC"/>
    <w:multiLevelType w:val="multilevel"/>
    <w:tmpl w:val="DD269CE8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8876A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B3F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9"/>
  </w:num>
  <w:num w:numId="12">
    <w:abstractNumId w:val="4"/>
  </w:num>
  <w:num w:numId="13">
    <w:abstractNumId w:val="15"/>
  </w:num>
  <w:num w:numId="14">
    <w:abstractNumId w:val="3"/>
  </w:num>
  <w:num w:numId="15">
    <w:abstractNumId w:val="18"/>
  </w:num>
  <w:num w:numId="16">
    <w:abstractNumId w:val="6"/>
  </w:num>
  <w:num w:numId="17">
    <w:abstractNumId w:val="14"/>
  </w:num>
  <w:num w:numId="18">
    <w:abstractNumId w:val="8"/>
  </w:num>
  <w:num w:numId="19">
    <w:abstractNumId w:val="10"/>
  </w:num>
  <w:num w:numId="20">
    <w:abstractNumId w:val="10"/>
  </w:num>
  <w:num w:numId="21">
    <w:abstractNumId w:val="2"/>
  </w:num>
  <w:num w:numId="22">
    <w:abstractNumId w:val="11"/>
  </w:num>
  <w:num w:numId="23">
    <w:abstractNumId w:val="16"/>
  </w:num>
  <w:num w:numId="24">
    <w:abstractNumId w:val="7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56DF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714D"/>
    <w:rsid w:val="00045B03"/>
    <w:rsid w:val="00057807"/>
    <w:rsid w:val="00057DF0"/>
    <w:rsid w:val="00061455"/>
    <w:rsid w:val="00064A2C"/>
    <w:rsid w:val="00066EDF"/>
    <w:rsid w:val="000729CF"/>
    <w:rsid w:val="00073442"/>
    <w:rsid w:val="00074676"/>
    <w:rsid w:val="00075387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A69E3"/>
    <w:rsid w:val="000B00FA"/>
    <w:rsid w:val="000B12AD"/>
    <w:rsid w:val="000C0B21"/>
    <w:rsid w:val="000C1507"/>
    <w:rsid w:val="000C1FD1"/>
    <w:rsid w:val="000C26CE"/>
    <w:rsid w:val="000C5285"/>
    <w:rsid w:val="000C7CF5"/>
    <w:rsid w:val="000D35F4"/>
    <w:rsid w:val="000D6CC1"/>
    <w:rsid w:val="000E4C60"/>
    <w:rsid w:val="000F0B32"/>
    <w:rsid w:val="000F0CFA"/>
    <w:rsid w:val="000F5076"/>
    <w:rsid w:val="000F5D02"/>
    <w:rsid w:val="000F6286"/>
    <w:rsid w:val="00105B0E"/>
    <w:rsid w:val="0010754F"/>
    <w:rsid w:val="00111B0E"/>
    <w:rsid w:val="0011421E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12F5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1BB6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166C"/>
    <w:rsid w:val="001E35DE"/>
    <w:rsid w:val="001E7C33"/>
    <w:rsid w:val="001E7C77"/>
    <w:rsid w:val="001F1EC9"/>
    <w:rsid w:val="001F4AA6"/>
    <w:rsid w:val="001F7596"/>
    <w:rsid w:val="00201DB5"/>
    <w:rsid w:val="00205191"/>
    <w:rsid w:val="00211633"/>
    <w:rsid w:val="00217B9D"/>
    <w:rsid w:val="00222710"/>
    <w:rsid w:val="00232C9C"/>
    <w:rsid w:val="00232D5B"/>
    <w:rsid w:val="0023578D"/>
    <w:rsid w:val="00236D62"/>
    <w:rsid w:val="00237B38"/>
    <w:rsid w:val="00237BEB"/>
    <w:rsid w:val="00241316"/>
    <w:rsid w:val="00245011"/>
    <w:rsid w:val="002470C7"/>
    <w:rsid w:val="002531BE"/>
    <w:rsid w:val="002546E6"/>
    <w:rsid w:val="00256858"/>
    <w:rsid w:val="00257643"/>
    <w:rsid w:val="00260A2A"/>
    <w:rsid w:val="00263342"/>
    <w:rsid w:val="002738B6"/>
    <w:rsid w:val="00273A86"/>
    <w:rsid w:val="00286EBA"/>
    <w:rsid w:val="00286F30"/>
    <w:rsid w:val="00290F5B"/>
    <w:rsid w:val="0029236A"/>
    <w:rsid w:val="002959B0"/>
    <w:rsid w:val="00297B45"/>
    <w:rsid w:val="00297F3A"/>
    <w:rsid w:val="002A5831"/>
    <w:rsid w:val="002B1098"/>
    <w:rsid w:val="002B20FD"/>
    <w:rsid w:val="002B68E8"/>
    <w:rsid w:val="002C0743"/>
    <w:rsid w:val="002C243A"/>
    <w:rsid w:val="002C48F4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4739"/>
    <w:rsid w:val="002F473F"/>
    <w:rsid w:val="0030119B"/>
    <w:rsid w:val="0030437C"/>
    <w:rsid w:val="003133A6"/>
    <w:rsid w:val="00313C45"/>
    <w:rsid w:val="00315115"/>
    <w:rsid w:val="00320F84"/>
    <w:rsid w:val="003241AA"/>
    <w:rsid w:val="0033048B"/>
    <w:rsid w:val="003371CD"/>
    <w:rsid w:val="003376AD"/>
    <w:rsid w:val="00343B9B"/>
    <w:rsid w:val="00344E1D"/>
    <w:rsid w:val="0034523E"/>
    <w:rsid w:val="00346900"/>
    <w:rsid w:val="00352CD1"/>
    <w:rsid w:val="003571AB"/>
    <w:rsid w:val="003603C6"/>
    <w:rsid w:val="00371230"/>
    <w:rsid w:val="0037595E"/>
    <w:rsid w:val="00381055"/>
    <w:rsid w:val="00384256"/>
    <w:rsid w:val="003874CE"/>
    <w:rsid w:val="003A1C2B"/>
    <w:rsid w:val="003A4E43"/>
    <w:rsid w:val="003A6ED7"/>
    <w:rsid w:val="003B1919"/>
    <w:rsid w:val="003B350F"/>
    <w:rsid w:val="003B7B17"/>
    <w:rsid w:val="003C1848"/>
    <w:rsid w:val="003D0D8B"/>
    <w:rsid w:val="003D3584"/>
    <w:rsid w:val="003E07C3"/>
    <w:rsid w:val="003E07FA"/>
    <w:rsid w:val="003E1703"/>
    <w:rsid w:val="003E1948"/>
    <w:rsid w:val="003E311E"/>
    <w:rsid w:val="003E3823"/>
    <w:rsid w:val="003E5B53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3B9E"/>
    <w:rsid w:val="00430BDA"/>
    <w:rsid w:val="00432606"/>
    <w:rsid w:val="00434D5D"/>
    <w:rsid w:val="00437306"/>
    <w:rsid w:val="00443F12"/>
    <w:rsid w:val="00451B43"/>
    <w:rsid w:val="00453ACB"/>
    <w:rsid w:val="004601D0"/>
    <w:rsid w:val="0046392A"/>
    <w:rsid w:val="00465985"/>
    <w:rsid w:val="004672FC"/>
    <w:rsid w:val="004756DA"/>
    <w:rsid w:val="004924D3"/>
    <w:rsid w:val="00492818"/>
    <w:rsid w:val="00494744"/>
    <w:rsid w:val="004953EF"/>
    <w:rsid w:val="004A45B0"/>
    <w:rsid w:val="004A7901"/>
    <w:rsid w:val="004B05E8"/>
    <w:rsid w:val="004B1019"/>
    <w:rsid w:val="004B49FA"/>
    <w:rsid w:val="004C2C98"/>
    <w:rsid w:val="004C679C"/>
    <w:rsid w:val="004D4C0D"/>
    <w:rsid w:val="004D7A85"/>
    <w:rsid w:val="004E2A52"/>
    <w:rsid w:val="004E4993"/>
    <w:rsid w:val="004E7425"/>
    <w:rsid w:val="004F1462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5F96"/>
    <w:rsid w:val="00542C4D"/>
    <w:rsid w:val="00544FA6"/>
    <w:rsid w:val="005452F8"/>
    <w:rsid w:val="0055025A"/>
    <w:rsid w:val="00557002"/>
    <w:rsid w:val="00571BEE"/>
    <w:rsid w:val="0057386D"/>
    <w:rsid w:val="00575F84"/>
    <w:rsid w:val="00580CAE"/>
    <w:rsid w:val="005879FE"/>
    <w:rsid w:val="00592679"/>
    <w:rsid w:val="00593839"/>
    <w:rsid w:val="00593861"/>
    <w:rsid w:val="00596005"/>
    <w:rsid w:val="005A2E2D"/>
    <w:rsid w:val="005A47EB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E41BA"/>
    <w:rsid w:val="005F315A"/>
    <w:rsid w:val="005F47C4"/>
    <w:rsid w:val="005F606A"/>
    <w:rsid w:val="0060020F"/>
    <w:rsid w:val="0060495E"/>
    <w:rsid w:val="00606430"/>
    <w:rsid w:val="006130D0"/>
    <w:rsid w:val="00620E77"/>
    <w:rsid w:val="0062650E"/>
    <w:rsid w:val="0062677D"/>
    <w:rsid w:val="006337DC"/>
    <w:rsid w:val="006401C9"/>
    <w:rsid w:val="00641195"/>
    <w:rsid w:val="00646E8E"/>
    <w:rsid w:val="00653730"/>
    <w:rsid w:val="00657357"/>
    <w:rsid w:val="006714E5"/>
    <w:rsid w:val="00674566"/>
    <w:rsid w:val="00674E7B"/>
    <w:rsid w:val="006778A2"/>
    <w:rsid w:val="00682B01"/>
    <w:rsid w:val="00684BFA"/>
    <w:rsid w:val="006913C4"/>
    <w:rsid w:val="006925A2"/>
    <w:rsid w:val="00692870"/>
    <w:rsid w:val="0069784C"/>
    <w:rsid w:val="006A0496"/>
    <w:rsid w:val="006A590E"/>
    <w:rsid w:val="006B0630"/>
    <w:rsid w:val="006B56E5"/>
    <w:rsid w:val="006B5C04"/>
    <w:rsid w:val="006B6FB6"/>
    <w:rsid w:val="006C44FA"/>
    <w:rsid w:val="006C5C7E"/>
    <w:rsid w:val="006D0000"/>
    <w:rsid w:val="006D074E"/>
    <w:rsid w:val="006D1E44"/>
    <w:rsid w:val="006D3059"/>
    <w:rsid w:val="006D3968"/>
    <w:rsid w:val="006D5E44"/>
    <w:rsid w:val="006D7214"/>
    <w:rsid w:val="006D7971"/>
    <w:rsid w:val="006E1936"/>
    <w:rsid w:val="006E2DA5"/>
    <w:rsid w:val="006E4E2A"/>
    <w:rsid w:val="006F5E44"/>
    <w:rsid w:val="006F6220"/>
    <w:rsid w:val="006F7BCF"/>
    <w:rsid w:val="00706E7C"/>
    <w:rsid w:val="0070760F"/>
    <w:rsid w:val="00711929"/>
    <w:rsid w:val="0071208E"/>
    <w:rsid w:val="007139E6"/>
    <w:rsid w:val="00715607"/>
    <w:rsid w:val="00717C3C"/>
    <w:rsid w:val="00722BA7"/>
    <w:rsid w:val="007242EE"/>
    <w:rsid w:val="00726B26"/>
    <w:rsid w:val="00727439"/>
    <w:rsid w:val="007279AE"/>
    <w:rsid w:val="00727F82"/>
    <w:rsid w:val="00730A5B"/>
    <w:rsid w:val="0073369C"/>
    <w:rsid w:val="00735D7D"/>
    <w:rsid w:val="007408D2"/>
    <w:rsid w:val="007427EC"/>
    <w:rsid w:val="00743A0B"/>
    <w:rsid w:val="00744F95"/>
    <w:rsid w:val="0075495D"/>
    <w:rsid w:val="00754D50"/>
    <w:rsid w:val="00763381"/>
    <w:rsid w:val="00763C47"/>
    <w:rsid w:val="0076415C"/>
    <w:rsid w:val="00765CC7"/>
    <w:rsid w:val="00774539"/>
    <w:rsid w:val="00776CB0"/>
    <w:rsid w:val="00776DBD"/>
    <w:rsid w:val="00786DD8"/>
    <w:rsid w:val="0079294C"/>
    <w:rsid w:val="007930D9"/>
    <w:rsid w:val="00797312"/>
    <w:rsid w:val="007A32F9"/>
    <w:rsid w:val="007B298D"/>
    <w:rsid w:val="007B4F60"/>
    <w:rsid w:val="007B5200"/>
    <w:rsid w:val="007B5FDD"/>
    <w:rsid w:val="007D0D56"/>
    <w:rsid w:val="007D13B2"/>
    <w:rsid w:val="007D3523"/>
    <w:rsid w:val="007E416F"/>
    <w:rsid w:val="007F0866"/>
    <w:rsid w:val="007F216E"/>
    <w:rsid w:val="007F2D01"/>
    <w:rsid w:val="00801C57"/>
    <w:rsid w:val="00803984"/>
    <w:rsid w:val="00806564"/>
    <w:rsid w:val="008111D1"/>
    <w:rsid w:val="00812EA1"/>
    <w:rsid w:val="00817EEC"/>
    <w:rsid w:val="00824804"/>
    <w:rsid w:val="00825B3C"/>
    <w:rsid w:val="00826135"/>
    <w:rsid w:val="008316A7"/>
    <w:rsid w:val="00836A00"/>
    <w:rsid w:val="00840B4E"/>
    <w:rsid w:val="00842397"/>
    <w:rsid w:val="00844063"/>
    <w:rsid w:val="00846663"/>
    <w:rsid w:val="00846A30"/>
    <w:rsid w:val="008470BF"/>
    <w:rsid w:val="00851E34"/>
    <w:rsid w:val="00853FFE"/>
    <w:rsid w:val="008559D7"/>
    <w:rsid w:val="00862350"/>
    <w:rsid w:val="00862EBA"/>
    <w:rsid w:val="00863E04"/>
    <w:rsid w:val="00870AAC"/>
    <w:rsid w:val="0087360F"/>
    <w:rsid w:val="00873B01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57E9"/>
    <w:rsid w:val="008B2B91"/>
    <w:rsid w:val="008B5825"/>
    <w:rsid w:val="008B732B"/>
    <w:rsid w:val="008C06CE"/>
    <w:rsid w:val="008C3784"/>
    <w:rsid w:val="008D185D"/>
    <w:rsid w:val="008F06D4"/>
    <w:rsid w:val="008F3B32"/>
    <w:rsid w:val="008F5E25"/>
    <w:rsid w:val="008F658D"/>
    <w:rsid w:val="009029FF"/>
    <w:rsid w:val="0090768D"/>
    <w:rsid w:val="00913C27"/>
    <w:rsid w:val="0092320E"/>
    <w:rsid w:val="00923251"/>
    <w:rsid w:val="00926B15"/>
    <w:rsid w:val="00927E83"/>
    <w:rsid w:val="009349D0"/>
    <w:rsid w:val="009364A6"/>
    <w:rsid w:val="00941D28"/>
    <w:rsid w:val="00942669"/>
    <w:rsid w:val="009436C7"/>
    <w:rsid w:val="00945D74"/>
    <w:rsid w:val="00950039"/>
    <w:rsid w:val="00960B1F"/>
    <w:rsid w:val="00973208"/>
    <w:rsid w:val="00973861"/>
    <w:rsid w:val="0097477E"/>
    <w:rsid w:val="009811BA"/>
    <w:rsid w:val="00982C4A"/>
    <w:rsid w:val="00985F35"/>
    <w:rsid w:val="009A4267"/>
    <w:rsid w:val="009A50E3"/>
    <w:rsid w:val="009B0178"/>
    <w:rsid w:val="009B5A6C"/>
    <w:rsid w:val="009C3B3B"/>
    <w:rsid w:val="009C75CE"/>
    <w:rsid w:val="009D4364"/>
    <w:rsid w:val="009D5C65"/>
    <w:rsid w:val="009D6F7A"/>
    <w:rsid w:val="009F59BB"/>
    <w:rsid w:val="009F5A27"/>
    <w:rsid w:val="00A00107"/>
    <w:rsid w:val="00A05687"/>
    <w:rsid w:val="00A07E80"/>
    <w:rsid w:val="00A10247"/>
    <w:rsid w:val="00A1270C"/>
    <w:rsid w:val="00A2783D"/>
    <w:rsid w:val="00A31EAD"/>
    <w:rsid w:val="00A324DC"/>
    <w:rsid w:val="00A34988"/>
    <w:rsid w:val="00A3675B"/>
    <w:rsid w:val="00A46C93"/>
    <w:rsid w:val="00A47C60"/>
    <w:rsid w:val="00A50BC9"/>
    <w:rsid w:val="00A5141C"/>
    <w:rsid w:val="00A6010B"/>
    <w:rsid w:val="00A60989"/>
    <w:rsid w:val="00A62E9B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4A69"/>
    <w:rsid w:val="00A966E9"/>
    <w:rsid w:val="00AA34DF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23360"/>
    <w:rsid w:val="00B23928"/>
    <w:rsid w:val="00B23E3B"/>
    <w:rsid w:val="00B25C7A"/>
    <w:rsid w:val="00B27847"/>
    <w:rsid w:val="00B3345F"/>
    <w:rsid w:val="00B34F2E"/>
    <w:rsid w:val="00B36186"/>
    <w:rsid w:val="00B377B9"/>
    <w:rsid w:val="00B41178"/>
    <w:rsid w:val="00B42045"/>
    <w:rsid w:val="00B442F2"/>
    <w:rsid w:val="00B44933"/>
    <w:rsid w:val="00B44C11"/>
    <w:rsid w:val="00B468B6"/>
    <w:rsid w:val="00B47EF1"/>
    <w:rsid w:val="00B52416"/>
    <w:rsid w:val="00B52EDA"/>
    <w:rsid w:val="00B57703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2B10"/>
    <w:rsid w:val="00BA7DC7"/>
    <w:rsid w:val="00BB062C"/>
    <w:rsid w:val="00BB5167"/>
    <w:rsid w:val="00BB53C3"/>
    <w:rsid w:val="00BB6590"/>
    <w:rsid w:val="00BC1018"/>
    <w:rsid w:val="00BD0B6F"/>
    <w:rsid w:val="00BD3BCD"/>
    <w:rsid w:val="00BD4C17"/>
    <w:rsid w:val="00BD5F03"/>
    <w:rsid w:val="00BE02E4"/>
    <w:rsid w:val="00BE1529"/>
    <w:rsid w:val="00BE451F"/>
    <w:rsid w:val="00BE4FE7"/>
    <w:rsid w:val="00BE50CA"/>
    <w:rsid w:val="00BE64FF"/>
    <w:rsid w:val="00BE6F07"/>
    <w:rsid w:val="00BF2F20"/>
    <w:rsid w:val="00BF5954"/>
    <w:rsid w:val="00C0348B"/>
    <w:rsid w:val="00C07977"/>
    <w:rsid w:val="00C10B58"/>
    <w:rsid w:val="00C143C2"/>
    <w:rsid w:val="00C14A69"/>
    <w:rsid w:val="00C14FCD"/>
    <w:rsid w:val="00C17096"/>
    <w:rsid w:val="00C20145"/>
    <w:rsid w:val="00C236C0"/>
    <w:rsid w:val="00C27EF4"/>
    <w:rsid w:val="00C31F24"/>
    <w:rsid w:val="00C3213D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C32EB"/>
    <w:rsid w:val="00CC46F3"/>
    <w:rsid w:val="00CC7849"/>
    <w:rsid w:val="00CD098E"/>
    <w:rsid w:val="00CD338B"/>
    <w:rsid w:val="00CD3977"/>
    <w:rsid w:val="00CD3AE2"/>
    <w:rsid w:val="00CD7A9E"/>
    <w:rsid w:val="00CE13E1"/>
    <w:rsid w:val="00CE3F06"/>
    <w:rsid w:val="00CE776E"/>
    <w:rsid w:val="00CE7FF5"/>
    <w:rsid w:val="00CF0C56"/>
    <w:rsid w:val="00CF1BA2"/>
    <w:rsid w:val="00CF6796"/>
    <w:rsid w:val="00D04AD5"/>
    <w:rsid w:val="00D050E6"/>
    <w:rsid w:val="00D0617B"/>
    <w:rsid w:val="00D064ED"/>
    <w:rsid w:val="00D14C81"/>
    <w:rsid w:val="00D15E7A"/>
    <w:rsid w:val="00D20310"/>
    <w:rsid w:val="00D221A4"/>
    <w:rsid w:val="00D222B5"/>
    <w:rsid w:val="00D24606"/>
    <w:rsid w:val="00D3341B"/>
    <w:rsid w:val="00D33510"/>
    <w:rsid w:val="00D35D83"/>
    <w:rsid w:val="00D4239D"/>
    <w:rsid w:val="00D441FB"/>
    <w:rsid w:val="00D52C27"/>
    <w:rsid w:val="00D54237"/>
    <w:rsid w:val="00D56060"/>
    <w:rsid w:val="00D56CD6"/>
    <w:rsid w:val="00D60597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56DE"/>
    <w:rsid w:val="00D87E3E"/>
    <w:rsid w:val="00D90176"/>
    <w:rsid w:val="00D930BD"/>
    <w:rsid w:val="00D97809"/>
    <w:rsid w:val="00DA20CD"/>
    <w:rsid w:val="00DA63C3"/>
    <w:rsid w:val="00DA7D6B"/>
    <w:rsid w:val="00DB4172"/>
    <w:rsid w:val="00DB4BAB"/>
    <w:rsid w:val="00DB633B"/>
    <w:rsid w:val="00DB6E4C"/>
    <w:rsid w:val="00DC4260"/>
    <w:rsid w:val="00DD12BB"/>
    <w:rsid w:val="00DD456C"/>
    <w:rsid w:val="00DE128C"/>
    <w:rsid w:val="00DE6446"/>
    <w:rsid w:val="00DF0B22"/>
    <w:rsid w:val="00E00A6A"/>
    <w:rsid w:val="00E02379"/>
    <w:rsid w:val="00E034D5"/>
    <w:rsid w:val="00E04FEC"/>
    <w:rsid w:val="00E052D0"/>
    <w:rsid w:val="00E15A00"/>
    <w:rsid w:val="00E267C5"/>
    <w:rsid w:val="00E26944"/>
    <w:rsid w:val="00E31722"/>
    <w:rsid w:val="00E318C7"/>
    <w:rsid w:val="00E324C1"/>
    <w:rsid w:val="00E367C0"/>
    <w:rsid w:val="00E4123D"/>
    <w:rsid w:val="00E43D4F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76E71"/>
    <w:rsid w:val="00E81865"/>
    <w:rsid w:val="00E8416E"/>
    <w:rsid w:val="00E90F49"/>
    <w:rsid w:val="00EA0296"/>
    <w:rsid w:val="00EA1A12"/>
    <w:rsid w:val="00EA1F0E"/>
    <w:rsid w:val="00EA2854"/>
    <w:rsid w:val="00EA4C8B"/>
    <w:rsid w:val="00EB2D15"/>
    <w:rsid w:val="00EB3860"/>
    <w:rsid w:val="00EC330C"/>
    <w:rsid w:val="00EC429E"/>
    <w:rsid w:val="00EC6A23"/>
    <w:rsid w:val="00ED0547"/>
    <w:rsid w:val="00ED22CB"/>
    <w:rsid w:val="00ED4756"/>
    <w:rsid w:val="00ED558C"/>
    <w:rsid w:val="00EE44D9"/>
    <w:rsid w:val="00EE6269"/>
    <w:rsid w:val="00EF274D"/>
    <w:rsid w:val="00EF3FF1"/>
    <w:rsid w:val="00EF503F"/>
    <w:rsid w:val="00EF728C"/>
    <w:rsid w:val="00EF7CB4"/>
    <w:rsid w:val="00F04E2B"/>
    <w:rsid w:val="00F06395"/>
    <w:rsid w:val="00F10D7B"/>
    <w:rsid w:val="00F1563C"/>
    <w:rsid w:val="00F2130E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41D0"/>
    <w:rsid w:val="00FA78DA"/>
    <w:rsid w:val="00FB23A7"/>
    <w:rsid w:val="00FB4FC8"/>
    <w:rsid w:val="00FC17C4"/>
    <w:rsid w:val="00FC2B40"/>
    <w:rsid w:val="00FD476F"/>
    <w:rsid w:val="00FD7577"/>
    <w:rsid w:val="00FE5B7C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62F78EE1"/>
  <w15:docId w15:val="{2DB62808-2536-453E-AFD1-68862C76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2DWAXVAW3MHF-577884842-8</_dlc_DocId>
    <_dlc_DocIdUrl xmlns="a7e37686-00e6-405d-9032-d05dd3ba55a9">
      <Url>https://vis.fnbrno.cz/c012/WebVZVZ/_layouts/15/DocIdRedir.aspx?ID=2DWAXVAW3MHF-577884842-8</Url>
      <Description>2DWAXVAW3MHF-577884842-8</Description>
    </_dlc_DocIdUrl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3BB628A41C21469DC4031FD36A0BEA" ma:contentTypeVersion="3" ma:contentTypeDescription="Vytvoří nový dokument" ma:contentTypeScope="" ma:versionID="be124414a29db240cffce1c8051bd7eb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C2EB7C-EA1F-4E17-8E1E-CA6F9086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F94238-CA31-4F21-9D45-650544B0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3582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 pro léky a zdravotnický materiál</vt:lpstr>
    </vt:vector>
  </TitlesOfParts>
  <Company>sV</Company>
  <LinksUpToDate>false</LinksUpToDate>
  <CharactersWithSpaces>24052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pro léky a zdravotnický materiál</dc:title>
  <dc:creator>sV</dc:creator>
  <cp:lastModifiedBy>Mičánková Lucie</cp:lastModifiedBy>
  <cp:revision>4</cp:revision>
  <cp:lastPrinted>2022-02-01T13:24:00Z</cp:lastPrinted>
  <dcterms:created xsi:type="dcterms:W3CDTF">2022-05-25T15:33:00Z</dcterms:created>
  <dcterms:modified xsi:type="dcterms:W3CDTF">2022-06-22T10:29:00Z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3de40c42-1265-4708-863d-5445005094d8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0x010100D83BB628A41C21469DC4031FD36A0BEA</vt:lpwstr>
  </property>
</Properties>
</file>