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01C" w:rsidRDefault="00716339">
      <w:pPr>
        <w:pStyle w:val="Style2"/>
        <w:keepNext/>
        <w:keepLines/>
        <w:framePr w:w="1994" w:h="1044" w:wrap="none" w:hAnchor="page" w:x="265" w:y="1"/>
        <w:shd w:val="clear" w:color="auto" w:fill="auto"/>
      </w:pPr>
      <w:bookmarkStart w:id="0" w:name="bookmark0"/>
      <w:bookmarkStart w:id="1" w:name="bookmark1"/>
      <w:bookmarkStart w:id="2" w:name="bookmark2"/>
      <w:r>
        <w:t>4Tčpp</w:t>
      </w:r>
      <w:bookmarkEnd w:id="0"/>
      <w:bookmarkEnd w:id="1"/>
      <w:bookmarkEnd w:id="2"/>
    </w:p>
    <w:p w:rsidR="00E0201C" w:rsidRDefault="00716339">
      <w:pPr>
        <w:pStyle w:val="Style4"/>
        <w:framePr w:w="1994" w:h="1044" w:wrap="none" w:hAnchor="page" w:x="265" w:y="1"/>
        <w:shd w:val="clear" w:color="auto" w:fill="auto"/>
        <w:spacing w:after="0" w:line="240" w:lineRule="auto"/>
        <w:rPr>
          <w:sz w:val="13"/>
          <w:szCs w:val="13"/>
        </w:rPr>
      </w:pPr>
      <w:r>
        <w:rPr>
          <w:sz w:val="13"/>
          <w:szCs w:val="13"/>
          <w:lang w:val="en-US" w:eastAsia="en-US" w:bidi="en-US"/>
        </w:rPr>
        <w:t>VIENNA INSURANCE GROUP</w:t>
      </w:r>
    </w:p>
    <w:p w:rsidR="00E0201C" w:rsidRDefault="00E0201C">
      <w:pPr>
        <w:spacing w:line="360" w:lineRule="exact"/>
      </w:pPr>
    </w:p>
    <w:p w:rsidR="00E0201C" w:rsidRDefault="00E0201C">
      <w:pPr>
        <w:spacing w:after="683" w:line="1" w:lineRule="exact"/>
      </w:pPr>
    </w:p>
    <w:p w:rsidR="00E0201C" w:rsidRDefault="00E0201C">
      <w:pPr>
        <w:spacing w:line="1" w:lineRule="exact"/>
        <w:sectPr w:rsidR="00E0201C">
          <w:headerReference w:type="even" r:id="rId7"/>
          <w:headerReference w:type="default" r:id="rId8"/>
          <w:headerReference w:type="first" r:id="rId9"/>
          <w:pgSz w:w="12064" w:h="16949"/>
          <w:pgMar w:top="605" w:right="773" w:bottom="379" w:left="264" w:header="0" w:footer="3" w:gutter="0"/>
          <w:pgNumType w:start="1"/>
          <w:cols w:space="720"/>
          <w:noEndnote/>
          <w:titlePg/>
          <w:docGrid w:linePitch="360"/>
        </w:sectPr>
      </w:pPr>
    </w:p>
    <w:p w:rsidR="00E0201C" w:rsidRDefault="00E0201C">
      <w:pPr>
        <w:spacing w:before="99" w:after="99" w:line="240" w:lineRule="exact"/>
        <w:rPr>
          <w:sz w:val="19"/>
          <w:szCs w:val="19"/>
        </w:rPr>
      </w:pPr>
    </w:p>
    <w:p w:rsidR="00E0201C" w:rsidRDefault="00E0201C">
      <w:pPr>
        <w:spacing w:line="1" w:lineRule="exact"/>
        <w:sectPr w:rsidR="00E0201C">
          <w:type w:val="continuous"/>
          <w:pgSz w:w="12064" w:h="16949"/>
          <w:pgMar w:top="1639" w:right="0" w:bottom="325" w:left="0" w:header="0" w:footer="3" w:gutter="0"/>
          <w:cols w:space="720"/>
          <w:noEndnote/>
          <w:docGrid w:linePitch="360"/>
        </w:sectPr>
      </w:pPr>
    </w:p>
    <w:p w:rsidR="00E0201C" w:rsidRDefault="00716339">
      <w:pPr>
        <w:pStyle w:val="Style17"/>
        <w:keepNext/>
        <w:keepLines/>
        <w:shd w:val="clear" w:color="auto" w:fill="auto"/>
        <w:spacing w:after="760"/>
        <w:jc w:val="center"/>
      </w:pPr>
      <w:bookmarkStart w:id="3" w:name="bookmark8"/>
      <w:r>
        <w:t xml:space="preserve">Dodatek </w:t>
      </w:r>
      <w:r>
        <w:rPr>
          <w:lang w:val="sk-SK" w:eastAsia="sk-SK" w:bidi="sk-SK"/>
        </w:rPr>
        <w:t xml:space="preserve">č. </w:t>
      </w:r>
      <w:r>
        <w:rPr>
          <w:lang w:val="en-US" w:eastAsia="en-US" w:bidi="en-US"/>
        </w:rPr>
        <w:t xml:space="preserve">9 k </w:t>
      </w:r>
      <w:r>
        <w:t>pojistné smlouvě číslo 0013863517</w:t>
      </w:r>
      <w:bookmarkEnd w:id="3"/>
    </w:p>
    <w:p w:rsidR="00E0201C" w:rsidRDefault="00716339">
      <w:pPr>
        <w:pStyle w:val="Style17"/>
        <w:keepNext/>
        <w:keepLines/>
        <w:shd w:val="clear" w:color="auto" w:fill="auto"/>
        <w:spacing w:after="0"/>
      </w:pPr>
      <w:bookmarkStart w:id="4" w:name="bookmark6"/>
      <w:bookmarkStart w:id="5" w:name="bookmark7"/>
      <w:bookmarkStart w:id="6" w:name="bookmark9"/>
      <w:r>
        <w:t xml:space="preserve">Česká podnikatelská pojišťovna, a.s., </w:t>
      </w:r>
      <w:r>
        <w:rPr>
          <w:lang w:val="en-US" w:eastAsia="en-US" w:bidi="en-US"/>
        </w:rPr>
        <w:t xml:space="preserve">Vienna </w:t>
      </w:r>
      <w:proofErr w:type="spellStart"/>
      <w:r>
        <w:t>Insurance</w:t>
      </w:r>
      <w:proofErr w:type="spellEnd"/>
      <w:r>
        <w:t xml:space="preserve"> Group</w:t>
      </w:r>
      <w:bookmarkEnd w:id="4"/>
      <w:bookmarkEnd w:id="5"/>
      <w:bookmarkEnd w:id="6"/>
    </w:p>
    <w:p w:rsidR="00E0201C" w:rsidRDefault="00716339">
      <w:pPr>
        <w:pStyle w:val="Style19"/>
        <w:shd w:val="clear" w:color="auto" w:fill="auto"/>
      </w:pPr>
      <w:r>
        <w:t>Sídlo: Praha 8, Pobřežní 665/23, PSČ 186 00</w:t>
      </w:r>
    </w:p>
    <w:p w:rsidR="00E0201C" w:rsidRDefault="00716339">
      <w:pPr>
        <w:pStyle w:val="Style19"/>
        <w:shd w:val="clear" w:color="auto" w:fill="auto"/>
        <w:ind w:left="1660" w:hanging="1660"/>
      </w:pPr>
      <w:proofErr w:type="gramStart"/>
      <w:r>
        <w:t>Zastoupena:</w:t>
      </w:r>
      <w:r>
        <w:t>,</w:t>
      </w:r>
      <w:proofErr w:type="gramEnd"/>
      <w:r>
        <w:t xml:space="preserve"> vedoucím oddělení korporátní klientely a</w:t>
      </w:r>
    </w:p>
    <w:p w:rsidR="00E0201C" w:rsidRDefault="00716339">
      <w:pPr>
        <w:pStyle w:val="Style19"/>
        <w:shd w:val="clear" w:color="auto" w:fill="auto"/>
        <w:jc w:val="center"/>
      </w:pPr>
      <w:r>
        <w:t xml:space="preserve">, disponentem </w:t>
      </w:r>
      <w:proofErr w:type="gramStart"/>
      <w:r>
        <w:t>specialistou - upisovatelem</w:t>
      </w:r>
      <w:proofErr w:type="gramEnd"/>
    </w:p>
    <w:p w:rsidR="00E0201C" w:rsidRDefault="00716339">
      <w:pPr>
        <w:pStyle w:val="Style19"/>
        <w:shd w:val="clear" w:color="auto" w:fill="auto"/>
      </w:pPr>
      <w:r>
        <w:t>IČO: 639 98 530</w:t>
      </w:r>
    </w:p>
    <w:p w:rsidR="00E0201C" w:rsidRDefault="00716339">
      <w:pPr>
        <w:pStyle w:val="Style19"/>
        <w:shd w:val="clear" w:color="auto" w:fill="auto"/>
      </w:pPr>
      <w:r>
        <w:t>Zápis v obchodním rejstříku: Městský soud v Praze, oddíl B, vložka 3433</w:t>
      </w:r>
    </w:p>
    <w:p w:rsidR="00E0201C" w:rsidRDefault="00716339">
      <w:pPr>
        <w:pStyle w:val="Style19"/>
        <w:shd w:val="clear" w:color="auto" w:fill="auto"/>
      </w:pPr>
      <w:r>
        <w:t xml:space="preserve">Bankovní spojení: Česká spořitelna, a.s., </w:t>
      </w:r>
      <w:proofErr w:type="spellStart"/>
      <w:r>
        <w:t>č.ú</w:t>
      </w:r>
      <w:proofErr w:type="spellEnd"/>
      <w:r>
        <w:t xml:space="preserve">. </w:t>
      </w:r>
    </w:p>
    <w:p w:rsidR="00E0201C" w:rsidRDefault="00716339">
      <w:pPr>
        <w:pStyle w:val="Style19"/>
        <w:shd w:val="clear" w:color="auto" w:fill="auto"/>
        <w:spacing w:after="60"/>
      </w:pPr>
      <w:r>
        <w:t xml:space="preserve">Tel: </w:t>
      </w:r>
    </w:p>
    <w:p w:rsidR="00E0201C" w:rsidRDefault="00716339">
      <w:pPr>
        <w:pStyle w:val="Style7"/>
        <w:shd w:val="clear" w:color="auto" w:fill="auto"/>
        <w:spacing w:after="900" w:line="240" w:lineRule="auto"/>
      </w:pPr>
      <w:r>
        <w:t>dále jen pojistitel</w:t>
      </w:r>
    </w:p>
    <w:p w:rsidR="00E0201C" w:rsidRDefault="00716339">
      <w:pPr>
        <w:pStyle w:val="Style17"/>
        <w:keepNext/>
        <w:keepLines/>
        <w:shd w:val="clear" w:color="auto" w:fill="auto"/>
        <w:spacing w:after="0"/>
      </w:pPr>
      <w:bookmarkStart w:id="7" w:name="bookmark10"/>
      <w:bookmarkStart w:id="8" w:name="bookmark11"/>
      <w:bookmarkStart w:id="9" w:name="bookmark12"/>
      <w:r>
        <w:t>Povodí Ohře, státní podnik</w:t>
      </w:r>
      <w:bookmarkEnd w:id="7"/>
      <w:bookmarkEnd w:id="8"/>
      <w:bookmarkEnd w:id="9"/>
    </w:p>
    <w:p w:rsidR="00E0201C" w:rsidRDefault="00716339">
      <w:pPr>
        <w:pStyle w:val="Style19"/>
        <w:shd w:val="clear" w:color="auto" w:fill="auto"/>
        <w:spacing w:line="271" w:lineRule="auto"/>
      </w:pPr>
      <w:r>
        <w:t xml:space="preserve">Sídlo: </w:t>
      </w:r>
      <w:r>
        <w:rPr>
          <w:lang w:val="sk-SK" w:eastAsia="sk-SK" w:bidi="sk-SK"/>
        </w:rPr>
        <w:t xml:space="preserve">Bezručova </w:t>
      </w:r>
      <w:r>
        <w:t>4219,430 03 Chomutov</w:t>
      </w:r>
    </w:p>
    <w:p w:rsidR="00E0201C" w:rsidRDefault="00716339">
      <w:pPr>
        <w:pStyle w:val="Style19"/>
        <w:shd w:val="clear" w:color="auto" w:fill="auto"/>
        <w:spacing w:line="271" w:lineRule="auto"/>
      </w:pPr>
      <w:r>
        <w:t xml:space="preserve">Statutární </w:t>
      </w:r>
      <w:proofErr w:type="gramStart"/>
      <w:r>
        <w:t>orgán:</w:t>
      </w:r>
      <w:r>
        <w:t>,</w:t>
      </w:r>
      <w:proofErr w:type="gramEnd"/>
      <w:r>
        <w:t xml:space="preserve"> generální ředitel</w:t>
      </w:r>
    </w:p>
    <w:p w:rsidR="00E0201C" w:rsidRDefault="00716339">
      <w:pPr>
        <w:pStyle w:val="Style19"/>
        <w:shd w:val="clear" w:color="auto" w:fill="auto"/>
        <w:spacing w:line="271" w:lineRule="auto"/>
      </w:pPr>
      <w:r>
        <w:t xml:space="preserve">Zastoupený ve věcech </w:t>
      </w:r>
      <w:proofErr w:type="gramStart"/>
      <w:r>
        <w:t>smluvních:</w:t>
      </w:r>
      <w:r>
        <w:t>,</w:t>
      </w:r>
      <w:proofErr w:type="gramEnd"/>
      <w:r>
        <w:t xml:space="preserve"> ekonomickým ředitelem</w:t>
      </w:r>
    </w:p>
    <w:p w:rsidR="00E0201C" w:rsidRDefault="00716339">
      <w:pPr>
        <w:pStyle w:val="Style19"/>
        <w:shd w:val="clear" w:color="auto" w:fill="auto"/>
        <w:spacing w:line="271" w:lineRule="auto"/>
      </w:pPr>
      <w:r>
        <w:t>IČO: 708 89 988</w:t>
      </w:r>
    </w:p>
    <w:p w:rsidR="00BC0066" w:rsidRDefault="00716339">
      <w:pPr>
        <w:pStyle w:val="Style19"/>
        <w:shd w:val="clear" w:color="auto" w:fill="auto"/>
        <w:spacing w:line="271" w:lineRule="auto"/>
      </w:pPr>
      <w:r>
        <w:t xml:space="preserve">Zápis v </w:t>
      </w:r>
      <w:r>
        <w:t xml:space="preserve">obchodním rejstříku: Krajský soud v Ústí nad Labem, oddíl A, vložka 13052 Bankovní spojení: Komerční banka a.s., </w:t>
      </w:r>
      <w:proofErr w:type="spellStart"/>
      <w:r>
        <w:t>č.ú</w:t>
      </w:r>
      <w:proofErr w:type="spellEnd"/>
      <w:r>
        <w:t xml:space="preserve">. </w:t>
      </w:r>
    </w:p>
    <w:p w:rsidR="00E0201C" w:rsidRDefault="00716339">
      <w:pPr>
        <w:pStyle w:val="Style19"/>
        <w:shd w:val="clear" w:color="auto" w:fill="auto"/>
        <w:spacing w:line="271" w:lineRule="auto"/>
      </w:pPr>
      <w:r>
        <w:t xml:space="preserve">Tel: </w:t>
      </w:r>
    </w:p>
    <w:p w:rsidR="00E0201C" w:rsidRDefault="00716339">
      <w:pPr>
        <w:pStyle w:val="Style19"/>
        <w:shd w:val="clear" w:color="auto" w:fill="auto"/>
        <w:spacing w:after="60" w:line="271" w:lineRule="auto"/>
      </w:pPr>
      <w:r>
        <w:t xml:space="preserve">Email: </w:t>
      </w:r>
      <w:hyperlink r:id="rId10" w:history="1">
        <w:r>
          <w:rPr>
            <w:lang w:val="en-US" w:eastAsia="en-US" w:bidi="en-US"/>
          </w:rPr>
          <w:t>poh@poh.cz</w:t>
        </w:r>
      </w:hyperlink>
    </w:p>
    <w:p w:rsidR="00E0201C" w:rsidRDefault="00716339">
      <w:pPr>
        <w:pStyle w:val="Style7"/>
        <w:shd w:val="clear" w:color="auto" w:fill="auto"/>
        <w:spacing w:after="260" w:line="240" w:lineRule="auto"/>
      </w:pPr>
      <w:r>
        <w:t>dále jen pojistník</w:t>
      </w:r>
    </w:p>
    <w:p w:rsidR="00E0201C" w:rsidRDefault="00716339">
      <w:pPr>
        <w:pStyle w:val="Style21"/>
        <w:shd w:val="clear" w:color="auto" w:fill="auto"/>
        <w:spacing w:after="260"/>
        <w:jc w:val="center"/>
      </w:pPr>
      <w:r>
        <w:t>uzavírají</w:t>
      </w:r>
    </w:p>
    <w:p w:rsidR="00E0201C" w:rsidRDefault="00716339">
      <w:pPr>
        <w:pStyle w:val="Style21"/>
        <w:shd w:val="clear" w:color="auto" w:fill="auto"/>
      </w:pPr>
      <w:r>
        <w:t xml:space="preserve">tento dodatek pojistné </w:t>
      </w:r>
      <w:r>
        <w:t>smlouvy, který spolu s pojistnými podmínkami pojistitele, pojistnou smlouvou a přílohami tvoří nedílný celek.</w:t>
      </w:r>
    </w:p>
    <w:p w:rsidR="00E0201C" w:rsidRDefault="00716339">
      <w:pPr>
        <w:pStyle w:val="Style7"/>
        <w:shd w:val="clear" w:color="auto" w:fill="auto"/>
        <w:spacing w:after="60" w:line="240" w:lineRule="auto"/>
        <w:ind w:left="3240"/>
      </w:pPr>
      <w:r>
        <w:rPr>
          <w:b/>
          <w:bCs/>
        </w:rPr>
        <w:t>Distributor pojištění</w:t>
      </w:r>
    </w:p>
    <w:p w:rsidR="00E0201C" w:rsidRDefault="00716339">
      <w:pPr>
        <w:pStyle w:val="Style7"/>
        <w:shd w:val="clear" w:color="auto" w:fill="auto"/>
        <w:spacing w:after="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775970</wp:posOffset>
                </wp:positionH>
                <wp:positionV relativeFrom="paragraph">
                  <wp:posOffset>12700</wp:posOffset>
                </wp:positionV>
                <wp:extent cx="1803400" cy="94424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944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201C" w:rsidRDefault="00716339">
                            <w:pPr>
                              <w:pStyle w:val="Style7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Kategorie PZ</w:t>
                            </w:r>
                          </w:p>
                          <w:p w:rsidR="00E0201C" w:rsidRDefault="00716339">
                            <w:pPr>
                              <w:pStyle w:val="Style7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</w:t>
                            </w:r>
                          </w:p>
                          <w:p w:rsidR="00E0201C" w:rsidRDefault="00716339">
                            <w:pPr>
                              <w:pStyle w:val="Style7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IČ</w:t>
                            </w:r>
                          </w:p>
                          <w:p w:rsidR="00E0201C" w:rsidRDefault="00716339">
                            <w:pPr>
                              <w:pStyle w:val="Style7"/>
                              <w:shd w:val="clear" w:color="auto" w:fill="auto"/>
                              <w:spacing w:after="40"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Sjednatelské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číslo</w:t>
                            </w:r>
                          </w:p>
                          <w:p w:rsidR="00E0201C" w:rsidRDefault="00716339">
                            <w:pPr>
                              <w:pStyle w:val="Style7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Jméno a příjmení jednající osoby;</w:t>
                            </w:r>
                          </w:p>
                          <w:p w:rsidR="00E0201C" w:rsidRDefault="00716339">
                            <w:pPr>
                              <w:pStyle w:val="Style7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jednající osoby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61.1pt;margin-top:1pt;width:142pt;height:74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" filled="f" stroked="f">
                <v:textbox inset="0,0,0,0">
                  <w:txbxContent>
                    <w:p w:rsidR="00E0201C" w:rsidRDefault="00716339">
                      <w:pPr>
                        <w:pStyle w:val="Style7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Kategorie PZ</w:t>
                      </w:r>
                    </w:p>
                    <w:p w:rsidR="00E0201C" w:rsidRDefault="00716339">
                      <w:pPr>
                        <w:pStyle w:val="Style7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Název</w:t>
                      </w:r>
                    </w:p>
                    <w:p w:rsidR="00E0201C" w:rsidRDefault="00716339">
                      <w:pPr>
                        <w:pStyle w:val="Style7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IČ</w:t>
                      </w:r>
                    </w:p>
                    <w:p w:rsidR="00E0201C" w:rsidRDefault="00716339">
                      <w:pPr>
                        <w:pStyle w:val="Style7"/>
                        <w:shd w:val="clear" w:color="auto" w:fill="auto"/>
                        <w:spacing w:after="40"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Sjednatelské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číslo</w:t>
                      </w:r>
                    </w:p>
                    <w:p w:rsidR="00E0201C" w:rsidRDefault="00716339">
                      <w:pPr>
                        <w:pStyle w:val="Style7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Jméno a příjmení jednající osoby;</w:t>
                      </w:r>
                    </w:p>
                    <w:p w:rsidR="00E0201C" w:rsidRDefault="00716339">
                      <w:pPr>
                        <w:pStyle w:val="Style7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ID jednající osoby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Samostatný zprostředkovatel</w:t>
      </w:r>
      <w:r>
        <w:t xml:space="preserve"> jednající jako pojišťovací makléř</w:t>
      </w:r>
    </w:p>
    <w:p w:rsidR="00E0201C" w:rsidRDefault="00716339">
      <w:pPr>
        <w:pStyle w:val="Style7"/>
        <w:shd w:val="clear" w:color="auto" w:fill="auto"/>
        <w:spacing w:after="60" w:line="240" w:lineRule="auto"/>
      </w:pPr>
      <w:r>
        <w:rPr>
          <w:b/>
          <w:bCs/>
          <w:lang w:val="en-US" w:eastAsia="en-US" w:bidi="en-US"/>
        </w:rPr>
        <w:t xml:space="preserve">RESPECT </w:t>
      </w:r>
      <w:r>
        <w:rPr>
          <w:b/>
          <w:bCs/>
        </w:rPr>
        <w:t>a.s.</w:t>
      </w:r>
    </w:p>
    <w:p w:rsidR="00E0201C" w:rsidRDefault="00716339">
      <w:pPr>
        <w:pStyle w:val="Style7"/>
        <w:shd w:val="clear" w:color="auto" w:fill="auto"/>
        <w:spacing w:after="60" w:line="240" w:lineRule="auto"/>
      </w:pPr>
      <w:r>
        <w:rPr>
          <w:b/>
          <w:bCs/>
        </w:rPr>
        <w:t>25146 351</w:t>
      </w:r>
    </w:p>
    <w:p w:rsidR="00E0201C" w:rsidRDefault="00716339">
      <w:pPr>
        <w:pStyle w:val="Style7"/>
        <w:shd w:val="clear" w:color="auto" w:fill="auto"/>
        <w:spacing w:after="60" w:line="240" w:lineRule="auto"/>
      </w:pPr>
      <w:r>
        <w:rPr>
          <w:b/>
          <w:bCs/>
        </w:rPr>
        <w:t>9999002007</w:t>
      </w:r>
    </w:p>
    <w:p w:rsidR="00BC0066" w:rsidRDefault="00BC0066">
      <w:pPr>
        <w:pStyle w:val="Style7"/>
        <w:shd w:val="clear" w:color="auto" w:fill="auto"/>
        <w:spacing w:after="0" w:line="240" w:lineRule="auto"/>
        <w:rPr>
          <w:b/>
          <w:bCs/>
        </w:rPr>
      </w:pPr>
    </w:p>
    <w:p w:rsidR="00E0201C" w:rsidRDefault="00716339">
      <w:pPr>
        <w:pStyle w:val="Style7"/>
        <w:shd w:val="clear" w:color="auto" w:fill="auto"/>
        <w:spacing w:after="0" w:line="240" w:lineRule="auto"/>
      </w:pPr>
      <w:r>
        <w:rPr>
          <w:b/>
          <w:bCs/>
        </w:rPr>
        <w:t>ID: 2785137</w:t>
      </w:r>
    </w:p>
    <w:p w:rsidR="00E0201C" w:rsidRDefault="00716339">
      <w:pPr>
        <w:spacing w:line="1" w:lineRule="exact"/>
      </w:pPr>
      <w:r>
        <w:rPr>
          <w:noProof/>
        </w:rPr>
        <mc:AlternateContent>
          <mc:Choice Requires="wps">
            <w:drawing>
              <wp:anchor distT="25400" distB="370205" distL="0" distR="0" simplePos="0" relativeHeight="12582938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25400</wp:posOffset>
                </wp:positionV>
                <wp:extent cx="3794760" cy="5988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760" cy="598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201C" w:rsidRDefault="00716339">
                            <w:pPr>
                              <w:pStyle w:val="Style7"/>
                              <w:shd w:val="clear" w:color="auto" w:fill="auto"/>
                              <w:spacing w:after="40" w:line="240" w:lineRule="auto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Zaměstnanec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pojistitele - pečovatel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E0201C" w:rsidRDefault="00716339">
                            <w:pPr>
                              <w:pStyle w:val="Style7"/>
                              <w:shd w:val="clear" w:color="auto" w:fill="auto"/>
                              <w:spacing w:after="40" w:line="240" w:lineRule="auto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Správa pojistné smlouvy:</w:t>
                            </w:r>
                          </w:p>
                          <w:p w:rsidR="00E0201C" w:rsidRDefault="00716339">
                            <w:pPr>
                              <w:pStyle w:val="Style7"/>
                              <w:shd w:val="clear" w:color="auto" w:fill="auto"/>
                              <w:spacing w:after="40" w:line="240" w:lineRule="auto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PN</w:t>
                            </w:r>
                          </w:p>
                          <w:p w:rsidR="00E0201C" w:rsidRDefault="00716339">
                            <w:pPr>
                              <w:pStyle w:val="Style7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  <w:color w:val="545968"/>
                              </w:rPr>
                              <w:t xml:space="preserve">Česká podnikatelská pojišťovna, a.s., </w:t>
                            </w:r>
                            <w:r>
                              <w:rPr>
                                <w:b/>
                                <w:bCs/>
                                <w:color w:val="545968"/>
                                <w:lang w:val="en-US" w:eastAsia="en-US" w:bidi="en-US"/>
                              </w:rPr>
                              <w:t xml:space="preserve">Vienna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545968"/>
                              </w:rPr>
                              <w:t>Insurance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545968"/>
                              </w:rPr>
                              <w:t xml:space="preserve"> Group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53pt;margin-top:2pt;width:298.8pt;height:47.15pt;z-index:125829380;visibility:visible;mso-wrap-style:square;mso-wrap-distance-left:0;mso-wrap-distance-top:2pt;mso-wrap-distance-right:0;mso-wrap-distance-bottom:29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SlgwEAAAMDAAAOAAAAZHJzL2Uyb0RvYy54bWysUlFPwjAQfjfxPzR9lw0U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" filled="f" stroked="f">
                <v:textbox inset="0,0,0,0">
                  <w:txbxContent>
                    <w:p w:rsidR="00E0201C" w:rsidRDefault="00716339">
                      <w:pPr>
                        <w:pStyle w:val="Style7"/>
                        <w:shd w:val="clear" w:color="auto" w:fill="auto"/>
                        <w:spacing w:after="40" w:line="240" w:lineRule="auto"/>
                        <w:ind w:firstLine="160"/>
                      </w:pPr>
                      <w:r>
                        <w:rPr>
                          <w:b/>
                          <w:bCs/>
                        </w:rPr>
                        <w:t xml:space="preserve">Zaměstnanec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pojistitele - pečovatel</w:t>
                      </w:r>
                      <w:proofErr w:type="gram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E0201C" w:rsidRDefault="00716339">
                      <w:pPr>
                        <w:pStyle w:val="Style7"/>
                        <w:shd w:val="clear" w:color="auto" w:fill="auto"/>
                        <w:spacing w:after="40" w:line="240" w:lineRule="auto"/>
                        <w:ind w:firstLine="160"/>
                      </w:pPr>
                      <w:r>
                        <w:rPr>
                          <w:b/>
                          <w:bCs/>
                        </w:rPr>
                        <w:t>Správa pojistné smlouvy:</w:t>
                      </w:r>
                    </w:p>
                    <w:p w:rsidR="00E0201C" w:rsidRDefault="00716339">
                      <w:pPr>
                        <w:pStyle w:val="Style7"/>
                        <w:shd w:val="clear" w:color="auto" w:fill="auto"/>
                        <w:spacing w:after="40" w:line="240" w:lineRule="auto"/>
                        <w:ind w:firstLine="160"/>
                      </w:pPr>
                      <w:r>
                        <w:rPr>
                          <w:b/>
                          <w:bCs/>
                        </w:rPr>
                        <w:t>PN</w:t>
                      </w:r>
                    </w:p>
                    <w:p w:rsidR="00E0201C" w:rsidRDefault="00716339">
                      <w:pPr>
                        <w:pStyle w:val="Style7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  <w:color w:val="545968"/>
                        </w:rPr>
                        <w:t xml:space="preserve">Česká podnikatelská pojišťovna, a.s., </w:t>
                      </w:r>
                      <w:r>
                        <w:rPr>
                          <w:b/>
                          <w:bCs/>
                          <w:color w:val="545968"/>
                          <w:lang w:val="en-US" w:eastAsia="en-US" w:bidi="en-US"/>
                        </w:rPr>
                        <w:t xml:space="preserve">Vienna </w:t>
                      </w:r>
                      <w:proofErr w:type="spellStart"/>
                      <w:r>
                        <w:rPr>
                          <w:b/>
                          <w:bCs/>
                          <w:color w:val="545968"/>
                        </w:rPr>
                        <w:t>Insurance</w:t>
                      </w:r>
                      <w:proofErr w:type="spellEnd"/>
                      <w:r>
                        <w:rPr>
                          <w:b/>
                          <w:bCs/>
                          <w:color w:val="545968"/>
                        </w:rPr>
                        <w:t xml:space="preserve"> Group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290" distB="502920" distL="0" distR="0" simplePos="0" relativeHeight="125829382" behindDoc="0" locked="0" layoutInCell="1" allowOverlap="1">
                <wp:simplePos x="0" y="0"/>
                <wp:positionH relativeFrom="page">
                  <wp:posOffset>3658870</wp:posOffset>
                </wp:positionH>
                <wp:positionV relativeFrom="paragraph">
                  <wp:posOffset>34290</wp:posOffset>
                </wp:positionV>
                <wp:extent cx="1894840" cy="4572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84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201C" w:rsidRDefault="00716339">
                            <w:pPr>
                              <w:pStyle w:val="Style7"/>
                              <w:shd w:val="clear" w:color="auto" w:fill="auto"/>
                              <w:spacing w:after="40" w:line="240" w:lineRule="auto"/>
                            </w:pPr>
                            <w:r>
                              <w:t>, JP12002,</w:t>
                            </w:r>
                            <w:r>
                              <w:t xml:space="preserve"> ID: 115734</w:t>
                            </w:r>
                          </w:p>
                          <w:p w:rsidR="00E0201C" w:rsidRDefault="00716339">
                            <w:pPr>
                              <w:pStyle w:val="Style7"/>
                              <w:shd w:val="clear" w:color="auto" w:fill="auto"/>
                              <w:spacing w:after="40" w:line="240" w:lineRule="auto"/>
                            </w:pPr>
                            <w:r>
                              <w:t>OKK RŘ Plzeň, 8891203000</w:t>
                            </w:r>
                          </w:p>
                          <w:p w:rsidR="00E0201C" w:rsidRDefault="00716339">
                            <w:pPr>
                              <w:pStyle w:val="Style7"/>
                              <w:shd w:val="clear" w:color="auto" w:fill="auto"/>
                              <w:spacing w:after="40" w:line="240" w:lineRule="auto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288.1pt;margin-top:2.7pt;width:149.2pt;height:36pt;z-index:125829382;visibility:visible;mso-wrap-style:square;mso-wrap-distance-left:0;mso-wrap-distance-top:2.7pt;mso-wrap-distance-right:0;mso-wrap-distance-bottom:3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" filled="f" stroked="f">
                <v:textbox inset="0,0,0,0">
                  <w:txbxContent>
                    <w:p w:rsidR="00E0201C" w:rsidRDefault="00716339">
                      <w:pPr>
                        <w:pStyle w:val="Style7"/>
                        <w:shd w:val="clear" w:color="auto" w:fill="auto"/>
                        <w:spacing w:after="40" w:line="240" w:lineRule="auto"/>
                      </w:pPr>
                      <w:r>
                        <w:t>, JP12002,</w:t>
                      </w:r>
                      <w:r>
                        <w:t xml:space="preserve"> ID: 115734</w:t>
                      </w:r>
                    </w:p>
                    <w:p w:rsidR="00E0201C" w:rsidRDefault="00716339">
                      <w:pPr>
                        <w:pStyle w:val="Style7"/>
                        <w:shd w:val="clear" w:color="auto" w:fill="auto"/>
                        <w:spacing w:after="40" w:line="240" w:lineRule="auto"/>
                      </w:pPr>
                      <w:r>
                        <w:t>OKK RŘ Plzeň, 8891203000</w:t>
                      </w:r>
                    </w:p>
                    <w:p w:rsidR="00E0201C" w:rsidRDefault="00716339">
                      <w:pPr>
                        <w:pStyle w:val="Style7"/>
                        <w:shd w:val="clear" w:color="auto" w:fill="auto"/>
                        <w:spacing w:after="40" w:line="240" w:lineRule="auto"/>
                      </w:pPr>
                      <w:r>
                        <w:t>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56590" distB="0" distL="0" distR="0" simplePos="0" relativeHeight="125829384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656590</wp:posOffset>
                </wp:positionV>
                <wp:extent cx="3799205" cy="3384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20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201C" w:rsidRDefault="00716339">
                            <w:pPr>
                              <w:pStyle w:val="Style4"/>
                              <w:shd w:val="clear" w:color="auto" w:fill="auto"/>
                              <w:spacing w:after="0" w:line="257" w:lineRule="auto"/>
                            </w:pPr>
                            <w:r>
                              <w:rPr>
                                <w:b/>
                                <w:bCs/>
                                <w:color w:val="545968"/>
                              </w:rPr>
                              <w:t xml:space="preserve">Pobřežní 665/23, 186 00 Praha 8, fax: 547 213 468, e-mail: </w:t>
                            </w:r>
                            <w:hyperlink r:id="rId11" w:history="1">
                              <w:r>
                                <w:rPr>
                                  <w:b/>
                                  <w:bCs/>
                                  <w:color w:val="545968"/>
                                  <w:lang w:val="en-US" w:eastAsia="en-US" w:bidi="en-US"/>
                                </w:rPr>
                                <w:t>info@cpp.cz</w:t>
                              </w:r>
                            </w:hyperlink>
                          </w:p>
                          <w:p w:rsidR="00E0201C" w:rsidRDefault="00716339">
                            <w:pPr>
                              <w:pStyle w:val="Style4"/>
                              <w:shd w:val="clear" w:color="auto" w:fill="auto"/>
                              <w:spacing w:after="0" w:line="257" w:lineRule="auto"/>
                            </w:pPr>
                            <w:r>
                              <w:rPr>
                                <w:color w:val="545968"/>
                              </w:rPr>
                              <w:t xml:space="preserve">zapsaná v </w:t>
                            </w:r>
                            <w:r>
                              <w:t xml:space="preserve">obchodním rejstříku vedeném Městským soudem </w:t>
                            </w:r>
                            <w:r>
                              <w:rPr>
                                <w:color w:val="545968"/>
                              </w:rPr>
                              <w:t xml:space="preserve">v </w:t>
                            </w:r>
                            <w:proofErr w:type="gramStart"/>
                            <w:r>
                              <w:t xml:space="preserve">Praze - </w:t>
                            </w:r>
                            <w:r>
                              <w:rPr>
                                <w:color w:val="545968"/>
                              </w:rPr>
                              <w:t>oddíl</w:t>
                            </w:r>
                            <w:proofErr w:type="gramEnd"/>
                            <w:r>
                              <w:rPr>
                                <w:color w:val="545968"/>
                              </w:rPr>
                              <w:t xml:space="preserve"> </w:t>
                            </w:r>
                            <w:r>
                              <w:t xml:space="preserve">B, vložka 3433 IČ: </w:t>
                            </w:r>
                            <w:r>
                              <w:rPr>
                                <w:color w:val="545968"/>
                              </w:rPr>
                              <w:t>63998530, DIČ: CZ639</w:t>
                            </w:r>
                            <w:r>
                              <w:rPr>
                                <w:color w:val="545968"/>
                              </w:rPr>
                              <w:t xml:space="preserve">98530,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color w:val="545968"/>
                              </w:rPr>
                              <w:t xml:space="preserve">pro </w:t>
                            </w:r>
                            <w:r>
                              <w:t>DPH: CZ699000955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53pt;margin-top:51.7pt;width:299.15pt;height:26.65pt;z-index:125829384;visibility:visible;mso-wrap-style:square;mso-wrap-distance-left:0;mso-wrap-distance-top:51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NEhQEAAAUDAAAOAAAAZHJzL2Uyb0RvYy54bWysUlFPwjAQfjfxPzR9lw0Q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" filled="f" stroked="f">
                <v:textbox inset="0,0,0,0">
                  <w:txbxContent>
                    <w:p w:rsidR="00E0201C" w:rsidRDefault="00716339">
                      <w:pPr>
                        <w:pStyle w:val="Style4"/>
                        <w:shd w:val="clear" w:color="auto" w:fill="auto"/>
                        <w:spacing w:after="0" w:line="257" w:lineRule="auto"/>
                      </w:pPr>
                      <w:r>
                        <w:rPr>
                          <w:b/>
                          <w:bCs/>
                          <w:color w:val="545968"/>
                        </w:rPr>
                        <w:t xml:space="preserve">Pobřežní 665/23, 186 00 Praha 8, fax: 547 213 468, e-mail: </w:t>
                      </w:r>
                      <w:hyperlink r:id="rId12" w:history="1">
                        <w:r>
                          <w:rPr>
                            <w:b/>
                            <w:bCs/>
                            <w:color w:val="545968"/>
                            <w:lang w:val="en-US" w:eastAsia="en-US" w:bidi="en-US"/>
                          </w:rPr>
                          <w:t>info@cpp.cz</w:t>
                        </w:r>
                      </w:hyperlink>
                    </w:p>
                    <w:p w:rsidR="00E0201C" w:rsidRDefault="00716339">
                      <w:pPr>
                        <w:pStyle w:val="Style4"/>
                        <w:shd w:val="clear" w:color="auto" w:fill="auto"/>
                        <w:spacing w:after="0" w:line="257" w:lineRule="auto"/>
                      </w:pPr>
                      <w:r>
                        <w:rPr>
                          <w:color w:val="545968"/>
                        </w:rPr>
                        <w:t xml:space="preserve">zapsaná v </w:t>
                      </w:r>
                      <w:r>
                        <w:t xml:space="preserve">obchodním rejstříku vedeném Městským soudem </w:t>
                      </w:r>
                      <w:r>
                        <w:rPr>
                          <w:color w:val="545968"/>
                        </w:rPr>
                        <w:t xml:space="preserve">v </w:t>
                      </w:r>
                      <w:proofErr w:type="gramStart"/>
                      <w:r>
                        <w:t xml:space="preserve">Praze - </w:t>
                      </w:r>
                      <w:r>
                        <w:rPr>
                          <w:color w:val="545968"/>
                        </w:rPr>
                        <w:t>oddíl</w:t>
                      </w:r>
                      <w:proofErr w:type="gramEnd"/>
                      <w:r>
                        <w:rPr>
                          <w:color w:val="545968"/>
                        </w:rPr>
                        <w:t xml:space="preserve"> </w:t>
                      </w:r>
                      <w:r>
                        <w:t xml:space="preserve">B, vložka 3433 IČ: </w:t>
                      </w:r>
                      <w:r>
                        <w:rPr>
                          <w:color w:val="545968"/>
                        </w:rPr>
                        <w:t>63998530, DIČ: CZ639</w:t>
                      </w:r>
                      <w:r>
                        <w:rPr>
                          <w:color w:val="545968"/>
                        </w:rPr>
                        <w:t xml:space="preserve">98530, </w:t>
                      </w:r>
                      <w:r>
                        <w:t xml:space="preserve">DIČ </w:t>
                      </w:r>
                      <w:r>
                        <w:rPr>
                          <w:color w:val="545968"/>
                        </w:rPr>
                        <w:t xml:space="preserve">pro </w:t>
                      </w:r>
                      <w:r>
                        <w:t>DPH: CZ699000955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5770" distB="114300" distL="0" distR="0" simplePos="0" relativeHeight="125829386" behindDoc="0" locked="0" layoutInCell="1" allowOverlap="1">
                <wp:simplePos x="0" y="0"/>
                <wp:positionH relativeFrom="page">
                  <wp:posOffset>6063615</wp:posOffset>
                </wp:positionH>
                <wp:positionV relativeFrom="paragraph">
                  <wp:posOffset>445770</wp:posOffset>
                </wp:positionV>
                <wp:extent cx="1106170" cy="4343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43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201C" w:rsidRDefault="00716339">
                            <w:pPr>
                              <w:pStyle w:val="Style13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3"/>
                            <w:bookmarkStart w:id="11" w:name="bookmark4"/>
                            <w:bookmarkStart w:id="12" w:name="bookmark5"/>
                            <w:proofErr w:type="gramStart"/>
                            <w:r>
                              <w:t>«TČPP</w:t>
                            </w:r>
                            <w:bookmarkEnd w:id="10"/>
                            <w:bookmarkEnd w:id="11"/>
                            <w:bookmarkEnd w:id="12"/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477.45pt;margin-top:35.1pt;width:87.1pt;height:34.2pt;z-index:125829386;visibility:visible;mso-wrap-style:none;mso-wrap-distance-left:0;mso-wrap-distance-top:35.1pt;mso-wrap-distance-right:0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" filled="f" stroked="f">
                <v:textbox inset="0,0,0,0">
                  <w:txbxContent>
                    <w:p w:rsidR="00E0201C" w:rsidRDefault="00716339">
                      <w:pPr>
                        <w:pStyle w:val="Style13"/>
                        <w:keepNext/>
                        <w:keepLines/>
                        <w:shd w:val="clear" w:color="auto" w:fill="auto"/>
                      </w:pPr>
                      <w:bookmarkStart w:id="13" w:name="bookmark3"/>
                      <w:bookmarkStart w:id="14" w:name="bookmark4"/>
                      <w:bookmarkStart w:id="15" w:name="bookmark5"/>
                      <w:proofErr w:type="gramStart"/>
                      <w:r>
                        <w:t>«TČPP</w:t>
                      </w:r>
                      <w:bookmarkEnd w:id="13"/>
                      <w:bookmarkEnd w:id="14"/>
                      <w:bookmarkEnd w:id="15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2650" distB="8890" distL="0" distR="0" simplePos="0" relativeHeight="125829388" behindDoc="0" locked="0" layoutInCell="1" allowOverlap="1">
                <wp:simplePos x="0" y="0"/>
                <wp:positionH relativeFrom="page">
                  <wp:posOffset>6082030</wp:posOffset>
                </wp:positionH>
                <wp:positionV relativeFrom="paragraph">
                  <wp:posOffset>882650</wp:posOffset>
                </wp:positionV>
                <wp:extent cx="1065530" cy="1028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102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201C" w:rsidRDefault="00716339">
                            <w:pPr>
                              <w:pStyle w:val="Style15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VIENNA </w:t>
                            </w:r>
                            <w:r>
                              <w:t>INSURANCE GROUP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478.9pt;margin-top:69.5pt;width:83.9pt;height:8.1pt;z-index:125829388;visibility:visible;mso-wrap-style:none;mso-wrap-distance-left:0;mso-wrap-distance-top:69.5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" filled="f" stroked="f">
                <v:textbox inset="0,0,0,0">
                  <w:txbxContent>
                    <w:p w:rsidR="00E0201C" w:rsidRDefault="00716339">
                      <w:pPr>
                        <w:pStyle w:val="Style15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VIENNA </w:t>
                      </w:r>
                      <w:r>
                        <w:t>INSURANCE GROUP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0066" w:rsidRDefault="00BC0066">
      <w:pPr>
        <w:pStyle w:val="Style7"/>
        <w:shd w:val="clear" w:color="auto" w:fill="auto"/>
        <w:spacing w:after="0" w:line="305" w:lineRule="auto"/>
        <w:jc w:val="center"/>
        <w:rPr>
          <w:b/>
          <w:bCs/>
          <w:u w:val="single"/>
        </w:rPr>
      </w:pPr>
    </w:p>
    <w:p w:rsidR="00BC0066" w:rsidRDefault="00BC0066">
      <w:pPr>
        <w:pStyle w:val="Style7"/>
        <w:shd w:val="clear" w:color="auto" w:fill="auto"/>
        <w:spacing w:after="0" w:line="305" w:lineRule="auto"/>
        <w:jc w:val="center"/>
        <w:rPr>
          <w:b/>
          <w:bCs/>
          <w:u w:val="single"/>
        </w:rPr>
      </w:pPr>
    </w:p>
    <w:p w:rsidR="00BC0066" w:rsidRDefault="00BC0066">
      <w:pPr>
        <w:pStyle w:val="Style7"/>
        <w:shd w:val="clear" w:color="auto" w:fill="auto"/>
        <w:spacing w:after="0" w:line="305" w:lineRule="auto"/>
        <w:jc w:val="center"/>
        <w:rPr>
          <w:b/>
          <w:bCs/>
          <w:u w:val="single"/>
        </w:rPr>
      </w:pPr>
    </w:p>
    <w:p w:rsidR="00BC0066" w:rsidRDefault="00BC0066">
      <w:pPr>
        <w:pStyle w:val="Style7"/>
        <w:shd w:val="clear" w:color="auto" w:fill="auto"/>
        <w:spacing w:after="0" w:line="305" w:lineRule="auto"/>
        <w:jc w:val="center"/>
        <w:rPr>
          <w:b/>
          <w:bCs/>
          <w:u w:val="single"/>
        </w:rPr>
      </w:pPr>
    </w:p>
    <w:p w:rsidR="00BC0066" w:rsidRDefault="00BC0066">
      <w:pPr>
        <w:pStyle w:val="Style7"/>
        <w:shd w:val="clear" w:color="auto" w:fill="auto"/>
        <w:spacing w:after="0" w:line="305" w:lineRule="auto"/>
        <w:jc w:val="center"/>
        <w:rPr>
          <w:b/>
          <w:bCs/>
          <w:u w:val="single"/>
        </w:rPr>
      </w:pPr>
    </w:p>
    <w:p w:rsidR="00E0201C" w:rsidRDefault="00716339">
      <w:pPr>
        <w:pStyle w:val="Style7"/>
        <w:shd w:val="clear" w:color="auto" w:fill="auto"/>
        <w:spacing w:after="0" w:line="305" w:lineRule="auto"/>
        <w:jc w:val="center"/>
      </w:pPr>
      <w:r>
        <w:rPr>
          <w:b/>
          <w:bCs/>
          <w:u w:val="single"/>
        </w:rPr>
        <w:lastRenderedPageBreak/>
        <w:t>Článek I.</w:t>
      </w:r>
    </w:p>
    <w:p w:rsidR="00E0201C" w:rsidRDefault="00716339">
      <w:pPr>
        <w:pStyle w:val="Style7"/>
        <w:shd w:val="clear" w:color="auto" w:fill="auto"/>
        <w:spacing w:after="360" w:line="305" w:lineRule="auto"/>
        <w:jc w:val="center"/>
      </w:pPr>
      <w:r>
        <w:rPr>
          <w:b/>
          <w:bCs/>
          <w:u w:val="single"/>
        </w:rPr>
        <w:t>Předmět dodatku pojistné smlouvy</w:t>
      </w:r>
    </w:p>
    <w:p w:rsidR="00E0201C" w:rsidRDefault="00716339">
      <w:pPr>
        <w:pStyle w:val="Style7"/>
        <w:shd w:val="clear" w:color="auto" w:fill="auto"/>
        <w:spacing w:after="360" w:line="305" w:lineRule="auto"/>
      </w:pPr>
      <w:r>
        <w:rPr>
          <w:b/>
          <w:bCs/>
        </w:rPr>
        <w:t>Pojistitel a pojistník sjednávají tímto dodatkem následující změny v pojistné smlouvě:</w:t>
      </w:r>
    </w:p>
    <w:p w:rsidR="00E0201C" w:rsidRDefault="00716339">
      <w:pPr>
        <w:pStyle w:val="Style27"/>
        <w:keepNext/>
        <w:keepLines/>
        <w:numPr>
          <w:ilvl w:val="0"/>
          <w:numId w:val="1"/>
        </w:numPr>
        <w:shd w:val="clear" w:color="auto" w:fill="auto"/>
        <w:tabs>
          <w:tab w:val="left" w:pos="337"/>
        </w:tabs>
        <w:spacing w:after="60" w:line="288" w:lineRule="auto"/>
        <w:ind w:hanging="320"/>
      </w:pPr>
      <w:bookmarkStart w:id="16" w:name="bookmark15"/>
      <w:bookmarkStart w:id="17" w:name="bookmark13"/>
      <w:bookmarkStart w:id="18" w:name="bookmark14"/>
      <w:bookmarkStart w:id="19" w:name="bookmark16"/>
      <w:bookmarkEnd w:id="16"/>
      <w:r>
        <w:t xml:space="preserve">V bodu 7. </w:t>
      </w:r>
      <w:r>
        <w:rPr>
          <w:b w:val="0"/>
          <w:bCs w:val="0"/>
        </w:rPr>
        <w:t xml:space="preserve">(Místo pojištění), </w:t>
      </w:r>
      <w:r>
        <w:t>článku I. pojistné smlouvy se</w:t>
      </w:r>
      <w:r>
        <w:t xml:space="preserve"> ruší písmena g), h) a dochází k vyřazení následujících míst pojištění:</w:t>
      </w:r>
      <w:bookmarkEnd w:id="17"/>
      <w:bookmarkEnd w:id="18"/>
      <w:bookmarkEnd w:id="19"/>
    </w:p>
    <w:p w:rsidR="00E0201C" w:rsidRDefault="00716339">
      <w:pPr>
        <w:pStyle w:val="Style7"/>
        <w:shd w:val="clear" w:color="auto" w:fill="auto"/>
        <w:spacing w:after="100" w:line="298" w:lineRule="auto"/>
        <w:ind w:left="1460"/>
      </w:pPr>
      <w:r>
        <w:t xml:space="preserve">Ruší se místo pojištění g) Jílovský potok, </w:t>
      </w:r>
      <w:proofErr w:type="gramStart"/>
      <w:r>
        <w:t>Jílové - Modrá</w:t>
      </w:r>
      <w:proofErr w:type="gramEnd"/>
      <w:r>
        <w:t xml:space="preserve"> 2. stavba, ř. km 10,419 - 10,800.</w:t>
      </w:r>
    </w:p>
    <w:p w:rsidR="00E0201C" w:rsidRDefault="00716339">
      <w:pPr>
        <w:pStyle w:val="Style7"/>
        <w:shd w:val="clear" w:color="auto" w:fill="auto"/>
        <w:spacing w:after="480" w:line="298" w:lineRule="auto"/>
        <w:ind w:left="1460"/>
      </w:pPr>
      <w:r>
        <w:t xml:space="preserve">Ruší se místo pojištění </w:t>
      </w:r>
      <w:r>
        <w:rPr>
          <w:lang w:val="sk-SK" w:eastAsia="sk-SK" w:bidi="sk-SK"/>
        </w:rPr>
        <w:t xml:space="preserve">h) </w:t>
      </w:r>
      <w:r>
        <w:t xml:space="preserve">VD </w:t>
      </w:r>
      <w:proofErr w:type="spellStart"/>
      <w:r>
        <w:t>Křímov</w:t>
      </w:r>
      <w:proofErr w:type="spellEnd"/>
      <w:r>
        <w:t>.</w:t>
      </w:r>
    </w:p>
    <w:p w:rsidR="00E0201C" w:rsidRDefault="00716339">
      <w:pPr>
        <w:pStyle w:val="Style7"/>
        <w:numPr>
          <w:ilvl w:val="0"/>
          <w:numId w:val="1"/>
        </w:numPr>
        <w:shd w:val="clear" w:color="auto" w:fill="auto"/>
        <w:tabs>
          <w:tab w:val="left" w:pos="344"/>
        </w:tabs>
        <w:spacing w:after="240"/>
        <w:ind w:left="320" w:hanging="320"/>
      </w:pPr>
      <w:bookmarkStart w:id="20" w:name="bookmark17"/>
      <w:bookmarkEnd w:id="20"/>
      <w:r>
        <w:rPr>
          <w:b/>
          <w:bCs/>
        </w:rPr>
        <w:t xml:space="preserve">V bodu 1. </w:t>
      </w:r>
      <w:r>
        <w:t xml:space="preserve">(ŽIVELNÍ POJIŠTĚNÍ), </w:t>
      </w:r>
      <w:r>
        <w:rPr>
          <w:b/>
          <w:bCs/>
        </w:rPr>
        <w:t>článku II. pojistné sml</w:t>
      </w:r>
      <w:r>
        <w:rPr>
          <w:b/>
          <w:bCs/>
        </w:rPr>
        <w:t>ouvy se ruší odst. 1.1. a odst. 1.2. a dochází k vyřazení následujících předmětů pojištění:</w:t>
      </w:r>
    </w:p>
    <w:p w:rsidR="00E0201C" w:rsidRDefault="00716339">
      <w:pPr>
        <w:pStyle w:val="Style7"/>
        <w:shd w:val="clear" w:color="auto" w:fill="auto"/>
        <w:spacing w:after="60" w:line="298" w:lineRule="auto"/>
        <w:ind w:left="1460" w:firstLine="20"/>
      </w:pPr>
      <w:r>
        <w:t xml:space="preserve">Ruší se pojištění vlastní nebo cizí </w:t>
      </w:r>
      <w:proofErr w:type="gramStart"/>
      <w:r>
        <w:t xml:space="preserve">stavby - </w:t>
      </w:r>
      <w:r>
        <w:rPr>
          <w:b/>
          <w:bCs/>
        </w:rPr>
        <w:t>Rekonstrukce</w:t>
      </w:r>
      <w:proofErr w:type="gramEnd"/>
      <w:r>
        <w:rPr>
          <w:b/>
          <w:bCs/>
        </w:rPr>
        <w:t xml:space="preserve"> Jílovského potoka, Jílové - Modrá 2. stavba.</w:t>
      </w:r>
    </w:p>
    <w:p w:rsidR="00E0201C" w:rsidRDefault="00716339">
      <w:pPr>
        <w:pStyle w:val="Style7"/>
        <w:shd w:val="clear" w:color="auto" w:fill="auto"/>
        <w:spacing w:after="240"/>
        <w:ind w:left="1460" w:firstLine="20"/>
      </w:pPr>
      <w:r>
        <w:t>Pro tuto stavbu bylo sjednáno riziko povodně, záplavy v příči</w:t>
      </w:r>
      <w:r>
        <w:t>nné souvislosti s povodní a záplavy způsobené živelní událostí jinak než v příčinné souvislosti s povodní.</w:t>
      </w:r>
    </w:p>
    <w:p w:rsidR="00E0201C" w:rsidRDefault="00716339">
      <w:pPr>
        <w:pStyle w:val="Style7"/>
        <w:shd w:val="clear" w:color="auto" w:fill="auto"/>
        <w:spacing w:after="360" w:line="336" w:lineRule="auto"/>
        <w:ind w:left="1460" w:firstLine="20"/>
      </w:pPr>
      <w:r>
        <w:t xml:space="preserve">Ruší se pojištění vlastní nebo cizí </w:t>
      </w:r>
      <w:proofErr w:type="gramStart"/>
      <w:r>
        <w:t xml:space="preserve">stavby - </w:t>
      </w:r>
      <w:r>
        <w:rPr>
          <w:b/>
          <w:bCs/>
        </w:rPr>
        <w:t>Vodní</w:t>
      </w:r>
      <w:proofErr w:type="gramEnd"/>
      <w:r>
        <w:rPr>
          <w:b/>
          <w:bCs/>
        </w:rPr>
        <w:t xml:space="preserve"> dílo </w:t>
      </w:r>
      <w:proofErr w:type="spellStart"/>
      <w:r>
        <w:rPr>
          <w:b/>
          <w:bCs/>
        </w:rPr>
        <w:t>Křímov</w:t>
      </w:r>
      <w:proofErr w:type="spellEnd"/>
      <w:r>
        <w:rPr>
          <w:b/>
          <w:bCs/>
        </w:rPr>
        <w:t xml:space="preserve"> - rekonstrukce a doplnění injekční clony. </w:t>
      </w:r>
      <w:r>
        <w:t>Pro tuto stavbu nebylo sjednáno riziko povod</w:t>
      </w:r>
      <w:r>
        <w:t>ně, záplavy v příčinné souvislosti s povodní a záplavy způsobené živelní událostí jinak než v příčinné souvislosti s povodní.</w:t>
      </w:r>
    </w:p>
    <w:p w:rsidR="00E0201C" w:rsidRDefault="00716339">
      <w:pPr>
        <w:pStyle w:val="Style7"/>
        <w:numPr>
          <w:ilvl w:val="0"/>
          <w:numId w:val="1"/>
        </w:numPr>
        <w:shd w:val="clear" w:color="auto" w:fill="auto"/>
        <w:tabs>
          <w:tab w:val="left" w:pos="348"/>
        </w:tabs>
        <w:spacing w:after="360"/>
        <w:ind w:left="320" w:hanging="320"/>
      </w:pPr>
      <w:bookmarkStart w:id="21" w:name="bookmark18"/>
      <w:bookmarkEnd w:id="21"/>
      <w:r>
        <w:rPr>
          <w:b/>
          <w:bCs/>
        </w:rPr>
        <w:t xml:space="preserve">Z důvodu změn a aktualizace rozsahu pojištění se s účinností od 01. 07. 2022 sjednává nové znění článku II., bodu 1. pojistné </w:t>
      </w:r>
      <w:r>
        <w:rPr>
          <w:b/>
          <w:bCs/>
        </w:rPr>
        <w:t>smlouvy, původní znění se nahrazuje následovně:</w:t>
      </w:r>
    </w:p>
    <w:p w:rsidR="00E0201C" w:rsidRDefault="00716339">
      <w:pPr>
        <w:pStyle w:val="Style7"/>
        <w:shd w:val="clear" w:color="auto" w:fill="auto"/>
        <w:spacing w:after="0" w:line="298" w:lineRule="auto"/>
        <w:jc w:val="center"/>
      </w:pPr>
      <w:r>
        <w:rPr>
          <w:b/>
          <w:bCs/>
        </w:rPr>
        <w:t>Článek II.</w:t>
      </w:r>
    </w:p>
    <w:p w:rsidR="00E0201C" w:rsidRDefault="00716339">
      <w:pPr>
        <w:pStyle w:val="Style7"/>
        <w:shd w:val="clear" w:color="auto" w:fill="auto"/>
        <w:spacing w:after="240" w:line="298" w:lineRule="auto"/>
        <w:jc w:val="center"/>
      </w:pPr>
      <w:r>
        <w:rPr>
          <w:b/>
          <w:bCs/>
          <w:u w:val="single"/>
        </w:rPr>
        <w:t>Druhy pojištění, předměty pojištění, pojistné částky a spoluúčasti</w:t>
      </w:r>
    </w:p>
    <w:p w:rsidR="00E0201C" w:rsidRDefault="00716339">
      <w:pPr>
        <w:pStyle w:val="Style27"/>
        <w:keepNext/>
        <w:keepLines/>
        <w:shd w:val="clear" w:color="auto" w:fill="auto"/>
        <w:spacing w:after="100" w:line="298" w:lineRule="auto"/>
        <w:ind w:left="0" w:firstLine="0"/>
      </w:pPr>
      <w:bookmarkStart w:id="22" w:name="bookmark19"/>
      <w:bookmarkStart w:id="23" w:name="bookmark20"/>
      <w:bookmarkStart w:id="24" w:name="bookmark21"/>
      <w:r>
        <w:t xml:space="preserve">1. </w:t>
      </w:r>
      <w:r>
        <w:rPr>
          <w:u w:val="single"/>
        </w:rPr>
        <w:t>ŽIVELNÍ POJIŠTĚNÍ</w:t>
      </w:r>
      <w:bookmarkEnd w:id="22"/>
      <w:bookmarkEnd w:id="23"/>
      <w:bookmarkEnd w:id="24"/>
    </w:p>
    <w:p w:rsidR="00E0201C" w:rsidRDefault="00716339">
      <w:pPr>
        <w:pStyle w:val="Style7"/>
        <w:shd w:val="clear" w:color="auto" w:fill="auto"/>
        <w:spacing w:after="240"/>
      </w:pPr>
      <w:r>
        <w:t xml:space="preserve">Živelní pojištění je upraveno VPP pro pojištění majetku VPPM 1/07 (dále jen VPPM 1/07) </w:t>
      </w:r>
      <w:r>
        <w:rPr>
          <w:lang w:val="en-US" w:eastAsia="en-US" w:bidi="en-US"/>
        </w:rPr>
        <w:t xml:space="preserve">a DPP </w:t>
      </w:r>
      <w:r>
        <w:t xml:space="preserve">pro případ </w:t>
      </w:r>
      <w:r>
        <w:t>poškození nebo zničení věci živelní událostí DPPŽU3 MP 1/07 (dále jen DPPŽU3 MP 1/07).</w:t>
      </w:r>
    </w:p>
    <w:p w:rsidR="00E0201C" w:rsidRDefault="00716339">
      <w:pPr>
        <w:pStyle w:val="Style7"/>
        <w:shd w:val="clear" w:color="auto" w:fill="auto"/>
        <w:spacing w:after="60" w:line="300" w:lineRule="auto"/>
        <w:ind w:left="2720" w:hanging="2720"/>
      </w:pPr>
      <w:r>
        <w:t xml:space="preserve">Pojištění se sjednává v rozsahu: </w:t>
      </w:r>
      <w:proofErr w:type="spellStart"/>
      <w:r>
        <w:rPr>
          <w:b/>
          <w:bCs/>
          <w:lang w:val="de-DE" w:eastAsia="de-DE" w:bidi="de-DE"/>
        </w:rPr>
        <w:t>Flexa</w:t>
      </w:r>
      <w:proofErr w:type="spellEnd"/>
      <w:r>
        <w:rPr>
          <w:b/>
          <w:bCs/>
          <w:lang w:val="de-DE" w:eastAsia="de-DE" w:bidi="de-DE"/>
        </w:rPr>
        <w:t xml:space="preserve"> </w:t>
      </w:r>
      <w:r>
        <w:rPr>
          <w:b/>
          <w:bCs/>
        </w:rPr>
        <w:t>(tj. požár, výbuch, úder blesku, pád letadla nebo sportovního létajícího zařízení nebo jeho části)</w:t>
      </w:r>
    </w:p>
    <w:p w:rsidR="00E0201C" w:rsidRDefault="00716339">
      <w:pPr>
        <w:pStyle w:val="Style7"/>
        <w:shd w:val="clear" w:color="auto" w:fill="auto"/>
        <w:spacing w:after="60" w:line="298" w:lineRule="auto"/>
        <w:ind w:left="2720"/>
      </w:pPr>
      <w:r>
        <w:rPr>
          <w:b/>
          <w:bCs/>
        </w:rPr>
        <w:t>Sesuv půdy, zřícení skal nebo z</w:t>
      </w:r>
      <w:r>
        <w:rPr>
          <w:b/>
          <w:bCs/>
        </w:rPr>
        <w:t>emin</w:t>
      </w:r>
    </w:p>
    <w:p w:rsidR="00E0201C" w:rsidRDefault="00716339">
      <w:pPr>
        <w:pStyle w:val="Style7"/>
        <w:shd w:val="clear" w:color="auto" w:fill="auto"/>
        <w:spacing w:after="100" w:line="298" w:lineRule="auto"/>
        <w:ind w:left="2720"/>
      </w:pPr>
      <w:r>
        <w:rPr>
          <w:b/>
          <w:bCs/>
        </w:rPr>
        <w:t>Zemětřesení</w:t>
      </w:r>
    </w:p>
    <w:p w:rsidR="00E0201C" w:rsidRDefault="00716339">
      <w:pPr>
        <w:pStyle w:val="Style7"/>
        <w:shd w:val="clear" w:color="auto" w:fill="auto"/>
        <w:spacing w:after="0" w:line="298" w:lineRule="auto"/>
        <w:ind w:left="2720"/>
      </w:pPr>
      <w:r>
        <w:rPr>
          <w:b/>
          <w:bCs/>
        </w:rPr>
        <w:t>Povodeň a záplava v příčinné souvislosti s povodní</w:t>
      </w:r>
    </w:p>
    <w:p w:rsidR="00E0201C" w:rsidRDefault="00716339">
      <w:pPr>
        <w:pStyle w:val="Style7"/>
        <w:shd w:val="clear" w:color="auto" w:fill="auto"/>
        <w:spacing w:after="100" w:line="298" w:lineRule="auto"/>
        <w:ind w:left="2720"/>
      </w:pPr>
      <w:r>
        <w:t>(pouze pro předměty pojištění pod bodem 1.1., 1.2.)</w:t>
      </w:r>
    </w:p>
    <w:p w:rsidR="00E0201C" w:rsidRDefault="00716339">
      <w:pPr>
        <w:pStyle w:val="Style27"/>
        <w:keepNext/>
        <w:keepLines/>
        <w:shd w:val="clear" w:color="auto" w:fill="auto"/>
        <w:spacing w:after="0" w:line="298" w:lineRule="auto"/>
        <w:ind w:left="2720" w:firstLine="0"/>
      </w:pPr>
      <w:bookmarkStart w:id="25" w:name="bookmark22"/>
      <w:bookmarkStart w:id="26" w:name="bookmark23"/>
      <w:bookmarkStart w:id="27" w:name="bookmark24"/>
      <w:r>
        <w:t>Záplava způsobená živelní událostí jinak než v příčinné souvislosti s povodní</w:t>
      </w:r>
      <w:bookmarkEnd w:id="25"/>
      <w:bookmarkEnd w:id="26"/>
      <w:bookmarkEnd w:id="27"/>
    </w:p>
    <w:p w:rsidR="00E0201C" w:rsidRDefault="00716339">
      <w:pPr>
        <w:pStyle w:val="Style7"/>
        <w:shd w:val="clear" w:color="auto" w:fill="auto"/>
        <w:spacing w:after="240" w:line="298" w:lineRule="auto"/>
        <w:ind w:left="2720"/>
      </w:pPr>
      <w:r>
        <w:t>(pouze pro předměty pojištění pod bodem 1.1., 1.2.)</w:t>
      </w:r>
    </w:p>
    <w:p w:rsidR="00E0201C" w:rsidRDefault="00716339">
      <w:pPr>
        <w:pStyle w:val="Style7"/>
        <w:shd w:val="clear" w:color="auto" w:fill="auto"/>
        <w:spacing w:after="240" w:line="300" w:lineRule="auto"/>
      </w:pPr>
      <w:r>
        <w:t xml:space="preserve">Za </w:t>
      </w:r>
      <w:r>
        <w:t>poškození nebo zničení pojištěných věcí v přímé souvislosti s úderem blesku se považují škody vzniklé v přímé souvislosti s viditelnými destrukčními účinky blesku na budovu nebo stavbu, ve které byly v době vzniku pojistné události uloženy.</w:t>
      </w:r>
    </w:p>
    <w:p w:rsidR="00E0201C" w:rsidRDefault="00716339">
      <w:pPr>
        <w:pStyle w:val="Style7"/>
        <w:shd w:val="clear" w:color="auto" w:fill="auto"/>
        <w:spacing w:after="100" w:line="298" w:lineRule="auto"/>
      </w:pPr>
      <w:r>
        <w:t>Odchylně od čl.</w:t>
      </w:r>
      <w:r>
        <w:t xml:space="preserve"> 2 bodu 2, písmena a), </w:t>
      </w:r>
      <w:proofErr w:type="spellStart"/>
      <w:r>
        <w:t>aa</w:t>
      </w:r>
      <w:proofErr w:type="spellEnd"/>
      <w:r>
        <w:t xml:space="preserve">), </w:t>
      </w:r>
      <w:r>
        <w:rPr>
          <w:lang w:val="de-DE" w:eastAsia="de-DE" w:bidi="de-DE"/>
        </w:rPr>
        <w:t xml:space="preserve">ab) </w:t>
      </w:r>
      <w:r>
        <w:t>DPPŽU3 MP 1/07 se pojištění pro pojistná nebezpečí povodeň a záplava v příčinné souvislosti s povodní vztahuje pouze na škody, jejichž příčinou byla povodeň nebo záplava v příčinné souvislosti s povodní, pro které kulminační</w:t>
      </w:r>
      <w:r>
        <w:t xml:space="preserve"> průtok a povodňový objem vody příslušného toku odpovídal pro místa pojištění:</w:t>
      </w:r>
    </w:p>
    <w:p w:rsidR="00E0201C" w:rsidRDefault="00716339">
      <w:pPr>
        <w:pStyle w:val="Style7"/>
        <w:numPr>
          <w:ilvl w:val="0"/>
          <w:numId w:val="2"/>
        </w:numPr>
        <w:shd w:val="clear" w:color="auto" w:fill="auto"/>
        <w:tabs>
          <w:tab w:val="left" w:pos="283"/>
        </w:tabs>
        <w:spacing w:after="60" w:line="298" w:lineRule="auto"/>
      </w:pPr>
      <w:bookmarkStart w:id="28" w:name="bookmark25"/>
      <w:bookmarkEnd w:id="28"/>
      <w:r>
        <w:t xml:space="preserve">Královské Poříčí - </w:t>
      </w:r>
      <w:proofErr w:type="gramStart"/>
      <w:r>
        <w:rPr>
          <w:u w:val="single"/>
        </w:rPr>
        <w:t>100-leté</w:t>
      </w:r>
      <w:proofErr w:type="gramEnd"/>
      <w:r>
        <w:rPr>
          <w:u w:val="single"/>
        </w:rPr>
        <w:t xml:space="preserve"> a vyšší povodňové vlně</w:t>
      </w:r>
    </w:p>
    <w:p w:rsidR="00E0201C" w:rsidRDefault="00716339">
      <w:pPr>
        <w:pStyle w:val="Style7"/>
        <w:shd w:val="clear" w:color="auto" w:fill="auto"/>
        <w:tabs>
          <w:tab w:val="left" w:pos="301"/>
        </w:tabs>
        <w:spacing w:after="180" w:line="298" w:lineRule="auto"/>
      </w:pPr>
      <w:bookmarkStart w:id="29" w:name="bookmark26"/>
      <w:r>
        <w:t>j</w:t>
      </w:r>
      <w:bookmarkEnd w:id="29"/>
      <w:r>
        <w:t>)</w:t>
      </w:r>
      <w:r>
        <w:tab/>
        <w:t xml:space="preserve">Sokolov na Lobezském potoce - </w:t>
      </w:r>
      <w:proofErr w:type="gramStart"/>
      <w:r>
        <w:rPr>
          <w:u w:val="single"/>
        </w:rPr>
        <w:t>100-leté</w:t>
      </w:r>
      <w:proofErr w:type="gramEnd"/>
      <w:r>
        <w:rPr>
          <w:u w:val="single"/>
        </w:rPr>
        <w:t xml:space="preserve"> a vyšší povodňové vlně</w:t>
      </w:r>
    </w:p>
    <w:p w:rsidR="00E0201C" w:rsidRDefault="00716339">
      <w:pPr>
        <w:pStyle w:val="Style7"/>
        <w:shd w:val="clear" w:color="auto" w:fill="auto"/>
        <w:spacing w:after="200"/>
        <w:jc w:val="both"/>
      </w:pPr>
      <w:r>
        <w:rPr>
          <w:b/>
          <w:bCs/>
        </w:rPr>
        <w:t>Roční limity plnění pro jednotlivá živelní pojistná nebezpečí</w:t>
      </w:r>
      <w:r>
        <w:rPr>
          <w:b/>
          <w:bCs/>
        </w:rPr>
        <w:t xml:space="preserve"> jsou uvedeny v článku V. této pojistné smlouvy.</w:t>
      </w:r>
    </w:p>
    <w:p w:rsidR="00E0201C" w:rsidRDefault="00716339">
      <w:pPr>
        <w:pStyle w:val="Style7"/>
        <w:shd w:val="clear" w:color="auto" w:fill="auto"/>
        <w:spacing w:after="200"/>
        <w:jc w:val="both"/>
      </w:pPr>
      <w:r>
        <w:rPr>
          <w:b/>
          <w:bCs/>
        </w:rPr>
        <w:t>Pojištěna jsou díla nebo jeho celkové rekonstrukce na maximálně 10 let.</w:t>
      </w:r>
    </w:p>
    <w:p w:rsidR="00E0201C" w:rsidRDefault="00716339">
      <w:pPr>
        <w:pStyle w:val="Style7"/>
        <w:shd w:val="clear" w:color="auto" w:fill="auto"/>
        <w:spacing w:after="200" w:line="288" w:lineRule="auto"/>
        <w:jc w:val="both"/>
      </w:pPr>
      <w:r>
        <w:t xml:space="preserve">Pojištění pro pojistné nebezpečí </w:t>
      </w:r>
      <w:proofErr w:type="spellStart"/>
      <w:r>
        <w:rPr>
          <w:b/>
          <w:bCs/>
        </w:rPr>
        <w:t>flexa</w:t>
      </w:r>
      <w:proofErr w:type="spellEnd"/>
      <w:r>
        <w:rPr>
          <w:b/>
          <w:bCs/>
        </w:rPr>
        <w:t xml:space="preserve"> </w:t>
      </w:r>
      <w:r>
        <w:t xml:space="preserve">se sjednává se spoluúčastí z pojistného plnění pro každou pojistnou událost ve výši </w:t>
      </w:r>
      <w:r>
        <w:rPr>
          <w:b/>
          <w:bCs/>
        </w:rPr>
        <w:t xml:space="preserve">1.000.000,- </w:t>
      </w:r>
      <w:r>
        <w:rPr>
          <w:b/>
          <w:bCs/>
        </w:rPr>
        <w:t>Kč.</w:t>
      </w:r>
    </w:p>
    <w:p w:rsidR="00E0201C" w:rsidRDefault="00716339">
      <w:pPr>
        <w:pStyle w:val="Style7"/>
        <w:shd w:val="clear" w:color="auto" w:fill="auto"/>
        <w:spacing w:after="200" w:line="298" w:lineRule="auto"/>
        <w:jc w:val="both"/>
      </w:pPr>
      <w:r>
        <w:lastRenderedPageBreak/>
        <w:t xml:space="preserve">Pojištění pro pojistné nebezpečí </w:t>
      </w:r>
      <w:r>
        <w:rPr>
          <w:b/>
          <w:bCs/>
        </w:rPr>
        <w:t xml:space="preserve">povodeň, záplava v příčinné souvislosti s povodní a záplava způsobená živelní událostí </w:t>
      </w:r>
      <w:proofErr w:type="gramStart"/>
      <w:r>
        <w:rPr>
          <w:b/>
          <w:bCs/>
        </w:rPr>
        <w:t>jinak</w:t>
      </w:r>
      <w:proofErr w:type="gramEnd"/>
      <w:r>
        <w:rPr>
          <w:b/>
          <w:bCs/>
        </w:rPr>
        <w:t xml:space="preserve"> než v příčinné souvislosti s povodní </w:t>
      </w:r>
      <w:r>
        <w:t xml:space="preserve">se sjednává se spoluúčastí z pojistného plnění pro každou pojistnou událost ve výši </w:t>
      </w:r>
      <w:r>
        <w:rPr>
          <w:b/>
          <w:bCs/>
        </w:rPr>
        <w:t>1.000</w:t>
      </w:r>
      <w:r>
        <w:rPr>
          <w:b/>
          <w:bCs/>
        </w:rPr>
        <w:t>.000,- Kč.</w:t>
      </w:r>
    </w:p>
    <w:p w:rsidR="00E0201C" w:rsidRDefault="00716339">
      <w:pPr>
        <w:pStyle w:val="Style7"/>
        <w:shd w:val="clear" w:color="auto" w:fill="auto"/>
        <w:spacing w:after="200"/>
      </w:pPr>
      <w:r>
        <w:t xml:space="preserve">Pojištění pro pojistné nebezpečí </w:t>
      </w:r>
      <w:r>
        <w:rPr>
          <w:b/>
          <w:bCs/>
        </w:rPr>
        <w:t xml:space="preserve">zemětřesení </w:t>
      </w:r>
      <w:r>
        <w:t xml:space="preserve">se sjednává se spoluúčastí z pojistného plnění pro každou pojistnou událost ve výši </w:t>
      </w:r>
      <w:r>
        <w:rPr>
          <w:b/>
          <w:bCs/>
        </w:rPr>
        <w:t>1.000.000,- Kč.</w:t>
      </w:r>
    </w:p>
    <w:p w:rsidR="00E0201C" w:rsidRDefault="00716339">
      <w:pPr>
        <w:pStyle w:val="Style7"/>
        <w:shd w:val="clear" w:color="auto" w:fill="auto"/>
        <w:spacing w:after="480"/>
      </w:pPr>
      <w:r>
        <w:t xml:space="preserve">Pojištění pro pojistná nebezpečí </w:t>
      </w:r>
      <w:r>
        <w:rPr>
          <w:b/>
          <w:bCs/>
        </w:rPr>
        <w:t xml:space="preserve">sesuv půdy a zřícení skal nebo zemin </w:t>
      </w:r>
      <w:r>
        <w:t>se sjednává se spoluúčastí z p</w:t>
      </w:r>
      <w:r>
        <w:t xml:space="preserve">ojistného plnění pro každou pojistnou událost ve výši </w:t>
      </w:r>
      <w:r>
        <w:rPr>
          <w:b/>
          <w:bCs/>
        </w:rPr>
        <w:t>1.000.000,- Kč.</w:t>
      </w:r>
    </w:p>
    <w:p w:rsidR="00E0201C" w:rsidRDefault="00716339">
      <w:pPr>
        <w:pStyle w:val="Style7"/>
        <w:numPr>
          <w:ilvl w:val="0"/>
          <w:numId w:val="3"/>
        </w:numPr>
        <w:shd w:val="clear" w:color="auto" w:fill="auto"/>
        <w:tabs>
          <w:tab w:val="left" w:pos="546"/>
        </w:tabs>
        <w:jc w:val="both"/>
      </w:pPr>
      <w:bookmarkStart w:id="30" w:name="bookmark27"/>
      <w:bookmarkEnd w:id="30"/>
      <w:r>
        <w:t xml:space="preserve">Sjednává se pojištění vlastní nebo cizí </w:t>
      </w:r>
      <w:proofErr w:type="gramStart"/>
      <w:r>
        <w:t xml:space="preserve">stavby - </w:t>
      </w:r>
      <w:r>
        <w:rPr>
          <w:b/>
          <w:bCs/>
        </w:rPr>
        <w:t>Protipovodňová</w:t>
      </w:r>
      <w:proofErr w:type="gramEnd"/>
      <w:r>
        <w:rPr>
          <w:b/>
          <w:bCs/>
        </w:rPr>
        <w:t xml:space="preserve"> opatření obce Královské Poříčí.</w:t>
      </w:r>
    </w:p>
    <w:p w:rsidR="00E0201C" w:rsidRDefault="00716339">
      <w:pPr>
        <w:pStyle w:val="Style7"/>
        <w:shd w:val="clear" w:color="auto" w:fill="auto"/>
        <w:ind w:firstLine="520"/>
        <w:jc w:val="both"/>
      </w:pPr>
      <w:r>
        <w:rPr>
          <w:b/>
          <w:bCs/>
        </w:rPr>
        <w:t>Místo pojištění: dle čl. I bodu 7 písmene i)</w:t>
      </w:r>
    </w:p>
    <w:p w:rsidR="00E0201C" w:rsidRDefault="00716339">
      <w:pPr>
        <w:pStyle w:val="Style7"/>
        <w:shd w:val="clear" w:color="auto" w:fill="auto"/>
        <w:spacing w:after="480"/>
        <w:ind w:firstLine="520"/>
        <w:jc w:val="both"/>
      </w:pPr>
      <w:r>
        <w:rPr>
          <w:b/>
          <w:bCs/>
        </w:rPr>
        <w:t>Celková pojistná částka činí: 8.193.900,- Kč</w:t>
      </w:r>
    </w:p>
    <w:p w:rsidR="00E0201C" w:rsidRDefault="00716339">
      <w:pPr>
        <w:pStyle w:val="Style7"/>
        <w:numPr>
          <w:ilvl w:val="0"/>
          <w:numId w:val="3"/>
        </w:numPr>
        <w:shd w:val="clear" w:color="auto" w:fill="auto"/>
        <w:tabs>
          <w:tab w:val="left" w:pos="546"/>
        </w:tabs>
      </w:pPr>
      <w:bookmarkStart w:id="31" w:name="bookmark28"/>
      <w:bookmarkEnd w:id="31"/>
      <w:r>
        <w:t xml:space="preserve">Sjednává se pojištění vlastní nebo cizí </w:t>
      </w:r>
      <w:proofErr w:type="gramStart"/>
      <w:r>
        <w:t xml:space="preserve">stavby - </w:t>
      </w:r>
      <w:r>
        <w:rPr>
          <w:b/>
          <w:bCs/>
        </w:rPr>
        <w:t>Protipovodňová</w:t>
      </w:r>
      <w:proofErr w:type="gramEnd"/>
      <w:r>
        <w:rPr>
          <w:b/>
          <w:bCs/>
        </w:rPr>
        <w:t xml:space="preserve"> ochrana Sokolova na Lobezském potoce.</w:t>
      </w:r>
    </w:p>
    <w:p w:rsidR="00E0201C" w:rsidRDefault="00716339">
      <w:pPr>
        <w:pStyle w:val="Style7"/>
        <w:shd w:val="clear" w:color="auto" w:fill="auto"/>
        <w:ind w:firstLine="520"/>
        <w:jc w:val="both"/>
      </w:pPr>
      <w:r>
        <w:rPr>
          <w:b/>
          <w:bCs/>
        </w:rPr>
        <w:t>Místo pojištění: dle čl. I bodu 7 písmene j)</w:t>
      </w:r>
    </w:p>
    <w:p w:rsidR="00E0201C" w:rsidRDefault="00716339">
      <w:pPr>
        <w:pStyle w:val="Style7"/>
        <w:shd w:val="clear" w:color="auto" w:fill="auto"/>
        <w:spacing w:after="480"/>
        <w:ind w:firstLine="520"/>
        <w:jc w:val="both"/>
      </w:pPr>
      <w:r>
        <w:rPr>
          <w:b/>
          <w:bCs/>
        </w:rPr>
        <w:t>Celková pojistná částka činí: 17.110.600,- Kč</w:t>
      </w:r>
    </w:p>
    <w:p w:rsidR="00E0201C" w:rsidRDefault="00716339">
      <w:pPr>
        <w:pStyle w:val="Style7"/>
        <w:numPr>
          <w:ilvl w:val="0"/>
          <w:numId w:val="3"/>
        </w:numPr>
        <w:shd w:val="clear" w:color="auto" w:fill="auto"/>
        <w:tabs>
          <w:tab w:val="left" w:pos="546"/>
        </w:tabs>
        <w:jc w:val="both"/>
      </w:pPr>
      <w:bookmarkStart w:id="32" w:name="bookmark29"/>
      <w:bookmarkEnd w:id="32"/>
      <w:r>
        <w:t xml:space="preserve">Sjednává se pojištění vlastní nebo cizí </w:t>
      </w:r>
      <w:proofErr w:type="gramStart"/>
      <w:r>
        <w:t xml:space="preserve">stavby - </w:t>
      </w:r>
      <w:r>
        <w:rPr>
          <w:b/>
          <w:bCs/>
        </w:rPr>
        <w:t>Rekonstrukce</w:t>
      </w:r>
      <w:proofErr w:type="gramEnd"/>
      <w:r>
        <w:rPr>
          <w:b/>
          <w:bCs/>
        </w:rPr>
        <w:t xml:space="preserve"> s</w:t>
      </w:r>
      <w:r>
        <w:rPr>
          <w:b/>
          <w:bCs/>
        </w:rPr>
        <w:t>kluzu VD Chřibská.</w:t>
      </w:r>
    </w:p>
    <w:p w:rsidR="00E0201C" w:rsidRDefault="00716339">
      <w:pPr>
        <w:pStyle w:val="Style7"/>
        <w:shd w:val="clear" w:color="auto" w:fill="auto"/>
        <w:ind w:firstLine="520"/>
        <w:jc w:val="both"/>
      </w:pPr>
      <w:r>
        <w:rPr>
          <w:b/>
          <w:bCs/>
        </w:rPr>
        <w:t>Místo pojištění: dle čl. I bodu 7 písmene k)</w:t>
      </w:r>
    </w:p>
    <w:p w:rsidR="00E0201C" w:rsidRDefault="00716339">
      <w:pPr>
        <w:pStyle w:val="Style7"/>
        <w:shd w:val="clear" w:color="auto" w:fill="auto"/>
        <w:ind w:firstLine="520"/>
        <w:jc w:val="both"/>
      </w:pPr>
      <w:r>
        <w:rPr>
          <w:b/>
          <w:bCs/>
        </w:rPr>
        <w:t>Celková pojistná částka činí: 24.646.700,- Kč</w:t>
      </w:r>
    </w:p>
    <w:p w:rsidR="00E0201C" w:rsidRDefault="00716339">
      <w:pPr>
        <w:pStyle w:val="Style7"/>
        <w:shd w:val="clear" w:color="auto" w:fill="auto"/>
        <w:spacing w:after="480"/>
        <w:ind w:left="520" w:firstLine="40"/>
        <w:jc w:val="both"/>
      </w:pPr>
      <w:r>
        <w:rPr>
          <w:b/>
          <w:bCs/>
        </w:rPr>
        <w:t xml:space="preserve">Pro tuto stavbu se nesjednává riziko povodeň, záplava v příčinné souvislosti s povodní a záplava způsobená živelní událostí jinak než v příčinné </w:t>
      </w:r>
      <w:r>
        <w:rPr>
          <w:b/>
          <w:bCs/>
        </w:rPr>
        <w:t>souvislosti s povodní.</w:t>
      </w:r>
    </w:p>
    <w:p w:rsidR="00E0201C" w:rsidRDefault="00716339">
      <w:pPr>
        <w:pStyle w:val="Style7"/>
        <w:numPr>
          <w:ilvl w:val="0"/>
          <w:numId w:val="3"/>
        </w:numPr>
        <w:shd w:val="clear" w:color="auto" w:fill="auto"/>
        <w:tabs>
          <w:tab w:val="left" w:pos="546"/>
        </w:tabs>
      </w:pPr>
      <w:bookmarkStart w:id="33" w:name="bookmark30"/>
      <w:bookmarkEnd w:id="33"/>
      <w:r>
        <w:t xml:space="preserve">Sjednává se pojištění vlastní nebo cizí </w:t>
      </w:r>
      <w:proofErr w:type="gramStart"/>
      <w:r>
        <w:t xml:space="preserve">stavby - </w:t>
      </w:r>
      <w:r>
        <w:rPr>
          <w:b/>
          <w:bCs/>
        </w:rPr>
        <w:t>Protipovodňová</w:t>
      </w:r>
      <w:proofErr w:type="gramEnd"/>
      <w:r>
        <w:rPr>
          <w:b/>
          <w:bCs/>
        </w:rPr>
        <w:t xml:space="preserve"> opatření města Bohušovice nad Ohří.</w:t>
      </w:r>
    </w:p>
    <w:p w:rsidR="00E0201C" w:rsidRDefault="00716339">
      <w:pPr>
        <w:pStyle w:val="Style7"/>
        <w:shd w:val="clear" w:color="auto" w:fill="auto"/>
        <w:ind w:firstLine="520"/>
        <w:jc w:val="both"/>
      </w:pPr>
      <w:r>
        <w:rPr>
          <w:b/>
          <w:bCs/>
        </w:rPr>
        <w:t>Místo pojištění: dle čl. I bodu 7 písmene I)</w:t>
      </w:r>
    </w:p>
    <w:p w:rsidR="00E0201C" w:rsidRDefault="00716339">
      <w:pPr>
        <w:pStyle w:val="Style7"/>
        <w:shd w:val="clear" w:color="auto" w:fill="auto"/>
        <w:ind w:firstLine="520"/>
        <w:jc w:val="both"/>
      </w:pPr>
      <w:r>
        <w:rPr>
          <w:b/>
          <w:bCs/>
        </w:rPr>
        <w:t>Celková pojistná částka činí: 81.359.294,- Kč</w:t>
      </w:r>
    </w:p>
    <w:p w:rsidR="00E0201C" w:rsidRDefault="00716339">
      <w:pPr>
        <w:pStyle w:val="Style7"/>
        <w:shd w:val="clear" w:color="auto" w:fill="auto"/>
        <w:spacing w:after="480"/>
        <w:ind w:left="520" w:firstLine="40"/>
        <w:jc w:val="both"/>
      </w:pPr>
      <w:r>
        <w:rPr>
          <w:b/>
          <w:bCs/>
        </w:rPr>
        <w:t xml:space="preserve">Pro tuto stavbu se nesjednává riziko </w:t>
      </w:r>
      <w:r>
        <w:rPr>
          <w:b/>
          <w:bCs/>
        </w:rPr>
        <w:t>povodeň, záplava v příčinné souvislosti s povodní a záplava způsobená živelní událostí jinak než v příčinné souvislosti s povodní.</w:t>
      </w:r>
    </w:p>
    <w:p w:rsidR="00E0201C" w:rsidRDefault="00716339">
      <w:pPr>
        <w:pStyle w:val="Style7"/>
        <w:numPr>
          <w:ilvl w:val="0"/>
          <w:numId w:val="3"/>
        </w:numPr>
        <w:shd w:val="clear" w:color="auto" w:fill="auto"/>
        <w:tabs>
          <w:tab w:val="left" w:pos="546"/>
        </w:tabs>
        <w:jc w:val="both"/>
      </w:pPr>
      <w:bookmarkStart w:id="34" w:name="bookmark31"/>
      <w:bookmarkEnd w:id="34"/>
      <w:r>
        <w:t xml:space="preserve">Sjednává se pojištění vlastní nebo cizí </w:t>
      </w:r>
      <w:proofErr w:type="gramStart"/>
      <w:r>
        <w:t xml:space="preserve">stavby - </w:t>
      </w:r>
      <w:r>
        <w:rPr>
          <w:b/>
          <w:bCs/>
        </w:rPr>
        <w:t>Protipovodňová</w:t>
      </w:r>
      <w:proofErr w:type="gramEnd"/>
      <w:r>
        <w:rPr>
          <w:b/>
          <w:bCs/>
        </w:rPr>
        <w:t xml:space="preserve"> opatření města Terezín.</w:t>
      </w:r>
    </w:p>
    <w:p w:rsidR="00E0201C" w:rsidRDefault="00716339">
      <w:pPr>
        <w:pStyle w:val="Style7"/>
        <w:shd w:val="clear" w:color="auto" w:fill="auto"/>
        <w:ind w:firstLine="520"/>
        <w:jc w:val="both"/>
      </w:pPr>
      <w:r>
        <w:rPr>
          <w:b/>
          <w:bCs/>
        </w:rPr>
        <w:t>Místo pojištění: dle čl. I bodu 7 pís</w:t>
      </w:r>
      <w:r>
        <w:rPr>
          <w:b/>
          <w:bCs/>
        </w:rPr>
        <w:t>mene m)</w:t>
      </w:r>
    </w:p>
    <w:p w:rsidR="00E0201C" w:rsidRDefault="00716339">
      <w:pPr>
        <w:pStyle w:val="Style7"/>
        <w:shd w:val="clear" w:color="auto" w:fill="auto"/>
        <w:ind w:firstLine="520"/>
        <w:jc w:val="both"/>
      </w:pPr>
      <w:r>
        <w:rPr>
          <w:b/>
          <w:bCs/>
        </w:rPr>
        <w:t>Celková pojistná částka činí: 160.196.079,- Kč</w:t>
      </w:r>
    </w:p>
    <w:p w:rsidR="00E0201C" w:rsidRDefault="00716339">
      <w:pPr>
        <w:pStyle w:val="Style7"/>
        <w:shd w:val="clear" w:color="auto" w:fill="auto"/>
        <w:spacing w:after="1240"/>
        <w:ind w:left="520" w:firstLine="40"/>
        <w:jc w:val="both"/>
        <w:rPr>
          <w:b/>
          <w:bCs/>
        </w:rPr>
      </w:pPr>
      <w:r>
        <w:rPr>
          <w:b/>
          <w:bCs/>
        </w:rPr>
        <w:t>Pro tuto stavbu se nesjednává riziko povodeň, záplava v příčinné souvislosti s povodní a záplava způsobená živelní událostí jinak než v příčinné souvislosti s povodní.</w:t>
      </w:r>
    </w:p>
    <w:p w:rsidR="00BC0066" w:rsidRDefault="00BC0066">
      <w:pPr>
        <w:pStyle w:val="Style7"/>
        <w:shd w:val="clear" w:color="auto" w:fill="auto"/>
        <w:spacing w:after="1240"/>
        <w:ind w:left="520" w:firstLine="40"/>
        <w:jc w:val="both"/>
      </w:pPr>
    </w:p>
    <w:p w:rsidR="00BC0066" w:rsidRDefault="00BC0066">
      <w:pPr>
        <w:pStyle w:val="Style7"/>
        <w:shd w:val="clear" w:color="auto" w:fill="auto"/>
        <w:spacing w:after="1240"/>
        <w:ind w:left="520" w:firstLine="40"/>
        <w:jc w:val="both"/>
      </w:pPr>
    </w:p>
    <w:p w:rsidR="00E0201C" w:rsidRDefault="00E0201C">
      <w:pPr>
        <w:jc w:val="center"/>
        <w:rPr>
          <w:sz w:val="2"/>
          <w:szCs w:val="2"/>
        </w:rPr>
        <w:sectPr w:rsidR="00E0201C">
          <w:type w:val="continuous"/>
          <w:pgSz w:w="12064" w:h="16949"/>
          <w:pgMar w:top="1639" w:right="1102" w:bottom="325" w:left="906" w:header="0" w:footer="3" w:gutter="0"/>
          <w:cols w:space="720"/>
          <w:noEndnote/>
          <w:docGrid w:linePitch="360"/>
        </w:sectPr>
      </w:pPr>
    </w:p>
    <w:p w:rsidR="00E0201C" w:rsidRDefault="00BC0066" w:rsidP="00BC0066">
      <w:pPr>
        <w:pStyle w:val="Style7"/>
        <w:shd w:val="clear" w:color="auto" w:fill="auto"/>
        <w:spacing w:after="0" w:line="240" w:lineRule="auto"/>
        <w:ind w:left="520"/>
      </w:pPr>
      <w:r>
        <w:rPr>
          <w:b/>
          <w:bCs/>
          <w:u w:val="single"/>
        </w:rPr>
        <w:lastRenderedPageBreak/>
        <w:t xml:space="preserve">                                                                                                                    </w:t>
      </w:r>
      <w:r w:rsidR="00716339">
        <w:rPr>
          <w:b/>
          <w:bCs/>
          <w:u w:val="single"/>
        </w:rPr>
        <w:t xml:space="preserve">Článek </w:t>
      </w:r>
      <w:r w:rsidR="00716339">
        <w:rPr>
          <w:b/>
          <w:bCs/>
          <w:u w:val="single"/>
        </w:rPr>
        <w:t>II.</w:t>
      </w:r>
    </w:p>
    <w:p w:rsidR="00E0201C" w:rsidRDefault="00716339" w:rsidP="00BC0066">
      <w:pPr>
        <w:pStyle w:val="Style7"/>
        <w:shd w:val="clear" w:color="auto" w:fill="auto"/>
        <w:spacing w:after="400" w:line="240" w:lineRule="auto"/>
        <w:ind w:left="520"/>
        <w:jc w:val="center"/>
      </w:pPr>
      <w:r>
        <w:rPr>
          <w:b/>
          <w:bCs/>
          <w:u w:val="single"/>
        </w:rPr>
        <w:t>Pojistné dle dodatku pojistné smlouvy</w:t>
      </w:r>
    </w:p>
    <w:p w:rsidR="00E0201C" w:rsidRDefault="00716339" w:rsidP="00BC0066">
      <w:pPr>
        <w:pStyle w:val="Style7"/>
        <w:shd w:val="clear" w:color="auto" w:fill="auto"/>
        <w:spacing w:after="400" w:line="240" w:lineRule="auto"/>
        <w:ind w:left="520"/>
        <w:jc w:val="center"/>
      </w:pPr>
      <w:r>
        <w:rPr>
          <w:b/>
          <w:bCs/>
        </w:rPr>
        <w:t>S účinností od 01. 07. 2022 dochází k rekapitulaci článku IV. pojistné smlouvy následovně:</w:t>
      </w:r>
    </w:p>
    <w:p w:rsidR="00E0201C" w:rsidRDefault="00716339" w:rsidP="00BC0066">
      <w:pPr>
        <w:pStyle w:val="Style7"/>
        <w:shd w:val="clear" w:color="auto" w:fill="auto"/>
        <w:spacing w:after="0" w:line="240" w:lineRule="auto"/>
        <w:ind w:left="520"/>
        <w:jc w:val="center"/>
      </w:pPr>
      <w:r>
        <w:rPr>
          <w:b/>
          <w:bCs/>
        </w:rPr>
        <w:t>Článek VI.</w:t>
      </w:r>
    </w:p>
    <w:p w:rsidR="00E0201C" w:rsidRDefault="00716339" w:rsidP="00BC0066">
      <w:pPr>
        <w:pStyle w:val="Style7"/>
        <w:shd w:val="clear" w:color="auto" w:fill="auto"/>
        <w:spacing w:after="240" w:line="240" w:lineRule="auto"/>
        <w:ind w:left="520"/>
        <w:jc w:val="center"/>
      </w:pPr>
      <w:r>
        <w:rPr>
          <w:b/>
          <w:bCs/>
          <w:u w:val="single"/>
        </w:rPr>
        <w:t>Výše a způsob placení pojistného</w:t>
      </w:r>
    </w:p>
    <w:p w:rsidR="00E0201C" w:rsidRDefault="00716339" w:rsidP="00BC0066">
      <w:pPr>
        <w:pStyle w:val="Style7"/>
        <w:shd w:val="clear" w:color="auto" w:fill="auto"/>
        <w:spacing w:after="100" w:line="298" w:lineRule="auto"/>
        <w:ind w:left="520"/>
        <w:jc w:val="both"/>
      </w:pPr>
      <w:r>
        <w:t>1. Roční pojistné činí:</w:t>
      </w:r>
    </w:p>
    <w:p w:rsidR="00E0201C" w:rsidRDefault="00716339" w:rsidP="00BC0066">
      <w:pPr>
        <w:pStyle w:val="Style7"/>
        <w:shd w:val="clear" w:color="auto" w:fill="auto"/>
        <w:spacing w:after="0" w:line="298" w:lineRule="auto"/>
        <w:ind w:left="520" w:firstLine="160"/>
        <w:jc w:val="both"/>
      </w:pPr>
      <w:r>
        <w:rPr>
          <w:b/>
          <w:bCs/>
        </w:rPr>
        <w:t>1. Živelní pojištění</w:t>
      </w:r>
    </w:p>
    <w:p w:rsidR="00BC0066" w:rsidRDefault="00716339" w:rsidP="00BC0066">
      <w:pPr>
        <w:pStyle w:val="Style7"/>
        <w:shd w:val="clear" w:color="auto" w:fill="auto"/>
        <w:tabs>
          <w:tab w:val="left" w:leader="dot" w:pos="8819"/>
        </w:tabs>
        <w:spacing w:after="0" w:line="298" w:lineRule="auto"/>
        <w:ind w:left="940" w:firstLine="20"/>
        <w:jc w:val="both"/>
      </w:pPr>
      <w:proofErr w:type="spellStart"/>
      <w:r>
        <w:rPr>
          <w:lang w:val="de-DE" w:eastAsia="de-DE" w:bidi="de-DE"/>
        </w:rPr>
        <w:t>Flexa</w:t>
      </w:r>
      <w:proofErr w:type="spellEnd"/>
      <w:r>
        <w:rPr>
          <w:lang w:val="de-DE" w:eastAsia="de-DE" w:bidi="de-DE"/>
        </w:rPr>
        <w:t xml:space="preserve"> </w:t>
      </w:r>
      <w:r>
        <w:tab/>
        <w:t>55.612,-Kč.</w:t>
      </w:r>
    </w:p>
    <w:p w:rsidR="00BC0066" w:rsidRDefault="00716339" w:rsidP="00BC0066">
      <w:pPr>
        <w:pStyle w:val="Style7"/>
        <w:shd w:val="clear" w:color="auto" w:fill="auto"/>
        <w:tabs>
          <w:tab w:val="left" w:leader="dot" w:pos="8819"/>
        </w:tabs>
        <w:spacing w:after="0" w:line="298" w:lineRule="auto"/>
        <w:ind w:left="940" w:firstLine="20"/>
        <w:jc w:val="both"/>
      </w:pPr>
      <w:r>
        <w:t>Zemětřesení</w:t>
      </w:r>
      <w:r>
        <w:tab/>
      </w:r>
      <w:r>
        <w:t xml:space="preserve">13.897,- Kč. </w:t>
      </w:r>
    </w:p>
    <w:p w:rsidR="00BC0066" w:rsidRDefault="00716339" w:rsidP="00BC0066">
      <w:pPr>
        <w:pStyle w:val="Style7"/>
        <w:shd w:val="clear" w:color="auto" w:fill="auto"/>
        <w:tabs>
          <w:tab w:val="left" w:leader="dot" w:pos="8819"/>
        </w:tabs>
        <w:spacing w:after="0" w:line="298" w:lineRule="auto"/>
        <w:ind w:left="940" w:firstLine="20"/>
        <w:jc w:val="both"/>
      </w:pPr>
      <w:r>
        <w:t>Sesuv půdy, zřícení skal a zemin</w:t>
      </w:r>
      <w:r>
        <w:tab/>
        <w:t xml:space="preserve">41.712,- Kč. </w:t>
      </w:r>
    </w:p>
    <w:p w:rsidR="00E0201C" w:rsidRDefault="00716339" w:rsidP="00BC0066">
      <w:pPr>
        <w:pStyle w:val="Style7"/>
        <w:shd w:val="clear" w:color="auto" w:fill="auto"/>
        <w:tabs>
          <w:tab w:val="left" w:leader="dot" w:pos="8819"/>
        </w:tabs>
        <w:spacing w:after="0" w:line="298" w:lineRule="auto"/>
        <w:ind w:left="940" w:firstLine="20"/>
        <w:jc w:val="both"/>
      </w:pPr>
      <w:r>
        <w:t>Povodeň, záplava v příčinné souvislosti s povodní a záplava způsobená živelní událostí</w:t>
      </w:r>
    </w:p>
    <w:p w:rsidR="00E0201C" w:rsidRDefault="00716339" w:rsidP="00BC0066">
      <w:pPr>
        <w:pStyle w:val="Style7"/>
        <w:shd w:val="clear" w:color="auto" w:fill="auto"/>
        <w:tabs>
          <w:tab w:val="left" w:leader="dot" w:pos="8749"/>
        </w:tabs>
        <w:spacing w:after="100" w:line="298" w:lineRule="auto"/>
        <w:ind w:left="940" w:firstLine="20"/>
        <w:jc w:val="both"/>
      </w:pPr>
      <w:r>
        <w:t>jinak než v příčinné souvislosti s povodní</w:t>
      </w:r>
      <w:r>
        <w:tab/>
        <w:t>151.827,- Kč.</w:t>
      </w:r>
    </w:p>
    <w:p w:rsidR="00E0201C" w:rsidRDefault="00716339" w:rsidP="00BC0066">
      <w:pPr>
        <w:pStyle w:val="Style7"/>
        <w:shd w:val="clear" w:color="auto" w:fill="auto"/>
        <w:tabs>
          <w:tab w:val="left" w:leader="dot" w:pos="8712"/>
        </w:tabs>
        <w:spacing w:after="240" w:line="298" w:lineRule="auto"/>
        <w:ind w:left="520"/>
        <w:jc w:val="both"/>
      </w:pPr>
      <w:r>
        <w:rPr>
          <w:b/>
          <w:bCs/>
        </w:rPr>
        <w:t>Celkové roční pojistné činí</w:t>
      </w:r>
      <w:r>
        <w:rPr>
          <w:b/>
          <w:bCs/>
        </w:rPr>
        <w:tab/>
        <w:t>263.048,- Kč.</w:t>
      </w:r>
    </w:p>
    <w:p w:rsidR="00E0201C" w:rsidRDefault="00716339" w:rsidP="00BC0066">
      <w:pPr>
        <w:pStyle w:val="Style7"/>
        <w:shd w:val="clear" w:color="auto" w:fill="auto"/>
        <w:tabs>
          <w:tab w:val="left" w:leader="dot" w:pos="8694"/>
        </w:tabs>
        <w:spacing w:after="240" w:line="300" w:lineRule="auto"/>
        <w:ind w:left="2380" w:hanging="1860"/>
        <w:jc w:val="both"/>
      </w:pPr>
      <w:r>
        <w:rPr>
          <w:b/>
          <w:bCs/>
        </w:rPr>
        <w:t xml:space="preserve">Zapůjčená bonifikace </w:t>
      </w:r>
      <w:r>
        <w:t>(riziko povodeň, záplava v příčinné souvislosti s povodní a záplava způsobená živelní událostí jinak než v příčinné souvislosti s povodní) činí</w:t>
      </w:r>
      <w:r>
        <w:tab/>
        <w:t>101.218,- Kč.</w:t>
      </w:r>
    </w:p>
    <w:p w:rsidR="00E0201C" w:rsidRDefault="00716339" w:rsidP="00BC0066">
      <w:pPr>
        <w:pStyle w:val="Style7"/>
        <w:shd w:val="clear" w:color="auto" w:fill="auto"/>
        <w:tabs>
          <w:tab w:val="left" w:leader="dot" w:pos="8712"/>
        </w:tabs>
        <w:spacing w:after="240" w:line="298" w:lineRule="auto"/>
        <w:ind w:left="2380" w:hanging="1860"/>
        <w:jc w:val="both"/>
      </w:pPr>
      <w:r>
        <w:rPr>
          <w:b/>
          <w:bCs/>
        </w:rPr>
        <w:t>Celkové roční pojistné po slevě za poskytnutou bonifikaci činí</w:t>
      </w:r>
      <w:r>
        <w:rPr>
          <w:b/>
          <w:bCs/>
        </w:rPr>
        <w:tab/>
        <w:t>161.830,- Kč.</w:t>
      </w:r>
    </w:p>
    <w:p w:rsidR="00E0201C" w:rsidRDefault="00716339" w:rsidP="00BC0066">
      <w:pPr>
        <w:pStyle w:val="Style7"/>
        <w:numPr>
          <w:ilvl w:val="0"/>
          <w:numId w:val="4"/>
        </w:numPr>
        <w:shd w:val="clear" w:color="auto" w:fill="auto"/>
        <w:tabs>
          <w:tab w:val="left" w:pos="365"/>
        </w:tabs>
        <w:spacing w:after="0" w:line="300" w:lineRule="auto"/>
        <w:ind w:left="860" w:hanging="340"/>
        <w:jc w:val="both"/>
      </w:pPr>
      <w:bookmarkStart w:id="35" w:name="bookmark32"/>
      <w:bookmarkEnd w:id="35"/>
      <w:r>
        <w:t xml:space="preserve">Pojistitel poskytl pojistníkovi zapůjčenou </w:t>
      </w:r>
      <w:r>
        <w:rPr>
          <w:b/>
          <w:bCs/>
        </w:rPr>
        <w:t xml:space="preserve">bonifikaci ve výši </w:t>
      </w:r>
      <w:proofErr w:type="gramStart"/>
      <w:r>
        <w:rPr>
          <w:b/>
          <w:bCs/>
        </w:rPr>
        <w:t>4%</w:t>
      </w:r>
      <w:proofErr w:type="gramEnd"/>
      <w:r>
        <w:rPr>
          <w:b/>
          <w:bCs/>
        </w:rPr>
        <w:t xml:space="preserve">o ze sazby za riziko povodeň, záplava v příčinné souvislosti s povodní a záplava u jiných příčin než povodeň. </w:t>
      </w:r>
      <w:r>
        <w:t xml:space="preserve">Dosáhne-li celkové plnění z tohoto rizika výše </w:t>
      </w:r>
      <w:r>
        <w:rPr>
          <w:b/>
          <w:bCs/>
        </w:rPr>
        <w:t xml:space="preserve">10.000.000,- Kč, </w:t>
      </w:r>
      <w:r>
        <w:t>zavazuje se pojist</w:t>
      </w:r>
      <w:r>
        <w:t xml:space="preserve">ník uhradit pojistiteli dodatečné pojistné ve výši zapůjčené bonifikace (a to jak z pojistné </w:t>
      </w:r>
      <w:proofErr w:type="gramStart"/>
      <w:r>
        <w:t>smlouvy</w:t>
      </w:r>
      <w:proofErr w:type="gramEnd"/>
      <w:r>
        <w:t xml:space="preserve"> tak i všech jejích případných dodatků uzavřených během příslušného pojistného roku). Pojistitel vyhodnotí předchozí škodní průběh za uplynulý pojistný rok </w:t>
      </w:r>
      <w:r>
        <w:t>do třech měsíců po jeho ukončení. Pokud by smlouva zanikla z jakéhokoliv důvodu před koncem pojistného roku, vztahuje se toto ujednání na skutečnou dobu pojištění. Pojistné bude uhrazeno na základě faktury vystavené pojistitelem.</w:t>
      </w:r>
    </w:p>
    <w:p w:rsidR="00E0201C" w:rsidRDefault="00716339" w:rsidP="00BC0066">
      <w:pPr>
        <w:pStyle w:val="Style7"/>
        <w:shd w:val="clear" w:color="auto" w:fill="auto"/>
        <w:spacing w:after="100" w:line="300" w:lineRule="auto"/>
        <w:ind w:left="860" w:firstLine="20"/>
        <w:jc w:val="both"/>
      </w:pPr>
      <w:r>
        <w:t xml:space="preserve">Škodný průběh </w:t>
      </w:r>
      <w:r>
        <w:rPr>
          <w:lang w:val="de-DE" w:eastAsia="de-DE" w:bidi="de-DE"/>
        </w:rPr>
        <w:t>(</w:t>
      </w:r>
      <w:proofErr w:type="spellStart"/>
      <w:r>
        <w:rPr>
          <w:lang w:val="de-DE" w:eastAsia="de-DE" w:bidi="de-DE"/>
        </w:rPr>
        <w:t>Underwritin</w:t>
      </w:r>
      <w:r>
        <w:rPr>
          <w:lang w:val="de-DE" w:eastAsia="de-DE" w:bidi="de-DE"/>
        </w:rPr>
        <w:t>g</w:t>
      </w:r>
      <w:proofErr w:type="spellEnd"/>
      <w:r>
        <w:rPr>
          <w:lang w:val="de-DE" w:eastAsia="de-DE" w:bidi="de-DE"/>
        </w:rPr>
        <w:t xml:space="preserve"> </w:t>
      </w:r>
      <w:r>
        <w:rPr>
          <w:lang w:val="en-US" w:eastAsia="en-US" w:bidi="en-US"/>
        </w:rPr>
        <w:t xml:space="preserve">Year) </w:t>
      </w:r>
      <w:r>
        <w:t xml:space="preserve">je poměr mezi vyplaceným pojistným plněním (vč. rezervy na škody vzniklé, nahlášené, ale v době poskytnutí bonifikace nevyplacené) sníženým o uhrazené regresy a přijatým pojistným, přičemž vyplacené pojistné plnění i přijaté pojistné jsou </w:t>
      </w:r>
      <w:r>
        <w:t xml:space="preserve">vztahovány k roku účinnosti příslušné pojistné smlouvy. U víceletých pojistných smluv se vyplacené pojistné plnění i přijaté pojistné započítává postupně do příslušných dalších let, přičemž hranicí mezi jednotlivými roky je datum výročí účinnosti pojistné </w:t>
      </w:r>
      <w:r>
        <w:t>smlouvy. Rozhodující pro přiřazení vyplaceného plnění do jednotlivých let (upisovacích roků) je datum vzniku pojistné události.</w:t>
      </w:r>
    </w:p>
    <w:p w:rsidR="00E0201C" w:rsidRDefault="00716339" w:rsidP="00BC0066">
      <w:pPr>
        <w:pStyle w:val="Style7"/>
        <w:numPr>
          <w:ilvl w:val="0"/>
          <w:numId w:val="4"/>
        </w:numPr>
        <w:shd w:val="clear" w:color="auto" w:fill="auto"/>
        <w:tabs>
          <w:tab w:val="left" w:pos="365"/>
        </w:tabs>
        <w:spacing w:after="100"/>
        <w:ind w:left="860" w:hanging="340"/>
        <w:jc w:val="both"/>
      </w:pPr>
      <w:bookmarkStart w:id="36" w:name="bookmark33"/>
      <w:bookmarkEnd w:id="36"/>
      <w:r>
        <w:t>Pojistné se považuje za zaplacené okamžikem připsání příslušné částky pojistného na účet pojišťovacího makléře, je-li placena pr</w:t>
      </w:r>
      <w:r>
        <w:t>ostřednictvím peněžního ústavu.</w:t>
      </w:r>
    </w:p>
    <w:p w:rsidR="00E0201C" w:rsidRDefault="00716339" w:rsidP="00BC0066">
      <w:pPr>
        <w:pStyle w:val="Style7"/>
        <w:numPr>
          <w:ilvl w:val="0"/>
          <w:numId w:val="4"/>
        </w:numPr>
        <w:shd w:val="clear" w:color="auto" w:fill="auto"/>
        <w:tabs>
          <w:tab w:val="left" w:pos="365"/>
        </w:tabs>
        <w:spacing w:after="0" w:line="300" w:lineRule="auto"/>
        <w:ind w:left="520"/>
        <w:jc w:val="both"/>
      </w:pPr>
      <w:bookmarkStart w:id="37" w:name="bookmark34"/>
      <w:bookmarkEnd w:id="37"/>
      <w:r>
        <w:t>Způsob zaplacení pojistného:</w:t>
      </w:r>
    </w:p>
    <w:p w:rsidR="00E0201C" w:rsidRDefault="00716339" w:rsidP="00BC0066">
      <w:pPr>
        <w:pStyle w:val="Style7"/>
        <w:shd w:val="clear" w:color="auto" w:fill="auto"/>
        <w:spacing w:after="0" w:line="300" w:lineRule="auto"/>
        <w:ind w:left="860" w:firstLine="20"/>
        <w:jc w:val="both"/>
      </w:pPr>
      <w:r>
        <w:t xml:space="preserve">Pojistné je pojistným běžným a bude placeno </w:t>
      </w:r>
      <w:r>
        <w:rPr>
          <w:b/>
          <w:bCs/>
        </w:rPr>
        <w:t xml:space="preserve">za pololetní pojistná období </w:t>
      </w:r>
      <w:r>
        <w:t>k datu a v částkách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9"/>
        <w:gridCol w:w="1634"/>
      </w:tblGrid>
      <w:tr w:rsidR="00E0201C" w:rsidTr="00BC006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01C" w:rsidRDefault="00716339">
            <w:pPr>
              <w:pStyle w:val="Style33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Datum: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201C" w:rsidRDefault="00716339">
            <w:pPr>
              <w:pStyle w:val="Style33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Částka:</w:t>
            </w:r>
          </w:p>
        </w:tc>
      </w:tr>
      <w:tr w:rsidR="00E0201C" w:rsidTr="00BC006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01C" w:rsidRDefault="00716339">
            <w:pPr>
              <w:pStyle w:val="Style33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01. 07. 2022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201C" w:rsidRDefault="00716339">
            <w:pPr>
              <w:pStyle w:val="Style33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80.915,- Kč</w:t>
            </w:r>
          </w:p>
        </w:tc>
      </w:tr>
      <w:tr w:rsidR="00E0201C" w:rsidTr="00BC0066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201C" w:rsidRDefault="00716339">
            <w:pPr>
              <w:pStyle w:val="Style33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01. 01. 2023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201C" w:rsidRDefault="00716339">
            <w:pPr>
              <w:pStyle w:val="Style33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80.915,- Kč</w:t>
            </w:r>
          </w:p>
        </w:tc>
      </w:tr>
    </w:tbl>
    <w:p w:rsidR="00E0201C" w:rsidRDefault="00E0201C" w:rsidP="00BC0066">
      <w:pPr>
        <w:spacing w:after="159" w:line="1" w:lineRule="exact"/>
        <w:ind w:left="520"/>
      </w:pPr>
    </w:p>
    <w:p w:rsidR="00E0201C" w:rsidRDefault="00716339" w:rsidP="00BC0066">
      <w:pPr>
        <w:pStyle w:val="Style7"/>
        <w:shd w:val="clear" w:color="auto" w:fill="auto"/>
        <w:spacing w:after="100" w:line="305" w:lineRule="auto"/>
        <w:ind w:left="860" w:firstLine="20"/>
        <w:jc w:val="both"/>
      </w:pPr>
      <w:r>
        <w:t xml:space="preserve">V následujících pojistných letech bude pojistné placeno za pololetní pojistná období vždy </w:t>
      </w:r>
      <w:r>
        <w:rPr>
          <w:b/>
          <w:bCs/>
        </w:rPr>
        <w:t>k datu 1.7. a 1.1. kalendářního roku.</w:t>
      </w:r>
    </w:p>
    <w:p w:rsidR="00E0201C" w:rsidRDefault="00716339" w:rsidP="00BC0066">
      <w:pPr>
        <w:pStyle w:val="Style7"/>
        <w:numPr>
          <w:ilvl w:val="0"/>
          <w:numId w:val="4"/>
        </w:numPr>
        <w:shd w:val="clear" w:color="auto" w:fill="auto"/>
        <w:tabs>
          <w:tab w:val="left" w:pos="365"/>
        </w:tabs>
        <w:spacing w:after="100"/>
        <w:ind w:left="860" w:hanging="340"/>
        <w:jc w:val="both"/>
      </w:pPr>
      <w:bookmarkStart w:id="38" w:name="bookmark35"/>
      <w:bookmarkEnd w:id="38"/>
      <w:r>
        <w:t xml:space="preserve">Pojistné bude placeno prostřednictvím peněžního ústavu na účet pojišťovacího makléře č. </w:t>
      </w:r>
      <w:r>
        <w:t>pod variabilním symbolem</w:t>
      </w:r>
      <w:r>
        <w:t xml:space="preserve"> </w:t>
      </w:r>
      <w:r>
        <w:rPr>
          <w:b/>
          <w:bCs/>
        </w:rPr>
        <w:t xml:space="preserve">0013863517 </w:t>
      </w:r>
      <w:r>
        <w:t>(číslo pojistné smlouvy).</w:t>
      </w:r>
      <w:r>
        <w:br w:type="page"/>
      </w:r>
    </w:p>
    <w:p w:rsidR="00E0201C" w:rsidRDefault="00716339" w:rsidP="00BC0066">
      <w:pPr>
        <w:pStyle w:val="Style27"/>
        <w:keepNext/>
        <w:keepLines/>
        <w:shd w:val="clear" w:color="auto" w:fill="auto"/>
        <w:spacing w:after="40" w:line="300" w:lineRule="auto"/>
        <w:ind w:left="340" w:firstLine="0"/>
        <w:jc w:val="center"/>
      </w:pPr>
      <w:bookmarkStart w:id="39" w:name="bookmark38"/>
      <w:r>
        <w:rPr>
          <w:u w:val="single"/>
        </w:rPr>
        <w:lastRenderedPageBreak/>
        <w:t xml:space="preserve">Článek </w:t>
      </w:r>
      <w:r>
        <w:rPr>
          <w:u w:val="single"/>
          <w:lang w:val="en-US" w:eastAsia="en-US" w:bidi="en-US"/>
        </w:rPr>
        <w:t>III.</w:t>
      </w:r>
      <w:bookmarkEnd w:id="39"/>
    </w:p>
    <w:p w:rsidR="00E0201C" w:rsidRDefault="00716339" w:rsidP="00BC0066">
      <w:pPr>
        <w:pStyle w:val="Style27"/>
        <w:keepNext/>
        <w:keepLines/>
        <w:shd w:val="clear" w:color="auto" w:fill="auto"/>
        <w:spacing w:after="240" w:line="300" w:lineRule="auto"/>
        <w:ind w:left="340" w:firstLine="0"/>
        <w:jc w:val="center"/>
      </w:pPr>
      <w:bookmarkStart w:id="40" w:name="bookmark36"/>
      <w:bookmarkStart w:id="41" w:name="bookmark37"/>
      <w:bookmarkStart w:id="42" w:name="bookmark39"/>
      <w:r>
        <w:rPr>
          <w:u w:val="single"/>
        </w:rPr>
        <w:t>Závěrečná ustanovení dodatku pojistné smlouvy</w:t>
      </w:r>
      <w:bookmarkEnd w:id="40"/>
      <w:bookmarkEnd w:id="41"/>
      <w:bookmarkEnd w:id="42"/>
    </w:p>
    <w:p w:rsidR="00E0201C" w:rsidRDefault="00716339" w:rsidP="00BC0066">
      <w:pPr>
        <w:pStyle w:val="Style7"/>
        <w:numPr>
          <w:ilvl w:val="0"/>
          <w:numId w:val="5"/>
        </w:numPr>
        <w:shd w:val="clear" w:color="auto" w:fill="auto"/>
        <w:tabs>
          <w:tab w:val="left" w:pos="365"/>
        </w:tabs>
        <w:spacing w:line="300" w:lineRule="auto"/>
        <w:ind w:left="340"/>
      </w:pPr>
      <w:bookmarkStart w:id="43" w:name="bookmark40"/>
      <w:bookmarkEnd w:id="43"/>
      <w:r>
        <w:t xml:space="preserve">Datum počátku účinnosti tohoto dodatku pojistné smlouvy: </w:t>
      </w:r>
      <w:r>
        <w:rPr>
          <w:b/>
          <w:bCs/>
        </w:rPr>
        <w:t>01. 07. 2022</w:t>
      </w:r>
    </w:p>
    <w:p w:rsidR="00E0201C" w:rsidRDefault="00716339" w:rsidP="00BC0066">
      <w:pPr>
        <w:pStyle w:val="Style7"/>
        <w:numPr>
          <w:ilvl w:val="0"/>
          <w:numId w:val="5"/>
        </w:numPr>
        <w:shd w:val="clear" w:color="auto" w:fill="auto"/>
        <w:tabs>
          <w:tab w:val="left" w:pos="365"/>
        </w:tabs>
        <w:spacing w:line="300" w:lineRule="auto"/>
        <w:ind w:left="340"/>
      </w:pPr>
      <w:bookmarkStart w:id="44" w:name="bookmark41"/>
      <w:bookmarkEnd w:id="44"/>
      <w:r>
        <w:t xml:space="preserve">Datum konce pojištění: </w:t>
      </w:r>
      <w:r>
        <w:rPr>
          <w:b/>
          <w:bCs/>
        </w:rPr>
        <w:t>30. 06. 2023</w:t>
      </w:r>
    </w:p>
    <w:p w:rsidR="00E0201C" w:rsidRDefault="00716339" w:rsidP="00BC0066">
      <w:pPr>
        <w:pStyle w:val="Style7"/>
        <w:numPr>
          <w:ilvl w:val="0"/>
          <w:numId w:val="5"/>
        </w:numPr>
        <w:shd w:val="clear" w:color="auto" w:fill="auto"/>
        <w:tabs>
          <w:tab w:val="left" w:pos="365"/>
        </w:tabs>
        <w:spacing w:line="293" w:lineRule="auto"/>
        <w:ind w:left="700" w:hanging="360"/>
        <w:jc w:val="both"/>
      </w:pPr>
      <w:bookmarkStart w:id="45" w:name="bookmark42"/>
      <w:bookmarkEnd w:id="45"/>
      <w:r>
        <w:rPr>
          <w:b/>
          <w:bCs/>
        </w:rPr>
        <w:t xml:space="preserve">Pojištění se prodlužuje vždy na další rok, </w:t>
      </w:r>
      <w:r>
        <w:t xml:space="preserve">pokud </w:t>
      </w:r>
      <w:r>
        <w:t>pojistník nebo pojistitel nesdělí písemně druhému účastníku smlouvy, nejméně 6 týdnů před uplynutím pojistného roku, že na dalším pojištění nemá zájem.</w:t>
      </w:r>
    </w:p>
    <w:p w:rsidR="00E0201C" w:rsidRDefault="00716339" w:rsidP="00BC0066">
      <w:pPr>
        <w:pStyle w:val="Style27"/>
        <w:keepNext/>
        <w:keepLines/>
        <w:numPr>
          <w:ilvl w:val="0"/>
          <w:numId w:val="5"/>
        </w:numPr>
        <w:shd w:val="clear" w:color="auto" w:fill="auto"/>
        <w:tabs>
          <w:tab w:val="left" w:pos="365"/>
        </w:tabs>
        <w:spacing w:after="120"/>
        <w:ind w:left="700" w:hanging="360"/>
        <w:jc w:val="both"/>
      </w:pPr>
      <w:bookmarkStart w:id="46" w:name="bookmark45"/>
      <w:bookmarkStart w:id="47" w:name="bookmark43"/>
      <w:bookmarkStart w:id="48" w:name="bookmark44"/>
      <w:bookmarkStart w:id="49" w:name="bookmark46"/>
      <w:bookmarkEnd w:id="46"/>
      <w:r>
        <w:t>Ostatní ustanovení pojistné smlouvy v platném znění nedotčená obsahem tohoto dodatku se nemění a zůstáva</w:t>
      </w:r>
      <w:r>
        <w:t>jí nadále v platnosti.</w:t>
      </w:r>
      <w:bookmarkEnd w:id="47"/>
      <w:bookmarkEnd w:id="48"/>
      <w:bookmarkEnd w:id="49"/>
    </w:p>
    <w:p w:rsidR="00E0201C" w:rsidRDefault="00716339" w:rsidP="00BC0066">
      <w:pPr>
        <w:pStyle w:val="Style7"/>
        <w:numPr>
          <w:ilvl w:val="0"/>
          <w:numId w:val="5"/>
        </w:numPr>
        <w:shd w:val="clear" w:color="auto" w:fill="auto"/>
        <w:tabs>
          <w:tab w:val="left" w:pos="365"/>
        </w:tabs>
        <w:spacing w:line="300" w:lineRule="auto"/>
        <w:ind w:left="700" w:hanging="360"/>
        <w:jc w:val="both"/>
      </w:pPr>
      <w:bookmarkStart w:id="50" w:name="bookmark47"/>
      <w:bookmarkEnd w:id="50"/>
      <w:r>
        <w:t xml:space="preserve">Pro případ, že se na pojistníka při uzavírání smluv vztahuje zákon č. 340/2015 Sb. v platném znění, se smluvní strany dohodly, že pokud tato Smlouva podléhá povinnosti uveřejnění podle zákona č. 340/2015 Sb., o zvláštních podmínkách </w:t>
      </w:r>
      <w:r>
        <w:t>účinnosti některých smluv, uveřejňování těchto smluv a o registru smluv (zákon o registru smluv), je tuto Smlouvu povinen uveřejnit pojistník, a to ve lhůtě a způsobem stanoveným tímto zákonem. Pojistník je dále povinen při registraci smlouvy zadat do přís</w:t>
      </w:r>
      <w:r>
        <w:t>lušného formuláře datovou schránku 3v8dkek tak, aby mohl být pojistitel informován správcem registru smluv o zadání smlouvy do tohoto registru. Pojistník je rovněž povinen při zaslání smlouvy správci registru smluv zajistit, aby byly ze zveřejňovaného zněn</w:t>
      </w:r>
      <w:r>
        <w:t>í Smlouvy odstraněny veškeré informace, které se dle zákona č. 106/1999 Sb., o svobodném přístupu k informacím, nezveřejňují.</w:t>
      </w:r>
    </w:p>
    <w:p w:rsidR="00E0201C" w:rsidRDefault="00716339" w:rsidP="00BC0066">
      <w:pPr>
        <w:pStyle w:val="Style7"/>
        <w:shd w:val="clear" w:color="auto" w:fill="auto"/>
        <w:spacing w:line="298" w:lineRule="auto"/>
        <w:ind w:left="700" w:firstLine="20"/>
        <w:jc w:val="both"/>
      </w:pPr>
      <w:r>
        <w:t xml:space="preserve">Smluvní strany se dále dohodly, že ode dne nabytí účinnosti smlouvy jejím zveřejněním v registru se účinky pojištění, včetně práv </w:t>
      </w:r>
      <w:r>
        <w:t>a povinností z něj vyplývajících, vztahují i na období od data uvedeného jako počátek pojištění (resp. od data uvedeného jako počátek změn provedených dodatkem, jde-li o účinky dodatku) do budoucna.</w:t>
      </w:r>
    </w:p>
    <w:p w:rsidR="00E0201C" w:rsidRDefault="00716339" w:rsidP="00BC0066">
      <w:pPr>
        <w:pStyle w:val="Style7"/>
        <w:shd w:val="clear" w:color="auto" w:fill="auto"/>
        <w:spacing w:line="300" w:lineRule="auto"/>
        <w:ind w:left="700" w:firstLine="20"/>
        <w:jc w:val="both"/>
      </w:pPr>
      <w:r>
        <w:t xml:space="preserve">Dodatek nabývá platnosti dnem jejího podpisu poslední ze </w:t>
      </w:r>
      <w:r>
        <w:t>smluvních stran a účinnosti zveřejněním v Registru smluv, pokud této účinnosti dle příslušných ustanovení dodatku nenabude později.</w:t>
      </w:r>
    </w:p>
    <w:p w:rsidR="00E0201C" w:rsidRDefault="00716339" w:rsidP="00BC0066">
      <w:pPr>
        <w:pStyle w:val="Style7"/>
        <w:numPr>
          <w:ilvl w:val="0"/>
          <w:numId w:val="5"/>
        </w:numPr>
        <w:shd w:val="clear" w:color="auto" w:fill="auto"/>
        <w:tabs>
          <w:tab w:val="left" w:pos="365"/>
        </w:tabs>
        <w:ind w:left="700" w:hanging="360"/>
        <w:jc w:val="both"/>
      </w:pPr>
      <w:bookmarkStart w:id="51" w:name="bookmark48"/>
      <w:bookmarkEnd w:id="51"/>
      <w:r>
        <w:t>Tento dodatek byl vypracován ve 3 stejnopisech, pojistník obdrží 1 vyhotovení, pojišťovací makléř obdrží 1 vyhotovení a poji</w:t>
      </w:r>
      <w:r>
        <w:t>stitel si ponechá 1 vyhotovení. Tento dodatek obsahuje 5 stran a 1 přílohu.</w:t>
      </w:r>
    </w:p>
    <w:p w:rsidR="00E0201C" w:rsidRDefault="00716339" w:rsidP="00BC0066">
      <w:pPr>
        <w:pStyle w:val="Style7"/>
        <w:numPr>
          <w:ilvl w:val="0"/>
          <w:numId w:val="5"/>
        </w:numPr>
        <w:shd w:val="clear" w:color="auto" w:fill="auto"/>
        <w:tabs>
          <w:tab w:val="left" w:pos="365"/>
        </w:tabs>
        <w:spacing w:after="40" w:line="300" w:lineRule="auto"/>
        <w:ind w:left="340"/>
      </w:pPr>
      <w:bookmarkStart w:id="52" w:name="bookmark49"/>
      <w:bookmarkEnd w:id="52"/>
      <w:r>
        <w:t>Přílohy:</w:t>
      </w:r>
    </w:p>
    <w:p w:rsidR="00E0201C" w:rsidRDefault="00716339" w:rsidP="00BC0066">
      <w:pPr>
        <w:pStyle w:val="Style7"/>
        <w:numPr>
          <w:ilvl w:val="0"/>
          <w:numId w:val="6"/>
        </w:numPr>
        <w:shd w:val="clear" w:color="auto" w:fill="auto"/>
        <w:spacing w:after="780" w:line="300" w:lineRule="auto"/>
      </w:pPr>
      <w:bookmarkStart w:id="53" w:name="_GoBack"/>
      <w:bookmarkEnd w:id="53"/>
      <w:r>
        <w:t>Pověření Ing. Radka Jelínka, ekonomického ředitele</w:t>
      </w:r>
    </w:p>
    <w:p w:rsidR="00BC0066" w:rsidRDefault="00BC0066" w:rsidP="00BC0066">
      <w:pPr>
        <w:pStyle w:val="Style7"/>
        <w:shd w:val="clear" w:color="auto" w:fill="auto"/>
        <w:spacing w:after="780" w:line="300" w:lineRule="auto"/>
        <w:ind w:left="700"/>
      </w:pPr>
    </w:p>
    <w:p w:rsidR="00E0201C" w:rsidRDefault="00E0201C" w:rsidP="00BC0066">
      <w:pPr>
        <w:spacing w:line="240" w:lineRule="exact"/>
        <w:ind w:left="340"/>
        <w:rPr>
          <w:sz w:val="19"/>
          <w:szCs w:val="19"/>
        </w:rPr>
      </w:pPr>
    </w:p>
    <w:p w:rsidR="00E0201C" w:rsidRDefault="00E0201C" w:rsidP="00BC0066">
      <w:pPr>
        <w:spacing w:before="9" w:after="9" w:line="240" w:lineRule="exact"/>
        <w:ind w:left="340"/>
        <w:rPr>
          <w:sz w:val="19"/>
          <w:szCs w:val="19"/>
        </w:rPr>
      </w:pPr>
    </w:p>
    <w:sectPr w:rsidR="00E0201C" w:rsidSect="00BC0066">
      <w:type w:val="continuous"/>
      <w:pgSz w:w="12046" w:h="16934"/>
      <w:pgMar w:top="1740" w:right="0" w:bottom="77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339" w:rsidRDefault="00716339">
      <w:r>
        <w:separator/>
      </w:r>
    </w:p>
  </w:endnote>
  <w:endnote w:type="continuationSeparator" w:id="0">
    <w:p w:rsidR="00716339" w:rsidRDefault="0071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339" w:rsidRDefault="00716339"/>
  </w:footnote>
  <w:footnote w:type="continuationSeparator" w:id="0">
    <w:p w:rsidR="00716339" w:rsidRDefault="00716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01C" w:rsidRDefault="0071633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3683635</wp:posOffset>
              </wp:positionH>
              <wp:positionV relativeFrom="page">
                <wp:posOffset>629285</wp:posOffset>
              </wp:positionV>
              <wp:extent cx="3234690" cy="2628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469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201C" w:rsidRDefault="00716339">
                          <w:pPr>
                            <w:pStyle w:val="Style24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lang w:val="sk-SK" w:eastAsia="sk-SK" w:bidi="sk-SK"/>
                            </w:rPr>
                            <w:t xml:space="preserve">Česká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podnikatelská pojišťovna, a.s.,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lang w:val="de-DE" w:eastAsia="de-DE" w:bidi="de-DE"/>
                            </w:rPr>
                            <w:t xml:space="preserve">Vienna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Insurance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Group</w:t>
                          </w:r>
                        </w:p>
                        <w:p w:rsidR="00E0201C" w:rsidRDefault="00716339">
                          <w:pPr>
                            <w:pStyle w:val="Style24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D9 k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PS 0013863517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290.05pt;margin-top:49.55pt;width:254.7pt;height:20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" filled="f" stroked="f">
              <v:textbox style="mso-fit-shape-to-text:t" inset="0,0,0,0">
                <w:txbxContent>
                  <w:p w:rsidR="00E0201C" w:rsidRDefault="00716339">
                    <w:pPr>
                      <w:pStyle w:val="Style24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  <w:lang w:val="sk-SK" w:eastAsia="sk-SK" w:bidi="sk-SK"/>
                      </w:rPr>
                      <w:t xml:space="preserve">Česká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podnikatelská pojišťovna, a.s.,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  <w:lang w:val="de-DE" w:eastAsia="de-DE" w:bidi="de-DE"/>
                      </w:rPr>
                      <w:t xml:space="preserve">Vienna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Insurance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Group</w:t>
                    </w:r>
                  </w:p>
                  <w:p w:rsidR="00E0201C" w:rsidRDefault="00716339">
                    <w:pPr>
                      <w:pStyle w:val="Style24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D9 k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PS 0013863517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01C" w:rsidRDefault="0071633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3683635</wp:posOffset>
              </wp:positionH>
              <wp:positionV relativeFrom="page">
                <wp:posOffset>629285</wp:posOffset>
              </wp:positionV>
              <wp:extent cx="3234690" cy="2628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469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201C" w:rsidRDefault="00716339">
                          <w:pPr>
                            <w:pStyle w:val="Style24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lang w:val="sk-SK" w:eastAsia="sk-SK" w:bidi="sk-SK"/>
                            </w:rPr>
                            <w:t xml:space="preserve">Česká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podnikatelská pojišťovna, a.s.,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lang w:val="de-DE" w:eastAsia="de-DE" w:bidi="de-DE"/>
                            </w:rPr>
                            <w:t xml:space="preserve">Vienna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Insurance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Group</w:t>
                          </w:r>
                        </w:p>
                        <w:p w:rsidR="00E0201C" w:rsidRDefault="00716339">
                          <w:pPr>
                            <w:pStyle w:val="Style24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D9 k PS 0013863517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290.05pt;margin-top:49.55pt;width:254.7pt;height:20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" filled="f" stroked="f">
              <v:textbox style="mso-fit-shape-to-text:t" inset="0,0,0,0">
                <w:txbxContent>
                  <w:p w:rsidR="00E0201C" w:rsidRDefault="00716339">
                    <w:pPr>
                      <w:pStyle w:val="Style24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  <w:lang w:val="sk-SK" w:eastAsia="sk-SK" w:bidi="sk-SK"/>
                      </w:rPr>
                      <w:t xml:space="preserve">Česká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podnikatelská pojišťovna, a.s.,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  <w:lang w:val="de-DE" w:eastAsia="de-DE" w:bidi="de-DE"/>
                      </w:rPr>
                      <w:t xml:space="preserve">Vienna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Insurance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Group</w:t>
                    </w:r>
                  </w:p>
                  <w:p w:rsidR="00E0201C" w:rsidRDefault="00716339">
                    <w:pPr>
                      <w:pStyle w:val="Style24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D9 k PS 0013863517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01C" w:rsidRDefault="00E0201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1CCE"/>
    <w:multiLevelType w:val="multilevel"/>
    <w:tmpl w:val="9C82AF58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390B09"/>
    <w:multiLevelType w:val="multilevel"/>
    <w:tmpl w:val="039AAE8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2923F5"/>
    <w:multiLevelType w:val="multilevel"/>
    <w:tmpl w:val="5B8A2D8C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63DA9"/>
    <w:multiLevelType w:val="multilevel"/>
    <w:tmpl w:val="793456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1A5236"/>
    <w:multiLevelType w:val="multilevel"/>
    <w:tmpl w:val="6B82BBF4"/>
    <w:lvl w:ilvl="0">
      <w:start w:val="1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7678B0"/>
    <w:multiLevelType w:val="hybridMultilevel"/>
    <w:tmpl w:val="7F66CC38"/>
    <w:lvl w:ilvl="0" w:tplc="2A3239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1C"/>
    <w:rsid w:val="00283DA7"/>
    <w:rsid w:val="00716339"/>
    <w:rsid w:val="00BC0066"/>
    <w:rsid w:val="00E0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69EE"/>
  <w15:docId w15:val="{1A6507E3-E868-45A5-973A-E27D801F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/>
      <w:strike w:val="0"/>
      <w:color w:val="545968"/>
      <w:sz w:val="80"/>
      <w:szCs w:val="80"/>
      <w:u w:val="singl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color w:val="8C6370"/>
      <w:sz w:val="50"/>
      <w:szCs w:val="50"/>
      <w:u w:val="singl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Char Style 25"/>
    <w:basedOn w:val="Standardnpsmoodstavce"/>
    <w:link w:val="Style2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outlineLvl w:val="0"/>
    </w:pPr>
    <w:rPr>
      <w:rFonts w:ascii="Arial" w:eastAsia="Arial" w:hAnsi="Arial" w:cs="Arial"/>
      <w:smallCaps/>
      <w:color w:val="545968"/>
      <w:sz w:val="80"/>
      <w:szCs w:val="80"/>
      <w:u w:val="single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20" w:line="254" w:lineRule="auto"/>
    </w:pPr>
    <w:rPr>
      <w:rFonts w:ascii="Arial" w:eastAsia="Arial" w:hAnsi="Arial" w:cs="Arial"/>
      <w:sz w:val="14"/>
      <w:szCs w:val="14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120" w:line="295" w:lineRule="auto"/>
    </w:pPr>
    <w:rPr>
      <w:rFonts w:ascii="Arial" w:eastAsia="Arial" w:hAnsi="Arial" w:cs="Arial"/>
      <w:sz w:val="17"/>
      <w:szCs w:val="17"/>
    </w:rPr>
  </w:style>
  <w:style w:type="paragraph" w:customStyle="1" w:styleId="Style13">
    <w:name w:val="Style 13"/>
    <w:basedOn w:val="Normln"/>
    <w:link w:val="CharStyle14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color w:val="8C6370"/>
      <w:sz w:val="50"/>
      <w:szCs w:val="50"/>
      <w:u w:val="single"/>
    </w:rPr>
  </w:style>
  <w:style w:type="paragraph" w:customStyle="1" w:styleId="Style15">
    <w:name w:val="Style 15"/>
    <w:basedOn w:val="Normln"/>
    <w:link w:val="CharStyle16"/>
    <w:pPr>
      <w:shd w:val="clear" w:color="auto" w:fill="FFFFFF"/>
      <w:jc w:val="right"/>
    </w:pPr>
    <w:rPr>
      <w:rFonts w:ascii="Arial" w:eastAsia="Arial" w:hAnsi="Arial" w:cs="Arial"/>
      <w:sz w:val="11"/>
      <w:szCs w:val="11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380"/>
      <w:outlineLvl w:val="2"/>
    </w:pPr>
    <w:rPr>
      <w:rFonts w:ascii="Arial" w:eastAsia="Arial" w:hAnsi="Arial" w:cs="Arial"/>
      <w:sz w:val="32"/>
      <w:szCs w:val="3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69" w:lineRule="auto"/>
    </w:pPr>
    <w:rPr>
      <w:rFonts w:ascii="Arial" w:eastAsia="Arial" w:hAnsi="Arial" w:cs="Arial"/>
      <w:sz w:val="26"/>
      <w:szCs w:val="26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after="380" w:line="264" w:lineRule="auto"/>
    </w:pPr>
    <w:rPr>
      <w:rFonts w:ascii="Arial" w:eastAsia="Arial" w:hAnsi="Arial" w:cs="Arial"/>
      <w:sz w:val="22"/>
      <w:szCs w:val="22"/>
    </w:rPr>
  </w:style>
  <w:style w:type="paragraph" w:customStyle="1" w:styleId="Style24">
    <w:name w:val="Style 24"/>
    <w:basedOn w:val="Normln"/>
    <w:link w:val="CharStyle25"/>
    <w:pPr>
      <w:shd w:val="clear" w:color="auto" w:fill="FFFFFF"/>
    </w:pPr>
    <w:rPr>
      <w:sz w:val="20"/>
      <w:szCs w:val="20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after="80" w:line="295" w:lineRule="auto"/>
      <w:ind w:left="320" w:hanging="160"/>
      <w:outlineLvl w:val="3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after="120" w:line="295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info@cp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pp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h@poh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1618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Sineo25822062111380</vt:lpstr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Sineo25822062111380</dc:title>
  <dc:subject/>
  <dc:creator>Slabyhoudová Pavla</dc:creator>
  <cp:keywords/>
  <cp:lastModifiedBy>Slabyhoudová Pavla</cp:lastModifiedBy>
  <cp:revision>3</cp:revision>
  <dcterms:created xsi:type="dcterms:W3CDTF">2022-06-21T11:13:00Z</dcterms:created>
  <dcterms:modified xsi:type="dcterms:W3CDTF">2022-06-21T11:19:00Z</dcterms:modified>
</cp:coreProperties>
</file>