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2714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OSO00057 </w:t>
      </w:r>
    </w:p>
    <w:p w14:paraId="65DD339B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211BF8F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EED3A0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E397293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3CED35E3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339200D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718F83B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29BCDA0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4D04EA3A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509A88F0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53843F2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378489D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08866968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2786815E" w14:textId="6D83F641" w:rsidR="005A5801" w:rsidRPr="005A5801" w:rsidRDefault="00844085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E1DAAAB" w14:textId="119C6BA5" w:rsidR="005A5801" w:rsidRDefault="00844085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  <w:r w:rsidR="005A5801" w:rsidRPr="005A5801">
        <w:rPr>
          <w:rFonts w:ascii="Century Gothic" w:hAnsi="Century Gothic" w:cs="Arial"/>
          <w:sz w:val="22"/>
        </w:rPr>
        <w:t xml:space="preserve">, </w:t>
      </w:r>
      <w:r w:rsidR="005A5801">
        <w:rPr>
          <w:rFonts w:ascii="Century Gothic" w:hAnsi="Century Gothic" w:cs="Arial"/>
          <w:sz w:val="22"/>
        </w:rPr>
        <w:t xml:space="preserve"> </w:t>
      </w:r>
    </w:p>
    <w:p w14:paraId="032952D1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635AD698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2EE767AE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E813C40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EF14C60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A0BD2B8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29FC080" w14:textId="77777777" w:rsidR="00837524" w:rsidRPr="00E91635" w:rsidRDefault="00D179A1" w:rsidP="00837524">
      <w:pPr>
        <w:pStyle w:val="Nadpis5"/>
        <w:rPr>
          <w:color w:val="auto"/>
        </w:rPr>
      </w:pPr>
      <w:r w:rsidRPr="00E91635">
        <w:rPr>
          <w:color w:val="auto"/>
        </w:rPr>
        <w:t xml:space="preserve">SOMPO, a.s. </w:t>
      </w:r>
    </w:p>
    <w:p w14:paraId="05A8B84F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bCs/>
          <w:sz w:val="22"/>
          <w:szCs w:val="22"/>
        </w:rPr>
        <w:t>Sídlo:</w:t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="00C73BD0" w:rsidRPr="00E91635">
        <w:rPr>
          <w:rFonts w:ascii="Century Gothic" w:hAnsi="Century Gothic" w:cs="Arial"/>
          <w:bCs/>
          <w:sz w:val="22"/>
          <w:szCs w:val="22"/>
        </w:rPr>
        <w:t xml:space="preserve">Svatovítské náměstí 126, 393 01 Pelhřimov </w:t>
      </w:r>
    </w:p>
    <w:p w14:paraId="34B35EF4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IČO: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25172263 </w:t>
      </w:r>
    </w:p>
    <w:p w14:paraId="604E8F94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Plátce DPH:</w:t>
      </w:r>
      <w:r w:rsidR="00C73BD0" w:rsidRPr="00E91635">
        <w:rPr>
          <w:rFonts w:ascii="Century Gothic" w:hAnsi="Century Gothic" w:cs="Arial"/>
          <w:sz w:val="22"/>
          <w:szCs w:val="22"/>
        </w:rPr>
        <w:tab/>
        <w:t xml:space="preserve">ANO </w:t>
      </w:r>
      <w:r w:rsidRPr="00E91635">
        <w:rPr>
          <w:rFonts w:ascii="Century Gothic" w:hAnsi="Century Gothic" w:cs="Arial"/>
          <w:sz w:val="22"/>
          <w:szCs w:val="22"/>
        </w:rPr>
        <w:t xml:space="preserve"> </w:t>
      </w:r>
    </w:p>
    <w:p w14:paraId="40E711E8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DIČ: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CZ25172263 </w:t>
      </w:r>
    </w:p>
    <w:p w14:paraId="7BA6D5C2" w14:textId="77777777" w:rsidR="002B32F6" w:rsidRDefault="002B32F6" w:rsidP="002B32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Ing. Radek LAPÁČEK</w:t>
      </w:r>
      <w:r>
        <w:rPr>
          <w:rFonts w:ascii="Century Gothic" w:hAnsi="Century Gothic" w:cs="Arial"/>
          <w:sz w:val="22"/>
        </w:rPr>
        <w:t xml:space="preserve"> – ředitel společnosti</w:t>
      </w:r>
    </w:p>
    <w:p w14:paraId="4A636392" w14:textId="77777777" w:rsidR="002B32F6" w:rsidRDefault="002B32F6" w:rsidP="002B32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Provozy: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Česká spořitelna, a.s., Masarykovo náměstí 30, Pe, IČO: 45244782, IČP: </w:t>
      </w:r>
      <w:r w:rsidR="00561717">
        <w:rPr>
          <w:rFonts w:ascii="Century Gothic" w:hAnsi="Century Gothic" w:cs="Arial"/>
          <w:sz w:val="22"/>
        </w:rPr>
        <w:t>368</w:t>
      </w:r>
    </w:p>
    <w:p w14:paraId="61EFA7B0" w14:textId="77777777" w:rsidR="002B32F6" w:rsidRDefault="002B32F6" w:rsidP="002B32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Kooperativa pojišťovna, Nádražní 805, Pe, IČO: 47116617, IČP: 9</w:t>
      </w:r>
    </w:p>
    <w:p w14:paraId="4200E800" w14:textId="77777777" w:rsidR="002B32F6" w:rsidRDefault="002B32F6" w:rsidP="002B32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MAREK reklama, s.r.o., Školní 52, Pe, IČO: 03237931, IČP: 1010079573</w:t>
      </w:r>
    </w:p>
    <w:p w14:paraId="37D11268" w14:textId="77777777" w:rsidR="002B32F6" w:rsidRPr="00D71BE8" w:rsidRDefault="002B32F6" w:rsidP="002B32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ZZS Kraje Vysočina, Slovanského bratrství 710, Pe, IČO: 47366630, IČP: 47366630-3</w:t>
      </w:r>
    </w:p>
    <w:p w14:paraId="6ABBE16B" w14:textId="77777777" w:rsidR="002B32F6" w:rsidRPr="00D71BE8" w:rsidRDefault="002B32F6" w:rsidP="002B32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Svatovítské náměstí 126, 393 01 Pelhřimov</w:t>
      </w:r>
    </w:p>
    <w:p w14:paraId="44C3A435" w14:textId="1F0E6CFC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Kontaktní osoba:</w:t>
      </w:r>
      <w:r w:rsidRPr="00E91635">
        <w:rPr>
          <w:rFonts w:ascii="Century Gothic" w:hAnsi="Century Gothic" w:cs="Arial"/>
          <w:sz w:val="22"/>
        </w:rPr>
        <w:tab/>
      </w:r>
      <w:r w:rsidR="00844085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207F5308" w14:textId="6DEE0E93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Telefon: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844085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4FA12236" w14:textId="47F96D4E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E-mail: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844085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</w:p>
    <w:p w14:paraId="73AA5651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Číslo účtu: </w:t>
      </w:r>
      <w:r w:rsidR="00E91635" w:rsidRPr="00E91635">
        <w:rPr>
          <w:rFonts w:ascii="Century Gothic" w:hAnsi="Century Gothic" w:cs="Arial"/>
          <w:sz w:val="22"/>
        </w:rPr>
        <w:tab/>
      </w:r>
      <w:r w:rsidR="00E91635" w:rsidRPr="00E91635">
        <w:rPr>
          <w:rFonts w:ascii="Century Gothic" w:hAnsi="Century Gothic" w:cs="Arial"/>
          <w:sz w:val="22"/>
        </w:rPr>
        <w:tab/>
        <w:t xml:space="preserve">224835285/0300 </w:t>
      </w:r>
      <w:r w:rsidRPr="00E91635">
        <w:rPr>
          <w:rFonts w:ascii="Century Gothic" w:hAnsi="Century Gothic" w:cs="Arial"/>
          <w:sz w:val="22"/>
        </w:rPr>
        <w:t xml:space="preserve">               </w:t>
      </w:r>
    </w:p>
    <w:p w14:paraId="68BE666C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6B6C26F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F1F6A29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633862C3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531B1B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E7AF837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2E914E2B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1770889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334A87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6301CD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ECE8F9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5674B86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>Předmětem této smlouvy je odstranění  jednotlivých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16C95250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446779A4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50B2535B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434AE89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418ADD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1D2C6EF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E269BE3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A371DDE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F81B5A6" w14:textId="77777777" w:rsidR="00FB7BA7" w:rsidRDefault="00FB7BA7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E227FA3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C87845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35ED5F84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6E76173A" w14:textId="77777777" w:rsidR="003E137F" w:rsidRPr="003E137F" w:rsidRDefault="003E137F" w:rsidP="003E137F"/>
    <w:p w14:paraId="436608D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C6D7120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5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4D99B6BC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14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údaje.</w:t>
      </w:r>
    </w:p>
    <w:p w14:paraId="1D042988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>Tato cena může být v průběhu trvání smluvního vztahu změněna v závislosti na výši nákladových</w:t>
      </w:r>
      <w:r w:rsidR="00DE55C0">
        <w:rPr>
          <w:rFonts w:ascii="Century Gothic" w:hAnsi="Century Gothic" w:cs="Arial"/>
          <w:sz w:val="22"/>
        </w:rPr>
        <w:t xml:space="preserve">  vstupů.</w:t>
      </w:r>
    </w:p>
    <w:p w14:paraId="43BA1B1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5AD8B7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DCCD6E1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65C76D7" w14:textId="77777777" w:rsidR="00B11BE4" w:rsidRDefault="00B11BE4" w:rsidP="00B11BE4"/>
    <w:p w14:paraId="1447EEC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69EEAA8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399CFDA2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56BAF815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5DCC1B5D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A42A18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93C1468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0E7BB90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5135EBA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2325D020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7CAE2B32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40BC199F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B2FB75D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409A3304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76A3FE2F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0C5B5A3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9FF33A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E42C15A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20065E6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451F7FC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7A32057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81C8060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6875A36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409F5DE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D2A0484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1FFBFEA4" w14:textId="77777777" w:rsidR="00837524" w:rsidRPr="00C84B7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164A66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2D4FB80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65471E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0A2D168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01.07.2022</w:t>
      </w:r>
      <w:r w:rsidR="0086510E">
        <w:rPr>
          <w:rFonts w:ascii="Century Gothic" w:hAnsi="Century Gothic"/>
          <w:b/>
        </w:rPr>
        <w:t xml:space="preserve"> </w:t>
      </w:r>
    </w:p>
    <w:p w14:paraId="114873DA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3912958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12EBE2D3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7E69618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BD0B1E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00457D4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4E3D38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336A781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52C4D052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6378C63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2B5A48F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1AECD2E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6A022B2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703FA33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5466039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68A5C7E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3AF293E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0721CEF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370E2B8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lastRenderedPageBreak/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35A8CAA9" w14:textId="77777777" w:rsidR="00542BEB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9) </w:t>
      </w:r>
      <w:r w:rsidR="00542BEB" w:rsidRPr="0099027F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E1687C">
        <w:rPr>
          <w:rFonts w:ascii="Century Gothic" w:hAnsi="Century Gothic" w:cs="Arial"/>
          <w:sz w:val="22"/>
        </w:rPr>
        <w:t>120/2021-2.</w:t>
      </w:r>
    </w:p>
    <w:p w14:paraId="27738F76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536215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E68CA7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BAED86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AFE8DE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30854825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042D6F77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86510E" w:rsidRPr="0086510E">
        <w:rPr>
          <w:rFonts w:ascii="Century Gothic" w:hAnsi="Century Gothic"/>
          <w:sz w:val="22"/>
          <w:szCs w:val="22"/>
        </w:rPr>
        <w:t>14.06.2022</w:t>
      </w:r>
    </w:p>
    <w:p w14:paraId="5E19C84C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1E2601EC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33248D4E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1C4DC99F" w14:textId="77777777" w:rsidR="00E1687C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6F3C9BE5" w14:textId="77777777" w:rsidR="00E1687C" w:rsidRDefault="00E1687C" w:rsidP="00837524">
      <w:pPr>
        <w:rPr>
          <w:rFonts w:ascii="Century Gothic" w:hAnsi="Century Gothic"/>
          <w:sz w:val="22"/>
          <w:szCs w:val="22"/>
        </w:rPr>
      </w:pPr>
    </w:p>
    <w:p w14:paraId="033596CF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39E724FE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</w:p>
    <w:p w14:paraId="7382FB0A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ředitelka</w:t>
      </w:r>
    </w:p>
    <w:p w14:paraId="02E5AC84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4017FD6C" w14:textId="77777777" w:rsidR="001A7157" w:rsidRDefault="001A7157" w:rsidP="00837524">
      <w:pPr>
        <w:pStyle w:val="Zkladntext3"/>
      </w:pPr>
    </w:p>
    <w:p w14:paraId="7361FE49" w14:textId="77777777" w:rsidR="00000906" w:rsidRDefault="00000906" w:rsidP="00837524">
      <w:pPr>
        <w:pStyle w:val="Zkladntext3"/>
      </w:pPr>
    </w:p>
    <w:p w14:paraId="11653680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72E88944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5DE6DB74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7C7DE4C0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04BDA45F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7A57857C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0AA8D000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09403D7C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278443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1219839">
    <w:abstractNumId w:val="1"/>
  </w:num>
  <w:num w:numId="3" w16cid:durableId="1482623222">
    <w:abstractNumId w:val="4"/>
  </w:num>
  <w:num w:numId="4" w16cid:durableId="1842698331">
    <w:abstractNumId w:val="3"/>
  </w:num>
  <w:num w:numId="5" w16cid:durableId="14604166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9509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3801841">
    <w:abstractNumId w:val="9"/>
  </w:num>
  <w:num w:numId="8" w16cid:durableId="1112365138">
    <w:abstractNumId w:val="0"/>
  </w:num>
  <w:num w:numId="9" w16cid:durableId="2109425584">
    <w:abstractNumId w:val="5"/>
  </w:num>
  <w:num w:numId="10" w16cid:durableId="2111271422">
    <w:abstractNumId w:val="8"/>
  </w:num>
  <w:num w:numId="11" w16cid:durableId="1530334831">
    <w:abstractNumId w:val="6"/>
  </w:num>
  <w:num w:numId="12" w16cid:durableId="1910529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106378"/>
    <w:rsid w:val="001A233C"/>
    <w:rsid w:val="001A7157"/>
    <w:rsid w:val="001B6035"/>
    <w:rsid w:val="00251576"/>
    <w:rsid w:val="002B32F6"/>
    <w:rsid w:val="002E059B"/>
    <w:rsid w:val="00306779"/>
    <w:rsid w:val="0031123C"/>
    <w:rsid w:val="00364A5D"/>
    <w:rsid w:val="00393E05"/>
    <w:rsid w:val="003D1D3A"/>
    <w:rsid w:val="003E137F"/>
    <w:rsid w:val="004158EB"/>
    <w:rsid w:val="00430773"/>
    <w:rsid w:val="0048013E"/>
    <w:rsid w:val="00497EDB"/>
    <w:rsid w:val="00542BEB"/>
    <w:rsid w:val="005546F1"/>
    <w:rsid w:val="00561717"/>
    <w:rsid w:val="00564AE7"/>
    <w:rsid w:val="00572470"/>
    <w:rsid w:val="005A5801"/>
    <w:rsid w:val="005B79DB"/>
    <w:rsid w:val="00604B22"/>
    <w:rsid w:val="00615C43"/>
    <w:rsid w:val="00627062"/>
    <w:rsid w:val="00695839"/>
    <w:rsid w:val="006A2C74"/>
    <w:rsid w:val="00747039"/>
    <w:rsid w:val="00786402"/>
    <w:rsid w:val="007A5345"/>
    <w:rsid w:val="007B41CA"/>
    <w:rsid w:val="007E7C98"/>
    <w:rsid w:val="00803E09"/>
    <w:rsid w:val="00837524"/>
    <w:rsid w:val="00844085"/>
    <w:rsid w:val="00846359"/>
    <w:rsid w:val="0086510E"/>
    <w:rsid w:val="00866D24"/>
    <w:rsid w:val="00916A40"/>
    <w:rsid w:val="009250E4"/>
    <w:rsid w:val="009318CF"/>
    <w:rsid w:val="00935A51"/>
    <w:rsid w:val="009376DC"/>
    <w:rsid w:val="0098509E"/>
    <w:rsid w:val="0099027F"/>
    <w:rsid w:val="00991835"/>
    <w:rsid w:val="009D1FE2"/>
    <w:rsid w:val="009D3BB1"/>
    <w:rsid w:val="00A3300F"/>
    <w:rsid w:val="00A47C9D"/>
    <w:rsid w:val="00A52287"/>
    <w:rsid w:val="00A72A3F"/>
    <w:rsid w:val="00A76FBB"/>
    <w:rsid w:val="00A80F8C"/>
    <w:rsid w:val="00A9555A"/>
    <w:rsid w:val="00AB0B96"/>
    <w:rsid w:val="00AE38D8"/>
    <w:rsid w:val="00B11BE4"/>
    <w:rsid w:val="00B71FAB"/>
    <w:rsid w:val="00B84090"/>
    <w:rsid w:val="00BA4048"/>
    <w:rsid w:val="00BE40BB"/>
    <w:rsid w:val="00C21717"/>
    <w:rsid w:val="00C52A88"/>
    <w:rsid w:val="00C71B04"/>
    <w:rsid w:val="00C73BD0"/>
    <w:rsid w:val="00C84B75"/>
    <w:rsid w:val="00CC4F7C"/>
    <w:rsid w:val="00CE35DC"/>
    <w:rsid w:val="00D179A1"/>
    <w:rsid w:val="00D2012C"/>
    <w:rsid w:val="00D71BE8"/>
    <w:rsid w:val="00D82F22"/>
    <w:rsid w:val="00DA552E"/>
    <w:rsid w:val="00DD0D22"/>
    <w:rsid w:val="00DD1C92"/>
    <w:rsid w:val="00DE55C0"/>
    <w:rsid w:val="00E071F2"/>
    <w:rsid w:val="00E1687C"/>
    <w:rsid w:val="00E26567"/>
    <w:rsid w:val="00E27E4D"/>
    <w:rsid w:val="00E3123F"/>
    <w:rsid w:val="00E91635"/>
    <w:rsid w:val="00F30937"/>
    <w:rsid w:val="00F3319A"/>
    <w:rsid w:val="00F55C80"/>
    <w:rsid w:val="00F806B6"/>
    <w:rsid w:val="00FA3A57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F8269"/>
  <w14:defaultImageDpi w14:val="0"/>
  <w15:docId w15:val="{67D738BB-AEB3-4B26-BFFF-44FBD085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8034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dcterms:created xsi:type="dcterms:W3CDTF">2022-06-21T10:12:00Z</dcterms:created>
  <dcterms:modified xsi:type="dcterms:W3CDTF">2022-06-21T10:13:00Z</dcterms:modified>
</cp:coreProperties>
</file>