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42C79482" w14:textId="77777777" w:rsidR="00EE0D3E" w:rsidRDefault="00EE0D3E" w:rsidP="00EE4EFB">
      <w:pPr>
        <w:suppressAutoHyphens w:val="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E0D3E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</w:p>
    <w:p w14:paraId="0426EF8A" w14:textId="6B3A9DE0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54D2B573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</w:t>
      </w:r>
      <w:r w:rsidR="00BD49E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17CB30E4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691F47DC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7014A321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62C30B84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4E3F6E2C" w:rsidR="00EE4EFB" w:rsidRPr="00C3658E" w:rsidRDefault="00E476E8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E476E8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Petr Soukup</w:t>
      </w:r>
    </w:p>
    <w:p w14:paraId="2618A293" w14:textId="59B19355" w:rsidR="00EE4EFB" w:rsidRPr="00E476E8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476E8" w:rsidRPr="00E476E8">
        <w:rPr>
          <w:rFonts w:asciiTheme="minorHAnsi" w:hAnsiTheme="minorHAnsi" w:cstheme="minorHAnsi"/>
          <w:sz w:val="22"/>
          <w:szCs w:val="22"/>
          <w:lang w:eastAsia="en-US" w:bidi="en-US"/>
        </w:rPr>
        <w:t>Petr Soukup</w:t>
      </w:r>
    </w:p>
    <w:p w14:paraId="1A21ACEF" w14:textId="1D1F5755" w:rsidR="00EE4EFB" w:rsidRPr="00E476E8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E476E8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 w:rsidRPr="00E476E8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E476E8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476E8" w:rsidRPr="00E476E8">
        <w:rPr>
          <w:rFonts w:asciiTheme="minorHAnsi" w:hAnsiTheme="minorHAnsi" w:cstheme="minorHAnsi"/>
          <w:sz w:val="22"/>
          <w:szCs w:val="22"/>
          <w:lang w:eastAsia="en-US" w:bidi="en-US"/>
        </w:rPr>
        <w:t>Hraničky 247/16, 625 00, Brno</w:t>
      </w:r>
    </w:p>
    <w:p w14:paraId="18F403E6" w14:textId="267F643C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476E8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E476E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476E8" w:rsidRPr="00E476E8">
        <w:rPr>
          <w:rFonts w:asciiTheme="minorHAnsi" w:hAnsiTheme="minorHAnsi" w:cstheme="minorHAnsi"/>
          <w:sz w:val="22"/>
          <w:szCs w:val="22"/>
          <w:lang w:eastAsia="en-US" w:bidi="en-US"/>
        </w:rPr>
        <w:t>49934171</w:t>
      </w:r>
    </w:p>
    <w:p w14:paraId="6446556F" w14:textId="3AE0069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---</w:t>
      </w:r>
    </w:p>
    <w:p w14:paraId="79487D14" w14:textId="40B26CEB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0E5D09B0" w14:textId="1ABBE9EA" w:rsidR="00446A2A" w:rsidRDefault="00C91256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zapsán v Živnostenském rejstříku vedeném Živnostenským úřadem </w:t>
      </w:r>
      <w:r w:rsidR="00B73D18" w:rsidRPr="00B73D18">
        <w:rPr>
          <w:rFonts w:asciiTheme="minorHAnsi" w:hAnsiTheme="minorHAnsi" w:cstheme="minorHAnsi"/>
          <w:sz w:val="22"/>
          <w:szCs w:val="22"/>
          <w:lang w:eastAsia="cs-CZ"/>
        </w:rPr>
        <w:t>Brno</w:t>
      </w: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r>
        <w:rPr>
          <w:rFonts w:asciiTheme="minorHAnsi" w:hAnsiTheme="minorHAnsi" w:cstheme="minorHAnsi"/>
          <w:sz w:val="22"/>
          <w:szCs w:val="22"/>
          <w:lang w:eastAsia="cs-CZ"/>
        </w:rPr>
        <w:t>č.j.:</w:t>
      </w:r>
      <w:r w:rsidR="00B73D18" w:rsidRPr="00B73D1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73D18">
        <w:rPr>
          <w:rFonts w:asciiTheme="minorHAnsi" w:hAnsiTheme="minorHAnsi" w:cstheme="minorHAnsi"/>
          <w:sz w:val="22"/>
          <w:szCs w:val="22"/>
          <w:lang w:eastAsia="cs-CZ"/>
        </w:rPr>
        <w:t>04/464/09/0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BFB53DF" w14:textId="6F9DC1C2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121F2485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6F592CF3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1256">
        <w:rPr>
          <w:rFonts w:asciiTheme="minorHAnsi" w:hAnsiTheme="minorHAnsi" w:cstheme="minorHAnsi"/>
          <w:b/>
          <w:bCs/>
          <w:sz w:val="22"/>
          <w:szCs w:val="22"/>
        </w:rPr>
        <w:t>Malířské a natěračské práce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2A4C219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jsou instalatérské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778AA146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4A919229" w:rsidR="002E514B" w:rsidRDefault="00E542D1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Malířské a natěračské</w:t>
      </w:r>
      <w:r w:rsidR="002E514B">
        <w:rPr>
          <w:rFonts w:asciiTheme="minorHAnsi" w:hAnsiTheme="minorHAnsi" w:cstheme="minorHAnsi"/>
          <w:sz w:val="22"/>
          <w:szCs w:val="22"/>
        </w:rPr>
        <w:t xml:space="preserve"> práce:</w:t>
      </w:r>
    </w:p>
    <w:p w14:paraId="4DA10F1A" w14:textId="0DD0F1F1" w:rsidR="00E542D1" w:rsidRPr="00AA0F43" w:rsidRDefault="00AA0F43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A0F43">
        <w:rPr>
          <w:rFonts w:ascii="Calibri" w:hAnsi="Calibri" w:cs="Calibri"/>
          <w:b/>
          <w:sz w:val="22"/>
          <w:szCs w:val="22"/>
        </w:rPr>
        <w:t xml:space="preserve">malba bílá, 3 stěny barva, omývatelná barva kolem košů v místnostech: </w:t>
      </w:r>
      <w:r w:rsidRPr="00AA0F43">
        <w:rPr>
          <w:rFonts w:ascii="Calibri" w:hAnsi="Calibri" w:cs="Calibri"/>
          <w:sz w:val="22"/>
          <w:szCs w:val="22"/>
        </w:rPr>
        <w:t xml:space="preserve">106, </w:t>
      </w:r>
      <w:r>
        <w:rPr>
          <w:rFonts w:ascii="Calibri" w:hAnsi="Calibri" w:cs="Calibri"/>
          <w:sz w:val="22"/>
          <w:szCs w:val="22"/>
        </w:rPr>
        <w:t>117, 305, 312, 313, 314, 416, 608, 707,</w:t>
      </w:r>
    </w:p>
    <w:p w14:paraId="23DE715C" w14:textId="35D0657F" w:rsidR="00AA0F43" w:rsidRPr="008C1BB4" w:rsidRDefault="00AA0F43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A0F43">
        <w:rPr>
          <w:rFonts w:ascii="Calibri" w:hAnsi="Calibri" w:cs="Calibri"/>
          <w:b/>
          <w:sz w:val="22"/>
          <w:szCs w:val="22"/>
        </w:rPr>
        <w:t>malba bílá v</w:t>
      </w:r>
      <w:r>
        <w:rPr>
          <w:rFonts w:ascii="Calibri" w:hAnsi="Calibri" w:cs="Calibri"/>
          <w:b/>
          <w:sz w:val="22"/>
          <w:szCs w:val="22"/>
        </w:rPr>
        <w:t> </w:t>
      </w:r>
      <w:r w:rsidRPr="00AA0F43">
        <w:rPr>
          <w:rFonts w:ascii="Calibri" w:hAnsi="Calibri" w:cs="Calibri"/>
          <w:b/>
          <w:sz w:val="22"/>
          <w:szCs w:val="22"/>
        </w:rPr>
        <w:t>místnostech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8C1BB4">
        <w:rPr>
          <w:rFonts w:ascii="Calibri" w:hAnsi="Calibri" w:cs="Calibri"/>
          <w:sz w:val="22"/>
          <w:szCs w:val="22"/>
        </w:rPr>
        <w:t>chodba před jídelnou, chodba u 118 a 119, 121WC, 222WC (oprava fleků), 300 (po opravě stupačky), 323WC (po opravě odpadu), 400 (po opravě stupačky), chodbička u TEV, 701WC,</w:t>
      </w:r>
    </w:p>
    <w:p w14:paraId="16D28305" w14:textId="6DF38A69" w:rsidR="008C1BB4" w:rsidRDefault="008C1BB4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omývatelný nátěr kolem košů v místnostech:</w:t>
      </w:r>
      <w:r>
        <w:rPr>
          <w:rFonts w:asciiTheme="minorHAnsi" w:hAnsiTheme="minorHAnsi" w:cstheme="minorHAnsi"/>
          <w:sz w:val="22"/>
          <w:szCs w:val="22"/>
        </w:rPr>
        <w:t xml:space="preserve"> 303, 311, 411, 412, 413, 414,</w:t>
      </w:r>
    </w:p>
    <w:p w14:paraId="3311D3DC" w14:textId="7DA9C5B8" w:rsidR="008C1BB4" w:rsidRDefault="008C1BB4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nátěr radiátorů v místnostech:</w:t>
      </w:r>
      <w:r>
        <w:rPr>
          <w:rFonts w:asciiTheme="minorHAnsi" w:hAnsiTheme="minorHAnsi" w:cstheme="minorHAnsi"/>
          <w:sz w:val="22"/>
          <w:szCs w:val="22"/>
        </w:rPr>
        <w:t xml:space="preserve"> chodba u 118 a 119, 218,</w:t>
      </w:r>
    </w:p>
    <w:p w14:paraId="751322EB" w14:textId="26F1ABC3" w:rsidR="008C1BB4" w:rsidRPr="008C1BB4" w:rsidRDefault="008C1BB4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A0F43">
        <w:rPr>
          <w:rFonts w:ascii="Calibri" w:hAnsi="Calibri" w:cs="Calibri"/>
          <w:b/>
          <w:sz w:val="22"/>
          <w:szCs w:val="22"/>
        </w:rPr>
        <w:t xml:space="preserve">malba bílá, </w:t>
      </w:r>
      <w:r>
        <w:rPr>
          <w:rFonts w:ascii="Calibri" w:hAnsi="Calibri" w:cs="Calibri"/>
          <w:b/>
          <w:sz w:val="22"/>
          <w:szCs w:val="22"/>
        </w:rPr>
        <w:t>2</w:t>
      </w:r>
      <w:r w:rsidRPr="00AA0F43">
        <w:rPr>
          <w:rFonts w:ascii="Calibri" w:hAnsi="Calibri" w:cs="Calibri"/>
          <w:b/>
          <w:sz w:val="22"/>
          <w:szCs w:val="22"/>
        </w:rPr>
        <w:t xml:space="preserve"> stěny barva</w:t>
      </w:r>
      <w:r>
        <w:rPr>
          <w:rFonts w:ascii="Calibri" w:hAnsi="Calibri" w:cs="Calibri"/>
          <w:b/>
          <w:sz w:val="22"/>
          <w:szCs w:val="22"/>
        </w:rPr>
        <w:t xml:space="preserve"> v </w:t>
      </w:r>
      <w:r w:rsidRPr="00AA0F43">
        <w:rPr>
          <w:rFonts w:ascii="Calibri" w:hAnsi="Calibri" w:cs="Calibri"/>
          <w:b/>
          <w:sz w:val="22"/>
          <w:szCs w:val="22"/>
        </w:rPr>
        <w:t>místnost</w:t>
      </w:r>
      <w:r>
        <w:rPr>
          <w:rFonts w:ascii="Calibri" w:hAnsi="Calibri" w:cs="Calibri"/>
          <w:b/>
          <w:sz w:val="22"/>
          <w:szCs w:val="22"/>
        </w:rPr>
        <w:t xml:space="preserve">i </w:t>
      </w:r>
      <w:r w:rsidRPr="008C1BB4">
        <w:rPr>
          <w:rFonts w:ascii="Calibri" w:hAnsi="Calibri" w:cs="Calibri"/>
          <w:sz w:val="22"/>
          <w:szCs w:val="22"/>
        </w:rPr>
        <w:t>218,</w:t>
      </w:r>
    </w:p>
    <w:p w14:paraId="20572265" w14:textId="3B8D690A" w:rsidR="008C1BB4" w:rsidRDefault="008C1BB4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C1BB4">
        <w:rPr>
          <w:rFonts w:asciiTheme="minorHAnsi" w:hAnsiTheme="minorHAnsi" w:cstheme="minorHAnsi"/>
          <w:b/>
          <w:sz w:val="22"/>
          <w:szCs w:val="22"/>
        </w:rPr>
        <w:t>zapravení kolem obkladů v místnosti</w:t>
      </w:r>
      <w:r>
        <w:rPr>
          <w:rFonts w:asciiTheme="minorHAnsi" w:hAnsiTheme="minorHAnsi" w:cstheme="minorHAnsi"/>
          <w:sz w:val="22"/>
          <w:szCs w:val="22"/>
        </w:rPr>
        <w:t xml:space="preserve"> 414,</w:t>
      </w:r>
    </w:p>
    <w:p w14:paraId="1C283067" w14:textId="5017CF40" w:rsidR="008C1BB4" w:rsidRPr="008C1BB4" w:rsidRDefault="008C1BB4" w:rsidP="00AA0F4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8C1BB4">
        <w:rPr>
          <w:rFonts w:asciiTheme="minorHAnsi" w:hAnsiTheme="minorHAnsi" w:cstheme="minorHAnsi"/>
          <w:b/>
          <w:sz w:val="22"/>
          <w:szCs w:val="22"/>
        </w:rPr>
        <w:t>ve výdejně stravy bílá, omývatelná v místnosti kolem výtahu,</w:t>
      </w:r>
    </w:p>
    <w:p w14:paraId="7B9EF813" w14:textId="5A3EB2FB" w:rsidR="008C1BB4" w:rsidRPr="008C1BB4" w:rsidRDefault="008C1BB4" w:rsidP="00D46EA3">
      <w:pPr>
        <w:pStyle w:val="Zkladntext"/>
        <w:widowControl w:val="0"/>
        <w:numPr>
          <w:ilvl w:val="0"/>
          <w:numId w:val="22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C1BB4">
        <w:rPr>
          <w:rFonts w:asciiTheme="minorHAnsi" w:hAnsiTheme="minorHAnsi" w:cstheme="minorHAnsi"/>
          <w:b/>
          <w:sz w:val="22"/>
          <w:szCs w:val="22"/>
        </w:rPr>
        <w:t>v chodbě jídelny bílá, omývatelný nátěr u vozíku na nádobí.</w:t>
      </w:r>
    </w:p>
    <w:p w14:paraId="112BF697" w14:textId="5E9FB2B4" w:rsidR="00B9711A" w:rsidRDefault="00B9711A" w:rsidP="00B9711A">
      <w:pPr>
        <w:pStyle w:val="Zkladntext"/>
        <w:widowControl w:val="0"/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9711A">
        <w:rPr>
          <w:rFonts w:asciiTheme="minorHAnsi" w:hAnsiTheme="minorHAnsi" w:cstheme="minorHAnsi"/>
          <w:sz w:val="22"/>
          <w:szCs w:val="22"/>
        </w:rPr>
        <w:t>Zhotovitel zajistí na svůj náklad likvidaci a odvoz původního materiálu a odpadu.</w:t>
      </w:r>
    </w:p>
    <w:p w14:paraId="7570416A" w14:textId="77777777" w:rsidR="008328CB" w:rsidRPr="00C3658E" w:rsidRDefault="008328CB" w:rsidP="008328CB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5A65908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423968EF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8328CB">
        <w:rPr>
          <w:rFonts w:asciiTheme="minorHAnsi" w:hAnsiTheme="minorHAnsi" w:cstheme="minorHAnsi"/>
          <w:sz w:val="22"/>
          <w:szCs w:val="22"/>
        </w:rPr>
        <w:t>19</w:t>
      </w:r>
      <w:r w:rsidR="004B422B" w:rsidRPr="00B1348E">
        <w:rPr>
          <w:rFonts w:asciiTheme="minorHAnsi" w:hAnsiTheme="minorHAnsi" w:cstheme="minorHAnsi"/>
          <w:sz w:val="22"/>
          <w:szCs w:val="22"/>
        </w:rPr>
        <w:t>. 8. 202</w:t>
      </w:r>
      <w:r w:rsidR="008328CB">
        <w:rPr>
          <w:rFonts w:asciiTheme="minorHAnsi" w:hAnsiTheme="minorHAnsi" w:cstheme="minorHAnsi"/>
          <w:sz w:val="22"/>
          <w:szCs w:val="22"/>
        </w:rPr>
        <w:t>2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77263C6E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C91256" w:rsidRPr="00C91256">
        <w:rPr>
          <w:rFonts w:asciiTheme="minorHAnsi" w:hAnsiTheme="minorHAnsi" w:cstheme="minorHAnsi"/>
          <w:bCs/>
          <w:sz w:val="22"/>
          <w:szCs w:val="22"/>
        </w:rPr>
        <w:t>Obchodní akademie a vyšší odborn</w:t>
      </w:r>
      <w:r w:rsidR="00C91256">
        <w:rPr>
          <w:rFonts w:asciiTheme="minorHAnsi" w:hAnsiTheme="minorHAnsi" w:cstheme="minorHAnsi"/>
          <w:bCs/>
          <w:sz w:val="22"/>
          <w:szCs w:val="22"/>
        </w:rPr>
        <w:t>é</w:t>
      </w:r>
      <w:r w:rsidR="00C91256" w:rsidRPr="00C91256">
        <w:rPr>
          <w:rFonts w:asciiTheme="minorHAnsi" w:hAnsiTheme="minorHAnsi" w:cstheme="minorHAnsi"/>
          <w:bCs/>
          <w:sz w:val="22"/>
          <w:szCs w:val="22"/>
        </w:rPr>
        <w:t xml:space="preserve"> škol</w:t>
      </w:r>
      <w:r w:rsidR="00C91256">
        <w:rPr>
          <w:rFonts w:asciiTheme="minorHAnsi" w:hAnsiTheme="minorHAnsi" w:cstheme="minorHAnsi"/>
          <w:bCs/>
          <w:sz w:val="22"/>
          <w:szCs w:val="22"/>
        </w:rPr>
        <w:t>y</w:t>
      </w:r>
      <w:r w:rsidR="00C91256" w:rsidRPr="00C91256">
        <w:rPr>
          <w:rFonts w:asciiTheme="minorHAnsi" w:hAnsiTheme="minorHAnsi" w:cstheme="minorHAnsi"/>
          <w:bCs/>
          <w:sz w:val="22"/>
          <w:szCs w:val="22"/>
        </w:rPr>
        <w:t xml:space="preserve"> Brno, Kotlářská, příspěvkov</w:t>
      </w:r>
      <w:r w:rsidR="00C91256">
        <w:rPr>
          <w:rFonts w:asciiTheme="minorHAnsi" w:hAnsiTheme="minorHAnsi" w:cstheme="minorHAnsi"/>
          <w:bCs/>
          <w:sz w:val="22"/>
          <w:szCs w:val="22"/>
        </w:rPr>
        <w:t>é</w:t>
      </w:r>
      <w:r w:rsidR="00C91256" w:rsidRPr="00C91256">
        <w:rPr>
          <w:rFonts w:asciiTheme="minorHAnsi" w:hAnsiTheme="minorHAnsi" w:cstheme="minorHAnsi"/>
          <w:bCs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222B3B49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46A2A" w:rsidRPr="00446A2A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188 584</w:t>
      </w:r>
      <w:r w:rsidR="002E514B" w:rsidRPr="00446A2A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06A080" w14:textId="61CAEFE9" w:rsidR="006E0842" w:rsidRPr="00C3658E" w:rsidRDefault="002E514B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konečná. Zhotovitel není plátce DPH</w:t>
      </w:r>
      <w:r w:rsidR="006E0842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481C21" w14:textId="77777777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80801" w14:textId="5347D174" w:rsidR="0033406D" w:rsidRPr="00EA263D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="0033406D" w:rsidRPr="00EA263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34B9FF6B" w14:textId="266548BE" w:rsidR="00A30076" w:rsidRDefault="00A3007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0076">
        <w:rPr>
          <w:rFonts w:asciiTheme="minorHAnsi" w:hAnsiTheme="minorHAnsi" w:cstheme="minorHAnsi"/>
          <w:sz w:val="22"/>
          <w:szCs w:val="22"/>
        </w:rPr>
        <w:t>Smluvní strany se dohodly, že cena díla bude uhrazena ve dvou etapách. První část bude uhrazena na základě reálně provedených a předaných prací objednateli. Druhá část bude uhrazena po převzetí kompletního díla.</w:t>
      </w:r>
    </w:p>
    <w:p w14:paraId="77A24FA3" w14:textId="6DD6455D" w:rsidR="008257B6" w:rsidRPr="00C3658E" w:rsidRDefault="008257B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97FEE" w:rsidRPr="00C3658E">
        <w:rPr>
          <w:rFonts w:asciiTheme="minorHAnsi" w:hAnsiTheme="minorHAnsi" w:cstheme="minorHAnsi"/>
          <w:sz w:val="22"/>
          <w:szCs w:val="22"/>
        </w:rPr>
        <w:t>C</w:t>
      </w:r>
      <w:r w:rsidRPr="00C3658E">
        <w:rPr>
          <w:rFonts w:asciiTheme="minorHAnsi" w:hAnsiTheme="minorHAnsi" w:cstheme="minorHAnsi"/>
          <w:sz w:val="22"/>
          <w:szCs w:val="22"/>
        </w:rPr>
        <w:t>eny bud</w:t>
      </w:r>
      <w:r w:rsidR="00A3007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A263D">
        <w:rPr>
          <w:rFonts w:asciiTheme="minorHAnsi" w:hAnsiTheme="minorHAnsi" w:cstheme="minorHAnsi"/>
          <w:sz w:val="22"/>
          <w:szCs w:val="22"/>
        </w:rPr>
        <w:t>řádné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doklad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s </w:t>
      </w:r>
      <w:r w:rsidRPr="00C3658E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C3658E">
        <w:rPr>
          <w:rFonts w:asciiTheme="minorHAnsi" w:hAnsiTheme="minorHAnsi" w:cstheme="minorHAnsi"/>
          <w:sz w:val="22"/>
          <w:szCs w:val="22"/>
        </w:rPr>
        <w:t>m</w:t>
      </w:r>
      <w:r w:rsidRPr="00C3658E">
        <w:rPr>
          <w:rFonts w:asciiTheme="minorHAnsi" w:hAnsiTheme="minorHAnsi" w:cstheme="minorHAnsi"/>
          <w:sz w:val="22"/>
          <w:szCs w:val="22"/>
        </w:rPr>
        <w:t>i stanoven</w:t>
      </w:r>
      <w:r w:rsidR="00B90BFD" w:rsidRPr="00C3658E">
        <w:rPr>
          <w:rFonts w:asciiTheme="minorHAnsi" w:hAnsiTheme="minorHAnsi" w:cstheme="minorHAnsi"/>
          <w:sz w:val="22"/>
          <w:szCs w:val="22"/>
        </w:rPr>
        <w:t>ými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B90BFD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“), kter</w:t>
      </w:r>
      <w:r w:rsidR="00F1782D" w:rsidRPr="00C3658E">
        <w:rPr>
          <w:rFonts w:asciiTheme="minorHAnsi" w:hAnsiTheme="minorHAnsi" w:cstheme="minorHAnsi"/>
          <w:sz w:val="22"/>
          <w:szCs w:val="22"/>
        </w:rPr>
        <w:t>ý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A30076">
        <w:rPr>
          <w:rFonts w:asciiTheme="minorHAnsi" w:hAnsiTheme="minorHAnsi" w:cstheme="minorHAnsi"/>
          <w:sz w:val="22"/>
          <w:szCs w:val="22"/>
        </w:rPr>
        <w:t>,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A30076">
        <w:rPr>
          <w:rFonts w:asciiTheme="minorHAnsi" w:hAnsiTheme="minorHAnsi" w:cstheme="minorHAnsi"/>
          <w:sz w:val="22"/>
          <w:szCs w:val="22"/>
        </w:rPr>
        <w:t xml:space="preserve">nebo jeho části,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</w:t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dle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C3658E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C3658E">
        <w:rPr>
          <w:rFonts w:asciiTheme="minorHAnsi" w:hAnsiTheme="minorHAnsi" w:cstheme="minorHAnsi"/>
          <w:sz w:val="22"/>
          <w:szCs w:val="22"/>
        </w:rPr>
        <w:t>Protokol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, nebo jeho </w:t>
      </w:r>
      <w:proofErr w:type="gramStart"/>
      <w:r w:rsidR="00A30076">
        <w:rPr>
          <w:rFonts w:asciiTheme="minorHAnsi" w:hAnsiTheme="minorHAnsi" w:cstheme="minorHAnsi"/>
          <w:sz w:val="22"/>
          <w:szCs w:val="22"/>
        </w:rPr>
        <w:t xml:space="preserve">části, 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>dle</w:t>
      </w:r>
      <w:proofErr w:type="gramEnd"/>
      <w:r w:rsidR="00FD5BA2" w:rsidRPr="00C3658E">
        <w:rPr>
          <w:rFonts w:asciiTheme="minorHAnsi" w:hAnsiTheme="minorHAnsi" w:cstheme="minorHAnsi"/>
          <w:sz w:val="22"/>
          <w:szCs w:val="22"/>
        </w:rPr>
        <w:t xml:space="preserve">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C3658E">
        <w:rPr>
          <w:rFonts w:asciiTheme="minorHAnsi" w:hAnsiTheme="minorHAnsi" w:cstheme="minorHAnsi"/>
          <w:sz w:val="22"/>
          <w:szCs w:val="22"/>
        </w:rPr>
        <w:t>bude přílohou Faktury.</w:t>
      </w:r>
    </w:p>
    <w:p w14:paraId="28D61AF3" w14:textId="602DBAB6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Splatnost Faktur je </w:t>
      </w:r>
      <w:r w:rsidR="008257B6" w:rsidRPr="00C3658E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C3658E">
        <w:rPr>
          <w:rFonts w:asciiTheme="minorHAnsi" w:hAnsiTheme="minorHAnsi" w:cstheme="minorHAnsi"/>
          <w:sz w:val="22"/>
          <w:szCs w:val="22"/>
        </w:rPr>
        <w:t> </w:t>
      </w:r>
      <w:r w:rsidR="007F5494">
        <w:rPr>
          <w:rFonts w:asciiTheme="minorHAnsi" w:hAnsiTheme="minorHAnsi" w:cstheme="minorHAnsi"/>
          <w:sz w:val="22"/>
          <w:szCs w:val="22"/>
        </w:rPr>
        <w:t>30</w:t>
      </w:r>
      <w:r w:rsidR="007F5494" w:rsidRPr="00C3658E">
        <w:rPr>
          <w:rFonts w:asciiTheme="minorHAnsi" w:hAnsiTheme="minorHAnsi" w:cstheme="minorHAnsi"/>
          <w:sz w:val="22"/>
          <w:szCs w:val="22"/>
        </w:rPr>
        <w:t> 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i, a to bezhotovostně na účet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8257B6" w:rsidRPr="00C3658E">
        <w:rPr>
          <w:rFonts w:asciiTheme="minorHAnsi" w:hAnsiTheme="minorHAnsi" w:cstheme="minorHAnsi"/>
          <w:sz w:val="22"/>
          <w:szCs w:val="22"/>
        </w:rPr>
        <w:t>ě.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C3658E">
        <w:rPr>
          <w:rFonts w:asciiTheme="minorHAnsi" w:hAnsiTheme="minorHAnsi" w:cstheme="minorHAnsi"/>
          <w:sz w:val="22"/>
          <w:szCs w:val="22"/>
        </w:rPr>
        <w:t>o předání a převzetí Díla</w:t>
      </w:r>
      <w:r w:rsidR="00A30076">
        <w:rPr>
          <w:rFonts w:asciiTheme="minorHAnsi" w:hAnsiTheme="minorHAnsi" w:cstheme="minorHAnsi"/>
          <w:sz w:val="22"/>
          <w:szCs w:val="22"/>
        </w:rPr>
        <w:t>, nebo jeho části,</w:t>
      </w:r>
      <w:r w:rsidRPr="00C3658E">
        <w:rPr>
          <w:rFonts w:asciiTheme="minorHAnsi" w:hAnsiTheme="minorHAnsi" w:cstheme="minorHAnsi"/>
          <w:sz w:val="22"/>
          <w:szCs w:val="22"/>
        </w:rPr>
        <w:t xml:space="preserve"> Smluvními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stranami.</w:t>
      </w:r>
    </w:p>
    <w:p w14:paraId="38D4A422" w14:textId="2B573018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vrátit do data její</w:t>
      </w:r>
      <w:r w:rsidR="00A30076">
        <w:rPr>
          <w:rFonts w:asciiTheme="minorHAnsi" w:hAnsiTheme="minorHAnsi" w:cstheme="minorHAnsi"/>
          <w:sz w:val="22"/>
          <w:szCs w:val="22"/>
        </w:rPr>
        <w:t>ch</w:t>
      </w:r>
      <w:r w:rsidRPr="00C3658E">
        <w:rPr>
          <w:rFonts w:asciiTheme="minorHAnsi" w:hAnsiTheme="minorHAnsi" w:cstheme="minorHAnsi"/>
          <w:sz w:val="22"/>
          <w:szCs w:val="22"/>
        </w:rPr>
        <w:t xml:space="preserve"> splatnost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>, jestliže obsahuj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 xml:space="preserve"> nesprávné či neúplné údaje. V takovém případě se lhůta splatnosti přeruší. Nová lhůta splatnosti začne plynout ode dne doručení opravené </w:t>
      </w:r>
      <w:r w:rsidR="00D57993" w:rsidRPr="00C3658E">
        <w:rPr>
          <w:rFonts w:asciiTheme="minorHAnsi" w:hAnsiTheme="minorHAnsi" w:cstheme="minorHAnsi"/>
          <w:sz w:val="22"/>
          <w:szCs w:val="22"/>
        </w:rPr>
        <w:t>F</w:t>
      </w:r>
      <w:r w:rsidRPr="00C3658E">
        <w:rPr>
          <w:rFonts w:asciiTheme="minorHAnsi" w:hAnsiTheme="minorHAnsi" w:cstheme="minorHAnsi"/>
          <w:sz w:val="22"/>
          <w:szCs w:val="22"/>
        </w:rPr>
        <w:t>aktury Objednateli.</w:t>
      </w:r>
    </w:p>
    <w:p w14:paraId="50A98D9C" w14:textId="77777777" w:rsidR="002A54D0" w:rsidRPr="00C3658E" w:rsidRDefault="002A54D0" w:rsidP="0038487E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z účtu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2531"/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A3D181F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C3658E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C3658E">
        <w:rPr>
          <w:rFonts w:asciiTheme="minorHAnsi" w:hAnsiTheme="minorHAnsi" w:cstheme="minorHAnsi"/>
          <w:sz w:val="22"/>
          <w:szCs w:val="22"/>
        </w:rPr>
        <w:t>odstranit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C3658E">
        <w:rPr>
          <w:rFonts w:asciiTheme="minorHAnsi" w:hAnsiTheme="minorHAnsi" w:cstheme="minorHAnsi"/>
          <w:sz w:val="22"/>
          <w:szCs w:val="22"/>
        </w:rPr>
        <w:t>1</w:t>
      </w:r>
      <w:r w:rsidR="0099726E" w:rsidRPr="00C3658E">
        <w:rPr>
          <w:rFonts w:asciiTheme="minorHAnsi" w:hAnsiTheme="minorHAnsi" w:cstheme="minorHAnsi"/>
          <w:sz w:val="22"/>
          <w:szCs w:val="22"/>
        </w:rPr>
        <w:t>0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C3658E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C3658E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665E1B12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C3658E">
        <w:rPr>
          <w:rFonts w:asciiTheme="minorHAnsi" w:hAnsiTheme="minorHAnsi" w:cstheme="minorHAnsi"/>
          <w:sz w:val="22"/>
          <w:szCs w:val="22"/>
        </w:rPr>
        <w:t>S</w:t>
      </w:r>
      <w:r w:rsidRPr="00C3658E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9A7B8E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lastRenderedPageBreak/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131B8036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6F4F02">
              <w:rPr>
                <w:rFonts w:asciiTheme="minorHAnsi" w:hAnsiTheme="minorHAnsi" w:cstheme="minorHAnsi"/>
                <w:sz w:val="22"/>
                <w:szCs w:val="22"/>
              </w:rPr>
              <w:t xml:space="preserve"> 20. června 2022</w:t>
            </w:r>
          </w:p>
        </w:tc>
        <w:tc>
          <w:tcPr>
            <w:tcW w:w="4530" w:type="dxa"/>
          </w:tcPr>
          <w:p w14:paraId="1D6FC3B0" w14:textId="535BF773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6F4F02">
              <w:rPr>
                <w:rFonts w:asciiTheme="minorHAnsi" w:hAnsiTheme="minorHAnsi" w:cstheme="minorHAnsi"/>
                <w:sz w:val="22"/>
                <w:szCs w:val="22"/>
              </w:rPr>
              <w:t xml:space="preserve"> 21. června 2022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134F52F6" w:rsidR="00475E85" w:rsidRPr="006F55F9" w:rsidRDefault="00C91256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2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78CCF255" w14:textId="5BEBDA22" w:rsidR="00475E85" w:rsidRPr="00C3658E" w:rsidRDefault="00446A2A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A2A">
              <w:rPr>
                <w:rFonts w:asciiTheme="minorHAnsi" w:hAnsiTheme="minorHAnsi" w:cstheme="minorHAnsi"/>
                <w:sz w:val="22"/>
                <w:szCs w:val="22"/>
              </w:rPr>
              <w:t>Petr Soukup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DF3D" w14:textId="77777777" w:rsidR="003F22BA" w:rsidRDefault="003F22BA">
      <w:r>
        <w:separator/>
      </w:r>
    </w:p>
  </w:endnote>
  <w:endnote w:type="continuationSeparator" w:id="0">
    <w:p w14:paraId="45F90C79" w14:textId="77777777" w:rsidR="003F22BA" w:rsidRDefault="003F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A371" w14:textId="77777777" w:rsidR="003F22BA" w:rsidRDefault="003F22BA">
      <w:r>
        <w:separator/>
      </w:r>
    </w:p>
  </w:footnote>
  <w:footnote w:type="continuationSeparator" w:id="0">
    <w:p w14:paraId="6A6DB565" w14:textId="77777777" w:rsidR="003F22BA" w:rsidRDefault="003F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4373399"/>
    <w:multiLevelType w:val="hybridMultilevel"/>
    <w:tmpl w:val="43766C66"/>
    <w:lvl w:ilvl="0" w:tplc="150858C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6A657FD4"/>
    <w:multiLevelType w:val="hybridMultilevel"/>
    <w:tmpl w:val="5B52C5FE"/>
    <w:lvl w:ilvl="0" w:tplc="5A74A2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6D580C01"/>
    <w:multiLevelType w:val="hybridMultilevel"/>
    <w:tmpl w:val="751ACB0C"/>
    <w:lvl w:ilvl="0" w:tplc="AB1CF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20"/>
  </w:num>
  <w:num w:numId="5">
    <w:abstractNumId w:val="26"/>
  </w:num>
  <w:num w:numId="6">
    <w:abstractNumId w:val="14"/>
  </w:num>
  <w:num w:numId="7">
    <w:abstractNumId w:val="23"/>
  </w:num>
  <w:num w:numId="8">
    <w:abstractNumId w:val="12"/>
  </w:num>
  <w:num w:numId="9">
    <w:abstractNumId w:val="29"/>
  </w:num>
  <w:num w:numId="10">
    <w:abstractNumId w:val="30"/>
  </w:num>
  <w:num w:numId="11">
    <w:abstractNumId w:val="22"/>
  </w:num>
  <w:num w:numId="12">
    <w:abstractNumId w:val="17"/>
  </w:num>
  <w:num w:numId="13">
    <w:abstractNumId w:val="21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4"/>
  </w:num>
  <w:num w:numId="19">
    <w:abstractNumId w:val="19"/>
  </w:num>
  <w:num w:numId="20">
    <w:abstractNumId w:val="16"/>
  </w:num>
  <w:num w:numId="21">
    <w:abstractNumId w:val="25"/>
  </w:num>
  <w:num w:numId="2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19A2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11D3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22BA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46A2A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D6470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673A"/>
    <w:rsid w:val="006274E6"/>
    <w:rsid w:val="00630ADD"/>
    <w:rsid w:val="00632F03"/>
    <w:rsid w:val="006411BC"/>
    <w:rsid w:val="0064243B"/>
    <w:rsid w:val="00655485"/>
    <w:rsid w:val="006606AF"/>
    <w:rsid w:val="006646A9"/>
    <w:rsid w:val="00666399"/>
    <w:rsid w:val="00667D05"/>
    <w:rsid w:val="00671BC8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4F02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057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328CB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C1BB4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4B41"/>
    <w:rsid w:val="00905441"/>
    <w:rsid w:val="0091031A"/>
    <w:rsid w:val="0091285A"/>
    <w:rsid w:val="00917AA1"/>
    <w:rsid w:val="009208E6"/>
    <w:rsid w:val="00921FDF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2BB3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3F5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0F43"/>
    <w:rsid w:val="00AA15C6"/>
    <w:rsid w:val="00AA261B"/>
    <w:rsid w:val="00AA3833"/>
    <w:rsid w:val="00AB37F7"/>
    <w:rsid w:val="00AB4DCB"/>
    <w:rsid w:val="00AB660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3D1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9711A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49E6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894"/>
    <w:rsid w:val="00C74CAA"/>
    <w:rsid w:val="00C75CE4"/>
    <w:rsid w:val="00C7619C"/>
    <w:rsid w:val="00C81634"/>
    <w:rsid w:val="00C81CB4"/>
    <w:rsid w:val="00C82B6F"/>
    <w:rsid w:val="00C87DDA"/>
    <w:rsid w:val="00C87E35"/>
    <w:rsid w:val="00C91256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412C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6E8"/>
    <w:rsid w:val="00E47848"/>
    <w:rsid w:val="00E5253A"/>
    <w:rsid w:val="00E542D1"/>
    <w:rsid w:val="00E547C4"/>
    <w:rsid w:val="00E54822"/>
    <w:rsid w:val="00E5782F"/>
    <w:rsid w:val="00E60427"/>
    <w:rsid w:val="00E66DB4"/>
    <w:rsid w:val="00E6752E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0D3E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966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25E-0331-4D46-9DB2-FE73950A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2526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2</cp:revision>
  <cp:lastPrinted>2021-06-10T05:20:00Z</cp:lastPrinted>
  <dcterms:created xsi:type="dcterms:W3CDTF">2022-06-21T08:55:00Z</dcterms:created>
  <dcterms:modified xsi:type="dcterms:W3CDTF">2022-06-21T08:55:00Z</dcterms:modified>
</cp:coreProperties>
</file>