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D4" w:rsidRDefault="00E46832">
      <w:pPr>
        <w:pStyle w:val="Bodytext30"/>
        <w:framePr w:w="9125" w:h="1143" w:hRule="exact" w:wrap="none" w:vAnchor="page" w:hAnchor="page" w:x="1327" w:y="1494"/>
        <w:shd w:val="clear" w:color="auto" w:fill="auto"/>
        <w:ind w:left="580" w:firstLine="3420"/>
      </w:pPr>
      <w:r>
        <w:t>Dodatek ě. 8</w:t>
      </w:r>
      <w:r>
        <w:br/>
        <w:t>ke smlouvě č. 7/2006 o dodávce tepla a TUV</w:t>
      </w:r>
    </w:p>
    <w:p w:rsidR="00FD3DD4" w:rsidRDefault="00E46832">
      <w:pPr>
        <w:pStyle w:val="Bodytext30"/>
        <w:framePr w:w="9125" w:h="1143" w:hRule="exact" w:wrap="none" w:vAnchor="page" w:hAnchor="page" w:x="1327" w:y="1494"/>
        <w:shd w:val="clear" w:color="auto" w:fill="auto"/>
        <w:ind w:left="580"/>
      </w:pPr>
      <w:r>
        <w:t>uzavřené ve smyslu zákona č. 458/2000 Sb. a ě. 406/2000 Sb. ve znění pozdějších</w:t>
      </w:r>
    </w:p>
    <w:p w:rsidR="00FD3DD4" w:rsidRDefault="00E46832">
      <w:pPr>
        <w:pStyle w:val="Bodytext30"/>
        <w:framePr w:w="9125" w:h="1143" w:hRule="exact" w:wrap="none" w:vAnchor="page" w:hAnchor="page" w:x="1327" w:y="1494"/>
        <w:shd w:val="clear" w:color="auto" w:fill="auto"/>
        <w:ind w:left="494" w:right="413"/>
        <w:jc w:val="center"/>
      </w:pPr>
      <w:r>
        <w:t>předpisů</w:t>
      </w:r>
    </w:p>
    <w:p w:rsidR="00FD3DD4" w:rsidRDefault="00E46832">
      <w:pPr>
        <w:pStyle w:val="Bodytext30"/>
        <w:framePr w:w="9125" w:h="4289" w:hRule="exact" w:wrap="none" w:vAnchor="page" w:hAnchor="page" w:x="1327" w:y="2846"/>
        <w:shd w:val="clear" w:color="auto" w:fill="auto"/>
        <w:tabs>
          <w:tab w:val="left" w:pos="1541"/>
        </w:tabs>
        <w:spacing w:line="269" w:lineRule="exact"/>
        <w:jc w:val="both"/>
      </w:pPr>
      <w:r>
        <w:rPr>
          <w:rStyle w:val="Bodytext3NotBoldItalic"/>
        </w:rPr>
        <w:t>Odběratel:</w:t>
      </w:r>
      <w:r>
        <w:tab/>
        <w:t>Město Český Těšín</w:t>
      </w:r>
    </w:p>
    <w:p w:rsidR="00FD3DD4" w:rsidRDefault="00E46832">
      <w:pPr>
        <w:pStyle w:val="Bodytext40"/>
        <w:framePr w:w="9125" w:h="4289" w:hRule="exact" w:wrap="none" w:vAnchor="page" w:hAnchor="page" w:x="1327" w:y="2846"/>
        <w:shd w:val="clear" w:color="auto" w:fill="auto"/>
        <w:ind w:left="1640" w:right="3140"/>
      </w:pPr>
      <w:r>
        <w:rPr>
          <w:rStyle w:val="Bodytext4Bold"/>
        </w:rPr>
        <w:t xml:space="preserve">Český Těšín, náměstí ČSA 1/1, PSČ 737 01 </w:t>
      </w:r>
      <w:r>
        <w:t xml:space="preserve">zastoupené starostou Ing. </w:t>
      </w:r>
      <w:r>
        <w:t>Vítem Slováčkem IČ: 00297437 DIČ: CZ00279437</w:t>
      </w:r>
    </w:p>
    <w:p w:rsidR="00FD3DD4" w:rsidRDefault="00E46832">
      <w:pPr>
        <w:pStyle w:val="Bodytext20"/>
        <w:framePr w:w="9125" w:h="4289" w:hRule="exact" w:wrap="none" w:vAnchor="page" w:hAnchor="page" w:x="1327" w:y="2846"/>
        <w:shd w:val="clear" w:color="auto" w:fill="auto"/>
        <w:spacing w:after="252"/>
        <w:ind w:left="1640" w:right="2240" w:firstLine="0"/>
      </w:pPr>
      <w:r>
        <w:t>bankovní spojení: Komerční banka, a.s. expozitura Č. Těšín č. účtu: 86-6000360257/0100 telefon: 553 035 510</w:t>
      </w:r>
    </w:p>
    <w:p w:rsidR="00FD3DD4" w:rsidRDefault="00E46832">
      <w:pPr>
        <w:pStyle w:val="Bodytext50"/>
        <w:framePr w:w="9125" w:h="4289" w:hRule="exact" w:wrap="none" w:vAnchor="page" w:hAnchor="page" w:x="1327" w:y="2846"/>
        <w:shd w:val="clear" w:color="auto" w:fill="auto"/>
        <w:tabs>
          <w:tab w:val="left" w:pos="1541"/>
        </w:tabs>
        <w:spacing w:before="0"/>
        <w:ind w:firstLine="0"/>
      </w:pPr>
      <w:r>
        <w:rPr>
          <w:rStyle w:val="Bodytext512ptNotBold"/>
        </w:rPr>
        <w:t>Dodavatel::</w:t>
      </w:r>
      <w:r>
        <w:rPr>
          <w:rStyle w:val="Bodytext512ptNotBold"/>
        </w:rPr>
        <w:tab/>
      </w:r>
      <w:r>
        <w:t>Teplo Těšín a.s.</w:t>
      </w:r>
    </w:p>
    <w:p w:rsidR="00FD3DD4" w:rsidRDefault="00E46832">
      <w:pPr>
        <w:pStyle w:val="Bodytext50"/>
        <w:framePr w:w="9125" w:h="4289" w:hRule="exact" w:wrap="none" w:vAnchor="page" w:hAnchor="page" w:x="1327" w:y="2846"/>
        <w:shd w:val="clear" w:color="auto" w:fill="auto"/>
        <w:spacing w:before="0"/>
        <w:ind w:left="3280"/>
        <w:jc w:val="left"/>
      </w:pPr>
      <w:r>
        <w:t>Český Těšín, Hornická 2070/14, PSČ 737 01</w:t>
      </w:r>
    </w:p>
    <w:p w:rsidR="00FD3DD4" w:rsidRDefault="00E46832">
      <w:pPr>
        <w:pStyle w:val="Bodytext40"/>
        <w:framePr w:w="9125" w:h="4289" w:hRule="exact" w:wrap="none" w:vAnchor="page" w:hAnchor="page" w:x="1327" w:y="2846"/>
        <w:shd w:val="clear" w:color="auto" w:fill="auto"/>
        <w:spacing w:line="254" w:lineRule="exact"/>
        <w:ind w:left="1640" w:right="2240"/>
      </w:pPr>
      <w:r>
        <w:t xml:space="preserve">zastoupený ředitelem a.s. Ing. Josefem Gabzdylem </w:t>
      </w:r>
      <w:r>
        <w:rPr>
          <w:rStyle w:val="Bodytext4105pt"/>
        </w:rPr>
        <w:t>IČ: 25391330 DIČ: CZ 25391330</w:t>
      </w:r>
    </w:p>
    <w:p w:rsidR="00FD3DD4" w:rsidRDefault="00E46832">
      <w:pPr>
        <w:pStyle w:val="Bodytext20"/>
        <w:framePr w:w="9125" w:h="4289" w:hRule="exact" w:wrap="none" w:vAnchor="page" w:hAnchor="page" w:x="1327" w:y="2846"/>
        <w:shd w:val="clear" w:color="auto" w:fill="auto"/>
        <w:spacing w:after="0" w:line="254" w:lineRule="exact"/>
        <w:ind w:left="3280" w:right="1860"/>
      </w:pPr>
      <w:r>
        <w:t>bankovní spojení: Komerční banka Karviná, expozitura Č. Těšín č. účtu: 19-5753310217/0100</w:t>
      </w:r>
    </w:p>
    <w:p w:rsidR="00FD3DD4" w:rsidRDefault="00E46832">
      <w:pPr>
        <w:pStyle w:val="Heading20"/>
        <w:framePr w:w="9125" w:h="1707" w:hRule="exact" w:wrap="none" w:vAnchor="page" w:hAnchor="page" w:x="1327" w:y="7808"/>
        <w:shd w:val="clear" w:color="auto" w:fill="auto"/>
        <w:spacing w:before="0" w:after="200"/>
        <w:ind w:right="100"/>
      </w:pPr>
      <w:bookmarkStart w:id="0" w:name="bookmark0"/>
      <w:r>
        <w:t>čl. I</w:t>
      </w:r>
      <w:bookmarkEnd w:id="0"/>
    </w:p>
    <w:p w:rsidR="00FD3DD4" w:rsidRDefault="00E46832">
      <w:pPr>
        <w:pStyle w:val="Bodytext20"/>
        <w:framePr w:w="9125" w:h="1707" w:hRule="exact" w:wrap="none" w:vAnchor="page" w:hAnchor="page" w:x="1327" w:y="7808"/>
        <w:shd w:val="clear" w:color="auto" w:fill="auto"/>
        <w:spacing w:after="0" w:line="250" w:lineRule="exact"/>
        <w:ind w:firstLine="0"/>
        <w:jc w:val="both"/>
      </w:pPr>
      <w:r>
        <w:t>Smlouva č. 7/2006 o dodávce tepla uzavřena mezi smluvními stranami dne 6. 9. 2006</w:t>
      </w:r>
      <w:r>
        <w:t xml:space="preserve"> se mění následovně:</w:t>
      </w:r>
    </w:p>
    <w:p w:rsidR="00FD3DD4" w:rsidRDefault="00E46832">
      <w:pPr>
        <w:pStyle w:val="Bodytext20"/>
        <w:framePr w:w="9125" w:h="1707" w:hRule="exact" w:wrap="none" w:vAnchor="page" w:hAnchor="page" w:x="1327" w:y="7808"/>
        <w:shd w:val="clear" w:color="auto" w:fill="auto"/>
        <w:spacing w:after="0" w:line="250" w:lineRule="exact"/>
        <w:ind w:firstLine="0"/>
        <w:jc w:val="both"/>
      </w:pPr>
      <w:r>
        <w:t xml:space="preserve">Ve smyslu čl. V, odst. 2 Smlouvy č. 7/2006 o dodávce tepla se po dohodě smluvních stran mění </w:t>
      </w:r>
      <w:r>
        <w:rPr>
          <w:rStyle w:val="Bodytext2Bold"/>
        </w:rPr>
        <w:t xml:space="preserve">příloha č. 2 </w:t>
      </w:r>
      <w:r>
        <w:t xml:space="preserve">výše uvedené smlouvy. </w:t>
      </w:r>
      <w:r>
        <w:rPr>
          <w:rStyle w:val="Bodytext2Bold"/>
        </w:rPr>
        <w:t xml:space="preserve">Od 1. 3. 2014 </w:t>
      </w:r>
      <w:r>
        <w:t xml:space="preserve">vstupuje v platnost nová kalkulace ceny tepla a stanovuje se výše měsíčních záloh na období </w:t>
      </w:r>
      <w:r>
        <w:rPr>
          <w:rStyle w:val="Bodytext2Bold"/>
        </w:rPr>
        <w:t>3</w:t>
      </w:r>
      <w:r>
        <w:rPr>
          <w:rStyle w:val="Bodytext2Bold"/>
        </w:rPr>
        <w:t>/2014 - 2/2015.</w:t>
      </w:r>
    </w:p>
    <w:p w:rsidR="00FD3DD4" w:rsidRDefault="00E46832">
      <w:pPr>
        <w:pStyle w:val="Bodytext50"/>
        <w:framePr w:wrap="none" w:vAnchor="page" w:hAnchor="page" w:x="1327" w:y="10028"/>
        <w:shd w:val="clear" w:color="auto" w:fill="auto"/>
        <w:spacing w:before="0" w:line="232" w:lineRule="exact"/>
        <w:ind w:firstLine="0"/>
        <w:jc w:val="left"/>
      </w:pPr>
      <w:r>
        <w:t>Jednosložková cena</w:t>
      </w:r>
    </w:p>
    <w:p w:rsidR="00FD3DD4" w:rsidRDefault="00E46832">
      <w:pPr>
        <w:pStyle w:val="Bodytext50"/>
        <w:framePr w:wrap="none" w:vAnchor="page" w:hAnchor="page" w:x="5983" w:y="10017"/>
        <w:shd w:val="clear" w:color="auto" w:fill="auto"/>
        <w:spacing w:before="0" w:line="232" w:lineRule="exact"/>
        <w:ind w:firstLine="0"/>
        <w:jc w:val="left"/>
      </w:pPr>
      <w:r>
        <w:t>ÚT</w:t>
      </w:r>
    </w:p>
    <w:p w:rsidR="00FD3DD4" w:rsidRDefault="00E46832">
      <w:pPr>
        <w:pStyle w:val="Bodytext50"/>
        <w:framePr w:wrap="none" w:vAnchor="page" w:hAnchor="page" w:x="7764" w:y="10033"/>
        <w:shd w:val="clear" w:color="auto" w:fill="auto"/>
        <w:spacing w:before="0" w:line="232" w:lineRule="exact"/>
        <w:ind w:firstLine="0"/>
        <w:jc w:val="left"/>
      </w:pPr>
      <w:r>
        <w:t>TV</w:t>
      </w:r>
    </w:p>
    <w:p w:rsidR="00FD3DD4" w:rsidRDefault="00E46832">
      <w:pPr>
        <w:pStyle w:val="Bodytext20"/>
        <w:framePr w:w="9125" w:h="1067" w:hRule="exact" w:wrap="none" w:vAnchor="page" w:hAnchor="page" w:x="1327" w:y="10374"/>
        <w:shd w:val="clear" w:color="auto" w:fill="auto"/>
        <w:spacing w:after="0" w:line="250" w:lineRule="exact"/>
        <w:ind w:right="6034" w:firstLine="0"/>
        <w:jc w:val="right"/>
      </w:pPr>
      <w:r>
        <w:t>Cenové ujednání (bez DPH)</w:t>
      </w:r>
    </w:p>
    <w:p w:rsidR="00FD3DD4" w:rsidRDefault="00E46832">
      <w:pPr>
        <w:pStyle w:val="Bodytext20"/>
        <w:framePr w:w="9125" w:h="1067" w:hRule="exact" w:wrap="none" w:vAnchor="page" w:hAnchor="page" w:x="1327" w:y="10374"/>
        <w:shd w:val="clear" w:color="auto" w:fill="auto"/>
        <w:spacing w:after="0" w:line="250" w:lineRule="exact"/>
        <w:ind w:right="6034" w:firstLine="0"/>
        <w:jc w:val="right"/>
      </w:pPr>
      <w:r>
        <w:t>( s DPH )</w:t>
      </w:r>
    </w:p>
    <w:p w:rsidR="00FD3DD4" w:rsidRDefault="00E46832">
      <w:pPr>
        <w:pStyle w:val="Bodytext20"/>
        <w:framePr w:w="9125" w:h="1067" w:hRule="exact" w:wrap="none" w:vAnchor="page" w:hAnchor="page" w:x="1327" w:y="10374"/>
        <w:shd w:val="clear" w:color="auto" w:fill="auto"/>
        <w:spacing w:after="0" w:line="250" w:lineRule="exact"/>
        <w:ind w:right="6034" w:firstLine="0"/>
        <w:jc w:val="both"/>
      </w:pPr>
      <w:r>
        <w:t>Předpokládaný odběr v GJ/rok</w:t>
      </w:r>
      <w:r>
        <w:br/>
        <w:t>Předpokládaná spotřeba vody v nr</w:t>
      </w:r>
    </w:p>
    <w:p w:rsidR="00FD3DD4" w:rsidRDefault="00E46832">
      <w:pPr>
        <w:pStyle w:val="Bodytext50"/>
        <w:framePr w:w="1320" w:h="816" w:hRule="exact" w:wrap="none" w:vAnchor="page" w:hAnchor="page" w:x="5455" w:y="10374"/>
        <w:shd w:val="clear" w:color="auto" w:fill="auto"/>
        <w:spacing w:before="0" w:line="250" w:lineRule="exact"/>
        <w:ind w:firstLine="0"/>
      </w:pPr>
      <w:r>
        <w:t>543,73 Kč/GJ 625,29 Kč/GJ</w:t>
      </w:r>
    </w:p>
    <w:p w:rsidR="00FD3DD4" w:rsidRDefault="00E46832">
      <w:pPr>
        <w:pStyle w:val="Bodytext20"/>
        <w:framePr w:w="1320" w:h="816" w:hRule="exact" w:wrap="none" w:vAnchor="page" w:hAnchor="page" w:x="5455" w:y="10374"/>
        <w:shd w:val="clear" w:color="auto" w:fill="auto"/>
        <w:spacing w:after="0" w:line="250" w:lineRule="exact"/>
        <w:ind w:firstLine="0"/>
        <w:jc w:val="both"/>
      </w:pPr>
      <w:r>
        <w:t>1 322 GJ/rok</w:t>
      </w:r>
    </w:p>
    <w:p w:rsidR="00FD3DD4" w:rsidRDefault="00E46832">
      <w:pPr>
        <w:pStyle w:val="Bodytext50"/>
        <w:framePr w:w="1339" w:h="1066" w:hRule="exact" w:wrap="none" w:vAnchor="page" w:hAnchor="page" w:x="7308" w:y="10379"/>
        <w:shd w:val="clear" w:color="auto" w:fill="auto"/>
        <w:spacing w:before="0" w:line="250" w:lineRule="exact"/>
        <w:ind w:firstLine="0"/>
        <w:jc w:val="left"/>
      </w:pPr>
      <w:r>
        <w:t>529,09 Kč/GJ 608,46 KČ/GJ</w:t>
      </w:r>
    </w:p>
    <w:p w:rsidR="00FD3DD4" w:rsidRDefault="00E46832">
      <w:pPr>
        <w:pStyle w:val="Bodytext20"/>
        <w:framePr w:w="1339" w:h="1066" w:hRule="exact" w:wrap="none" w:vAnchor="page" w:hAnchor="page" w:x="7308" w:y="10379"/>
        <w:shd w:val="clear" w:color="auto" w:fill="auto"/>
        <w:spacing w:after="0" w:line="250" w:lineRule="exact"/>
        <w:ind w:firstLine="0"/>
      </w:pPr>
      <w:r>
        <w:t>797 GJ/rok 1 755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1406"/>
        <w:gridCol w:w="1512"/>
        <w:gridCol w:w="1512"/>
        <w:gridCol w:w="1656"/>
      </w:tblGrid>
      <w:tr w:rsidR="00FD3DD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left="140" w:firstLine="0"/>
            </w:pPr>
            <w:r>
              <w:rPr>
                <w:rStyle w:val="Bodytext2Bold0"/>
              </w:rPr>
              <w:t>Období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Bold0"/>
              </w:rPr>
              <w:t>Teplo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center"/>
            </w:pPr>
            <w:r>
              <w:rPr>
                <w:rStyle w:val="Bodytext2Bold0"/>
              </w:rPr>
              <w:t>TV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Bold0"/>
              </w:rPr>
              <w:t>Studená voda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Bold0"/>
              </w:rPr>
              <w:t>Celkem</w:t>
            </w:r>
            <w:r>
              <w:rPr>
                <w:rStyle w:val="Bodytext2Bold0"/>
              </w:rPr>
              <w:t xml:space="preserve"> záloha</w:t>
            </w:r>
          </w:p>
        </w:tc>
      </w:tr>
      <w:tr w:rsidR="00FD3DD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left="140" w:firstLine="0"/>
            </w:pPr>
            <w:r>
              <w:rPr>
                <w:rStyle w:val="Bodytext21"/>
              </w:rPr>
              <w:t>Březen 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89 100,-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43 800,-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14 480,-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Bold0"/>
              </w:rPr>
              <w:t>147 380,-</w:t>
            </w:r>
          </w:p>
        </w:tc>
      </w:tr>
      <w:tr w:rsidR="00FD3DD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left="140" w:firstLine="0"/>
            </w:pPr>
            <w:r>
              <w:rPr>
                <w:rStyle w:val="Bodytext21"/>
              </w:rPr>
              <w:t>Duben 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74 400,-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39 800,-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10 500,-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Bold0"/>
              </w:rPr>
              <w:t>124 700,-</w:t>
            </w:r>
          </w:p>
        </w:tc>
      </w:tr>
      <w:tr w:rsidR="00FD3DD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left="140" w:firstLine="0"/>
            </w:pPr>
            <w:r>
              <w:rPr>
                <w:rStyle w:val="Bodytext21"/>
              </w:rPr>
              <w:t>Květen 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16 600,-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41 200,-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10 900,-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Bold0"/>
              </w:rPr>
              <w:t>68 700,-</w:t>
            </w:r>
          </w:p>
        </w:tc>
      </w:tr>
      <w:tr w:rsidR="00FD3DD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left="140" w:firstLine="0"/>
            </w:pPr>
            <w:r>
              <w:rPr>
                <w:rStyle w:val="Bodytext21"/>
              </w:rPr>
              <w:t>Červen 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Bold0"/>
              </w:rPr>
              <w:t>0-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39 800,-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10 500,-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Bold0"/>
              </w:rPr>
              <w:t>50 300,-</w:t>
            </w:r>
          </w:p>
        </w:tc>
      </w:tr>
      <w:tr w:rsidR="00FD3DD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left="140" w:firstLine="0"/>
            </w:pPr>
            <w:r>
              <w:rPr>
                <w:rStyle w:val="Bodytext21"/>
              </w:rPr>
              <w:t>Červenec 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332" w:lineRule="exact"/>
              <w:ind w:firstLine="0"/>
              <w:jc w:val="right"/>
            </w:pPr>
            <w:r>
              <w:rPr>
                <w:rStyle w:val="Bodytext2SimplifiedArabic14ptBoldScaling66"/>
              </w:rPr>
              <w:t>o,~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41 200,-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10 900,-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Bold0"/>
              </w:rPr>
              <w:t>52 100,-</w:t>
            </w:r>
          </w:p>
        </w:tc>
      </w:tr>
      <w:tr w:rsidR="00FD3DD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left="140" w:firstLine="0"/>
            </w:pPr>
            <w:r>
              <w:rPr>
                <w:rStyle w:val="Bodytext21"/>
              </w:rPr>
              <w:t>Srpen 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332" w:lineRule="exact"/>
              <w:ind w:firstLine="0"/>
              <w:jc w:val="right"/>
            </w:pPr>
            <w:r>
              <w:rPr>
                <w:rStyle w:val="Bodytext2SimplifiedArabic14ptBoldScaling66"/>
              </w:rPr>
              <w:t>o,-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41 200,-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10 900,-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Bold0"/>
              </w:rPr>
              <w:t>52 100,-</w:t>
            </w:r>
          </w:p>
        </w:tc>
      </w:tr>
      <w:tr w:rsidR="00FD3DD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left="140" w:firstLine="0"/>
            </w:pPr>
            <w:r>
              <w:rPr>
                <w:rStyle w:val="Bodytext21"/>
              </w:rPr>
              <w:t>Září 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8 300,-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39 800,-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10 500,-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Bold0"/>
              </w:rPr>
              <w:t>58 600,-</w:t>
            </w:r>
          </w:p>
        </w:tc>
      </w:tr>
      <w:tr w:rsidR="00FD3DD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left="140" w:firstLine="0"/>
            </w:pPr>
            <w:r>
              <w:rPr>
                <w:rStyle w:val="Bodytext21"/>
              </w:rPr>
              <w:t>Říjen 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66 200,-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41 200,-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10 900,-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Bold0"/>
              </w:rPr>
              <w:t>118 300,-</w:t>
            </w:r>
          </w:p>
        </w:tc>
      </w:tr>
      <w:tr w:rsidR="00FD3DD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left="140" w:firstLine="0"/>
            </w:pPr>
            <w:r>
              <w:rPr>
                <w:rStyle w:val="Bodytext21"/>
              </w:rPr>
              <w:t>Listopad 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115 800,-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39 800,-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10 500,-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Bold0"/>
              </w:rPr>
              <w:t>166 100,-</w:t>
            </w:r>
          </w:p>
        </w:tc>
      </w:tr>
      <w:tr w:rsidR="00FD3DD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left="140" w:firstLine="0"/>
            </w:pPr>
            <w:r>
              <w:rPr>
                <w:rStyle w:val="Bodytext21"/>
              </w:rPr>
              <w:t>Prosinec 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140 700,-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41 200,-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10 900,-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Bold0"/>
              </w:rPr>
              <w:t>192 800,-</w:t>
            </w:r>
          </w:p>
        </w:tc>
      </w:tr>
      <w:tr w:rsidR="00FD3DD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left="140" w:firstLine="0"/>
            </w:pPr>
            <w:r>
              <w:rPr>
                <w:rStyle w:val="Bodytext21"/>
              </w:rPr>
              <w:t>Leden 2015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157 200,-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41 200,-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10 900,-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Bold0"/>
              </w:rPr>
              <w:t>209 300,-</w:t>
            </w:r>
          </w:p>
        </w:tc>
      </w:tr>
      <w:tr w:rsidR="00FD3DD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left="140" w:firstLine="0"/>
            </w:pPr>
            <w:r>
              <w:rPr>
                <w:rStyle w:val="Bodytext21"/>
              </w:rPr>
              <w:t>Únor 2015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132 300,-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37 350,-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1"/>
              </w:rPr>
              <w:t>9 900,-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D4" w:rsidRDefault="00E46832">
            <w:pPr>
              <w:pStyle w:val="Bodytext20"/>
              <w:framePr w:w="8405" w:h="3437" w:wrap="none" w:vAnchor="page" w:hAnchor="page" w:x="1639" w:y="12048"/>
              <w:shd w:val="clear" w:color="auto" w:fill="auto"/>
              <w:spacing w:after="0" w:line="232" w:lineRule="exact"/>
              <w:ind w:firstLine="0"/>
              <w:jc w:val="right"/>
            </w:pPr>
            <w:r>
              <w:rPr>
                <w:rStyle w:val="Bodytext2Bold0"/>
              </w:rPr>
              <w:t>179 550,-</w:t>
            </w:r>
          </w:p>
        </w:tc>
      </w:tr>
    </w:tbl>
    <w:p w:rsidR="00FD3DD4" w:rsidRDefault="00FD3DD4">
      <w:pPr>
        <w:rPr>
          <w:sz w:val="2"/>
          <w:szCs w:val="2"/>
        </w:rPr>
        <w:sectPr w:rsidR="00FD3D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3DD4" w:rsidRDefault="00E46832">
      <w:pPr>
        <w:rPr>
          <w:sz w:val="2"/>
          <w:szCs w:val="2"/>
        </w:rPr>
      </w:pPr>
      <w:bookmarkStart w:id="1" w:name="_GoBack"/>
      <w:bookmarkEnd w:id="1"/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83.25pt;margin-top:649.35pt;width:253.7pt;height:0;z-index:-251661824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7" type="#_x0000_t32" style="position:absolute;margin-left:283.25pt;margin-top:649.35pt;width:0;height:86.9pt;z-index:-251660800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6" type="#_x0000_t32" style="position:absolute;margin-left:283.25pt;margin-top:736.25pt;width:253.7pt;height:0;z-index:-251659776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5" type="#_x0000_t32" style="position:absolute;margin-left:536.95pt;margin-top:649.35pt;width:0;height:86.9pt;z-index:-251658752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4" type="#_x0000_t32" style="position:absolute;margin-left:167.35pt;margin-top:751.15pt;width:97.65pt;height:0;z-index:-25165772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64.85pt;margin-top:753.3pt;width:74.65pt;height:0;z-index:-25165670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7.95pt;margin-top:754.25pt;width:50.9pt;height:0;z-index:-25165568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63.9pt;margin-top:773.45pt;width:453.35pt;height:0;z-index:-25165465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FD3DD4" w:rsidRDefault="00E46832">
      <w:pPr>
        <w:pStyle w:val="Bodytext70"/>
        <w:framePr w:w="9202" w:h="292" w:hRule="exact" w:wrap="none" w:vAnchor="page" w:hAnchor="page" w:x="1288" w:y="1508"/>
        <w:shd w:val="clear" w:color="auto" w:fill="auto"/>
        <w:spacing w:after="0"/>
        <w:ind w:right="80"/>
      </w:pPr>
      <w:r>
        <w:t>-</w:t>
      </w:r>
      <w:r>
        <w:rPr>
          <w:rStyle w:val="Bodytext711ptBold"/>
        </w:rPr>
        <w:t>2</w:t>
      </w:r>
      <w:r>
        <w:t>-</w:t>
      </w:r>
    </w:p>
    <w:p w:rsidR="00FD3DD4" w:rsidRDefault="00E46832">
      <w:pPr>
        <w:pStyle w:val="Bodytext20"/>
        <w:framePr w:w="9202" w:h="1343" w:hRule="exact" w:wrap="none" w:vAnchor="page" w:hAnchor="page" w:x="1288" w:y="2252"/>
        <w:shd w:val="clear" w:color="auto" w:fill="auto"/>
        <w:spacing w:after="0" w:line="250" w:lineRule="exact"/>
        <w:ind w:firstLine="420"/>
        <w:jc w:val="both"/>
      </w:pPr>
      <w:r>
        <w:t>Zálohy jsou stanoveny z průměrných hodnot měsíčních podílů souhrnných nákladů na jednotlivé měsíce během roku.</w:t>
      </w:r>
    </w:p>
    <w:p w:rsidR="00FD3DD4" w:rsidRDefault="00E46832">
      <w:pPr>
        <w:pStyle w:val="Bodytext20"/>
        <w:framePr w:w="9202" w:h="1343" w:hRule="exact" w:wrap="none" w:vAnchor="page" w:hAnchor="page" w:x="1288" w:y="2252"/>
        <w:shd w:val="clear" w:color="auto" w:fill="auto"/>
        <w:spacing w:after="0" w:line="250" w:lineRule="exact"/>
        <w:ind w:firstLine="0"/>
        <w:jc w:val="both"/>
      </w:pPr>
      <w:r>
        <w:t xml:space="preserve">Předpokládaný </w:t>
      </w:r>
      <w:r>
        <w:t>odběr v GJ/rok je stanoven jako průměr z vyúčtování skutečného množství dodávek tepelné energie za poslední tři kalendářní roky.</w:t>
      </w:r>
    </w:p>
    <w:p w:rsidR="00FD3DD4" w:rsidRDefault="00E46832">
      <w:pPr>
        <w:pStyle w:val="Bodytext30"/>
        <w:framePr w:w="9202" w:h="1343" w:hRule="exact" w:wrap="none" w:vAnchor="page" w:hAnchor="page" w:x="1288" w:y="2252"/>
        <w:shd w:val="clear" w:color="auto" w:fill="auto"/>
        <w:spacing w:line="266" w:lineRule="exact"/>
        <w:jc w:val="both"/>
      </w:pPr>
      <w:r>
        <w:t>Celková roční zálohová částka na rok 2014 činí 1.440.300,— Kč (včetně DPH).</w:t>
      </w:r>
    </w:p>
    <w:p w:rsidR="00FD3DD4" w:rsidRDefault="00E46832">
      <w:pPr>
        <w:pStyle w:val="Bodytext80"/>
        <w:framePr w:w="9202" w:h="820" w:hRule="exact" w:wrap="none" w:vAnchor="page" w:hAnchor="page" w:x="1288" w:y="4052"/>
        <w:shd w:val="clear" w:color="auto" w:fill="auto"/>
        <w:spacing w:before="0" w:after="242"/>
        <w:ind w:right="80"/>
      </w:pPr>
      <w:r>
        <w:t>ČI. II</w:t>
      </w:r>
    </w:p>
    <w:p w:rsidR="00FD3DD4" w:rsidRDefault="00E46832">
      <w:pPr>
        <w:pStyle w:val="Heading40"/>
        <w:framePr w:w="9202" w:h="820" w:hRule="exact" w:wrap="none" w:vAnchor="page" w:hAnchor="page" w:x="1288" w:y="4052"/>
        <w:shd w:val="clear" w:color="auto" w:fill="auto"/>
        <w:spacing w:before="0" w:after="0"/>
      </w:pPr>
      <w:bookmarkStart w:id="2" w:name="bookmark1"/>
      <w:r>
        <w:t>V ostatních ujednáních zůstává smlouva nezmě</w:t>
      </w:r>
      <w:r>
        <w:t>něna.</w:t>
      </w:r>
      <w:bookmarkEnd w:id="2"/>
    </w:p>
    <w:p w:rsidR="00FD3DD4" w:rsidRDefault="00E46832">
      <w:pPr>
        <w:pStyle w:val="Bodytext80"/>
        <w:framePr w:w="9202" w:h="302" w:hRule="exact" w:wrap="none" w:vAnchor="page" w:hAnchor="page" w:x="1288" w:y="5588"/>
        <w:shd w:val="clear" w:color="auto" w:fill="auto"/>
        <w:spacing w:before="0" w:after="0"/>
        <w:ind w:right="80"/>
      </w:pPr>
      <w:r>
        <w:t>čl. III</w:t>
      </w:r>
    </w:p>
    <w:p w:rsidR="00FD3DD4" w:rsidRDefault="00E46832">
      <w:pPr>
        <w:pStyle w:val="Heading40"/>
        <w:framePr w:wrap="none" w:vAnchor="page" w:hAnchor="page" w:x="1288" w:y="6080"/>
        <w:shd w:val="clear" w:color="auto" w:fill="auto"/>
        <w:spacing w:before="0" w:after="0"/>
      </w:pPr>
      <w:bookmarkStart w:id="3" w:name="bookmark2"/>
      <w:r>
        <w:t>Tento dodatek nabývá platnosti 1.3. 2014.</w:t>
      </w:r>
      <w:bookmarkEnd w:id="3"/>
    </w:p>
    <w:p w:rsidR="00FD3DD4" w:rsidRDefault="00E46832">
      <w:pPr>
        <w:pStyle w:val="Bodytext20"/>
        <w:framePr w:wrap="none" w:vAnchor="page" w:hAnchor="page" w:x="1288" w:y="7862"/>
        <w:shd w:val="clear" w:color="auto" w:fill="auto"/>
        <w:spacing w:after="0" w:line="232" w:lineRule="exact"/>
        <w:ind w:firstLine="0"/>
        <w:jc w:val="both"/>
      </w:pPr>
      <w:r>
        <w:t xml:space="preserve">V Českém Těšíně dne </w:t>
      </w:r>
    </w:p>
    <w:p w:rsidR="00FD3DD4" w:rsidRDefault="00E46832">
      <w:pPr>
        <w:pStyle w:val="Bodytext20"/>
        <w:framePr w:w="1570" w:h="557" w:hRule="exact" w:wrap="none" w:vAnchor="page" w:hAnchor="page" w:x="1826" w:y="11137"/>
        <w:shd w:val="clear" w:color="auto" w:fill="auto"/>
        <w:spacing w:after="0" w:line="250" w:lineRule="exact"/>
        <w:ind w:left="20" w:firstLine="0"/>
        <w:jc w:val="center"/>
      </w:pPr>
      <w:r>
        <w:t>starosta města</w:t>
      </w:r>
      <w:r>
        <w:br/>
        <w:t>Ing. Vít Slováček</w:t>
      </w:r>
    </w:p>
    <w:p w:rsidR="00FD3DD4" w:rsidRDefault="00E46832">
      <w:pPr>
        <w:pStyle w:val="Picturecaption0"/>
        <w:framePr w:w="1766" w:h="783" w:hRule="exact" w:wrap="none" w:vAnchor="page" w:hAnchor="page" w:x="7308" w:y="10906"/>
        <w:shd w:val="clear" w:color="auto" w:fill="auto"/>
        <w:ind w:left="384" w:right="182"/>
      </w:pPr>
      <w:r>
        <w:rPr>
          <w:rStyle w:val="PicturecaptionItalic"/>
        </w:rPr>
        <w:t>dodavatel</w:t>
      </w:r>
      <w:r>
        <w:rPr>
          <w:rStyle w:val="PicturecaptionItalic"/>
        </w:rPr>
        <w:br/>
      </w:r>
      <w:r>
        <w:t>ředitel a.s.</w:t>
      </w:r>
    </w:p>
    <w:p w:rsidR="00FD3DD4" w:rsidRDefault="00E46832">
      <w:pPr>
        <w:pStyle w:val="Picturecaption0"/>
        <w:framePr w:w="1766" w:h="783" w:hRule="exact" w:wrap="none" w:vAnchor="page" w:hAnchor="page" w:x="7308" w:y="10906"/>
        <w:shd w:val="clear" w:color="auto" w:fill="auto"/>
        <w:ind w:right="40"/>
      </w:pPr>
      <w:r>
        <w:t>Ing. Josef Gabzdyl</w:t>
      </w:r>
    </w:p>
    <w:p w:rsidR="00FD3DD4" w:rsidRDefault="00FD3DD4">
      <w:pPr>
        <w:pStyle w:val="Other0"/>
        <w:framePr w:wrap="none" w:vAnchor="page" w:hAnchor="page" w:x="3688" w:y="14342"/>
        <w:shd w:val="clear" w:color="auto" w:fill="auto"/>
        <w:spacing w:line="480" w:lineRule="exact"/>
        <w:jc w:val="both"/>
      </w:pPr>
    </w:p>
    <w:p w:rsidR="00FD3DD4" w:rsidRDefault="00E46832">
      <w:pPr>
        <w:pStyle w:val="Bodytext20"/>
        <w:framePr w:wrap="none" w:vAnchor="page" w:hAnchor="page" w:x="1288" w:y="15624"/>
        <w:shd w:val="clear" w:color="auto" w:fill="auto"/>
        <w:spacing w:after="0" w:line="232" w:lineRule="exact"/>
        <w:ind w:firstLine="0"/>
      </w:pPr>
      <w:r>
        <w:t xml:space="preserve">Macurová Iveta, tel. 558 761 442, mobil 602 785 149, e-mail: </w:t>
      </w:r>
      <w:hyperlink r:id="rId6" w:history="1">
        <w:r>
          <w:rPr>
            <w:lang w:val="en-US" w:eastAsia="en-US" w:bidi="en-US"/>
          </w:rPr>
          <w:t>macurova@teplotesin.cz</w:t>
        </w:r>
      </w:hyperlink>
    </w:p>
    <w:p w:rsidR="00FD3DD4" w:rsidRDefault="00FD3DD4" w:rsidP="00E46832">
      <w:pPr>
        <w:framePr w:wrap="none" w:vAnchor="page" w:hAnchor="page" w:x="10653" w:y="15604"/>
        <w:rPr>
          <w:sz w:val="2"/>
          <w:szCs w:val="2"/>
        </w:rPr>
      </w:pPr>
    </w:p>
    <w:sectPr w:rsidR="00FD3DD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46832">
      <w:r>
        <w:separator/>
      </w:r>
    </w:p>
  </w:endnote>
  <w:endnote w:type="continuationSeparator" w:id="0">
    <w:p w:rsidR="00000000" w:rsidRDefault="00E4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lyUPC">
    <w:altName w:val="Arial"/>
    <w:panose1 w:val="020B0604020202020204"/>
    <w:charset w:val="00"/>
    <w:family w:val="roman"/>
    <w:notTrueType/>
    <w:pitch w:val="default"/>
  </w:font>
  <w:font w:name="Simplified Arabic">
    <w:altName w:val="Times New Roman"/>
    <w:panose1 w:val="020206030504050203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DD4" w:rsidRDefault="00FD3DD4"/>
  </w:footnote>
  <w:footnote w:type="continuationSeparator" w:id="0">
    <w:p w:rsidR="00FD3DD4" w:rsidRDefault="00FD3D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D3DD4"/>
    <w:rsid w:val="00E46832"/>
    <w:rsid w:val="00FD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8"/>
        <o:r id="V:Rule2" type="connector" idref="#_x0000_s1037"/>
        <o:r id="V:Rule3" type="connector" idref="#_x0000_s1036"/>
        <o:r id="V:Rule4" type="connector" idref="#_x0000_s1035"/>
        <o:r id="V:Rule5" type="connector" idref="#_x0000_s1034"/>
        <o:r id="V:Rule6" type="connector" idref="#_x0000_s1033"/>
        <o:r id="V:Rule7" type="connector" idref="#_x0000_s1032"/>
        <o:r id="V:Rule8" type="connector" idref="#_x0000_s1031"/>
      </o:rules>
    </o:shapelayout>
  </w:shapeDefaults>
  <w:decimalSymbol w:val=","/>
  <w:listSeparator w:val=";"/>
  <w15:docId w15:val="{22AE3516-6B12-4AC9-A637-398B29C4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LilyUPC" w:eastAsia="LilyUPC" w:hAnsi="LilyUPC" w:cs="Lily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NotBoldItalic">
    <w:name w:val="Body text (3) + 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4Bold">
    <w:name w:val="Body text (4) +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2ptNotBold">
    <w:name w:val="Body text (5) + 12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105pt">
    <w:name w:val="Body text (4) + 10.5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SimplifiedArabic14ptBoldScaling66">
    <w:name w:val="Body text (2) + Simplified Arabic;14 pt;Bold;Scaling 66%"/>
    <w:basedOn w:val="Bodytext2"/>
    <w:rPr>
      <w:rFonts w:ascii="Simplified Arabic" w:eastAsia="Simplified Arabic" w:hAnsi="Simplified Arabic" w:cs="Simplified Arabic"/>
      <w:b/>
      <w:bCs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711ptBold">
    <w:name w:val="Body text (7) + 11 pt;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Standardnpsmoodstavce"/>
    <w:link w:val="Heading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10ptBold">
    <w:name w:val="Body text (9) + 10 pt;Bold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Italic">
    <w:name w:val="Picture caption + Italic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05ptItalic">
    <w:name w:val="Heading #1 + 10.5 pt;Italic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474A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474A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LilyUPC" w:eastAsia="LilyUPC" w:hAnsi="LilyUPC" w:cs="LilyUPC"/>
      <w:b/>
      <w:bCs/>
      <w:i w:val="0"/>
      <w:iCs w:val="0"/>
      <w:smallCaps w:val="0"/>
      <w:strike w:val="0"/>
      <w:spacing w:val="50"/>
      <w:sz w:val="54"/>
      <w:szCs w:val="54"/>
      <w:u w:val="none"/>
    </w:rPr>
  </w:style>
  <w:style w:type="character" w:customStyle="1" w:styleId="Heading3TimesNewRoman10ptNotBoldSpacing0pt">
    <w:name w:val="Heading #3 + Times New Roman;10 pt;Not Bold;Spacing 0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474A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TimesNewRoman16ptNotBoldItalicSpacing0pt">
    <w:name w:val="Heading #3 + Times New Roman;16 pt;Not Bold;Italic;Spacing 0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7474A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31">
    <w:name w:val="Heading #3"/>
    <w:basedOn w:val="Heading3"/>
    <w:rPr>
      <w:rFonts w:ascii="LilyUPC" w:eastAsia="LilyUPC" w:hAnsi="LilyUPC" w:cs="LilyUPC"/>
      <w:b/>
      <w:bCs/>
      <w:i w:val="0"/>
      <w:iCs w:val="0"/>
      <w:smallCaps w:val="0"/>
      <w:strike w:val="0"/>
      <w:color w:val="7474A0"/>
      <w:spacing w:val="5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8AD9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92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8AD9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9105ptItalic">
    <w:name w:val="Body text (9) + 10.5 pt;Italic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Calibri24ptItalic">
    <w:name w:val="Other + Calibri;24 pt;Italic"/>
    <w:basedOn w:val="Other"/>
    <w:rPr>
      <w:rFonts w:ascii="Calibri" w:eastAsia="Calibri" w:hAnsi="Calibri" w:cs="Calibri"/>
      <w:b w:val="0"/>
      <w:bCs w:val="0"/>
      <w:i/>
      <w:iCs/>
      <w:smallCaps w:val="0"/>
      <w:strike w:val="0"/>
      <w:color w:val="7474A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8AD9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8AD9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8AD9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74" w:lineRule="exact"/>
    </w:pPr>
    <w:rPr>
      <w:b/>
      <w:bCs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66" w:lineRule="exact"/>
    </w:pPr>
    <w:rPr>
      <w:rFonts w:ascii="LilyUPC" w:eastAsia="LilyUPC" w:hAnsi="LilyUPC" w:cs="LilyUPC"/>
      <w:sz w:val="38"/>
      <w:szCs w:val="3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9" w:lineRule="exact"/>
    </w:p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40" w:line="269" w:lineRule="exact"/>
      <w:ind w:hanging="1640"/>
    </w:pPr>
    <w:rPr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40" w:line="254" w:lineRule="exact"/>
      <w:ind w:hanging="1640"/>
      <w:jc w:val="both"/>
    </w:pPr>
    <w:rPr>
      <w:b/>
      <w:bCs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80" w:after="240" w:line="200" w:lineRule="exact"/>
      <w:jc w:val="center"/>
      <w:outlineLvl w:val="1"/>
    </w:pPr>
    <w:rPr>
      <w:b/>
      <w:bCs/>
      <w:sz w:val="18"/>
      <w:szCs w:val="18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500" w:line="244" w:lineRule="exact"/>
      <w:jc w:val="center"/>
    </w:pPr>
    <w:rPr>
      <w:sz w:val="8"/>
      <w:szCs w:val="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500" w:after="260" w:line="244" w:lineRule="exact"/>
      <w:jc w:val="center"/>
    </w:pPr>
    <w:rPr>
      <w:b/>
      <w:bCs/>
      <w:sz w:val="22"/>
      <w:szCs w:val="22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260" w:after="760" w:line="266" w:lineRule="exact"/>
      <w:jc w:val="both"/>
      <w:outlineLvl w:val="3"/>
    </w:p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1480" w:line="221" w:lineRule="exact"/>
    </w:pPr>
    <w:rPr>
      <w:sz w:val="17"/>
      <w:szCs w:val="17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0" w:lineRule="exact"/>
      <w:jc w:val="center"/>
    </w:pPr>
    <w:rPr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80" w:line="232" w:lineRule="exact"/>
      <w:outlineLvl w:val="0"/>
    </w:pPr>
    <w:rPr>
      <w:sz w:val="17"/>
      <w:szCs w:val="17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80" w:line="398" w:lineRule="exact"/>
      <w:outlineLvl w:val="2"/>
    </w:pPr>
    <w:rPr>
      <w:rFonts w:ascii="LilyUPC" w:eastAsia="LilyUPC" w:hAnsi="LilyUPC" w:cs="LilyUPC"/>
      <w:b/>
      <w:bCs/>
      <w:spacing w:val="50"/>
      <w:sz w:val="54"/>
      <w:szCs w:val="54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urova@teplotesi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2017-04-28T11:01:00Z</dcterms:created>
  <dcterms:modified xsi:type="dcterms:W3CDTF">2017-04-28T11:04:00Z</dcterms:modified>
</cp:coreProperties>
</file>