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40" w:rsidRDefault="002649E9">
      <w:pPr>
        <w:pStyle w:val="Bodytext30"/>
        <w:framePr w:w="9677" w:h="292" w:hRule="exact" w:wrap="none" w:vAnchor="page" w:hAnchor="page" w:x="865" w:y="2437"/>
        <w:shd w:val="clear" w:color="auto" w:fill="auto"/>
        <w:spacing w:before="0" w:after="0"/>
        <w:ind w:right="40"/>
      </w:pPr>
      <w:r>
        <w:rPr>
          <w:rStyle w:val="Bodytext31"/>
        </w:rPr>
        <w:t>Smlouva č.</w:t>
      </w:r>
      <w:r>
        <w:t xml:space="preserve"> 7/2006</w:t>
      </w:r>
    </w:p>
    <w:p w:rsidR="00F51640" w:rsidRDefault="002649E9" w:rsidP="002649E9">
      <w:pPr>
        <w:pStyle w:val="Bodytext40"/>
        <w:framePr w:w="9736" w:h="1111" w:hRule="exact" w:wrap="none" w:vAnchor="page" w:hAnchor="page" w:x="916" w:y="2821"/>
        <w:shd w:val="clear" w:color="auto" w:fill="auto"/>
        <w:spacing w:before="0" w:after="0"/>
        <w:ind w:left="2020" w:right="1860"/>
      </w:pPr>
      <w:r>
        <w:rPr>
          <w:rStyle w:val="Bodytext41"/>
          <w:b/>
          <w:bCs/>
        </w:rPr>
        <w:t>o dodávce tepla a teplé užitkové vody uzavíraná v souladu se zákony č 458 / 2000 Sb. a č. 406 / 2000 Sb. a jejich prováděcími v</w:t>
      </w:r>
      <w:r>
        <w:rPr>
          <w:rStyle w:val="Bodytext41"/>
          <w:b/>
          <w:bCs/>
        </w:rPr>
        <w:t>yhláškami</w:t>
      </w:r>
    </w:p>
    <w:p w:rsidR="00F51640" w:rsidRDefault="002649E9">
      <w:pPr>
        <w:pStyle w:val="Bodytext20"/>
        <w:framePr w:w="9677" w:h="1650" w:hRule="exact" w:wrap="none" w:vAnchor="page" w:hAnchor="page" w:x="865" w:y="4095"/>
        <w:shd w:val="clear" w:color="auto" w:fill="auto"/>
        <w:tabs>
          <w:tab w:val="left" w:pos="1409"/>
        </w:tabs>
        <w:spacing w:before="0"/>
        <w:ind w:left="400" w:hanging="400"/>
      </w:pPr>
      <w:r>
        <w:t>Odběratel:</w:t>
      </w:r>
      <w:r>
        <w:tab/>
        <w:t xml:space="preserve">  </w:t>
      </w:r>
      <w:r>
        <w:t>Město Český Těšín</w:t>
      </w:r>
    </w:p>
    <w:p w:rsidR="00F51640" w:rsidRDefault="002649E9">
      <w:pPr>
        <w:pStyle w:val="Bodytext20"/>
        <w:framePr w:w="9677" w:h="1650" w:hRule="exact" w:wrap="none" w:vAnchor="page" w:hAnchor="page" w:x="865" w:y="4095"/>
        <w:shd w:val="clear" w:color="auto" w:fill="auto"/>
        <w:tabs>
          <w:tab w:val="left" w:pos="2228"/>
        </w:tabs>
        <w:spacing w:before="0"/>
        <w:ind w:left="1500" w:right="4220" w:firstLine="0"/>
        <w:jc w:val="left"/>
      </w:pPr>
      <w:r>
        <w:t xml:space="preserve">Český Těšín, náměstí ČSA 1/1, PSČ 737 01 zastoupené </w:t>
      </w:r>
      <w:r>
        <w:t>místostarostou Ing. Vítem Slováčkem 1Č:</w:t>
      </w:r>
      <w:r>
        <w:tab/>
        <w:t>00297437</w:t>
      </w:r>
    </w:p>
    <w:p w:rsidR="002649E9" w:rsidRDefault="002649E9">
      <w:pPr>
        <w:pStyle w:val="Bodytext20"/>
        <w:framePr w:w="9677" w:h="1650" w:hRule="exact" w:wrap="none" w:vAnchor="page" w:hAnchor="page" w:x="865" w:y="4095"/>
        <w:shd w:val="clear" w:color="auto" w:fill="auto"/>
        <w:spacing w:before="0"/>
        <w:ind w:left="1500" w:right="3360" w:firstLine="0"/>
        <w:jc w:val="left"/>
      </w:pPr>
      <w:r>
        <w:t xml:space="preserve">bankovní spojení: Komerční banka a.s., expozitura Č. Těšín </w:t>
      </w:r>
    </w:p>
    <w:p w:rsidR="00F51640" w:rsidRDefault="002649E9">
      <w:pPr>
        <w:pStyle w:val="Bodytext20"/>
        <w:framePr w:w="9677" w:h="1650" w:hRule="exact" w:wrap="none" w:vAnchor="page" w:hAnchor="page" w:x="865" w:y="4095"/>
        <w:shd w:val="clear" w:color="auto" w:fill="auto"/>
        <w:spacing w:before="0"/>
        <w:ind w:left="1500" w:right="3360" w:firstLine="0"/>
        <w:jc w:val="left"/>
      </w:pPr>
      <w:r>
        <w:t>č.. účtu: 86-6000360257/0100 Telefon: 558 713 100-103</w:t>
      </w:r>
    </w:p>
    <w:p w:rsidR="00F51640" w:rsidRDefault="002649E9">
      <w:pPr>
        <w:pStyle w:val="Bodytext20"/>
        <w:framePr w:w="9677" w:h="3497" w:hRule="exact" w:wrap="none" w:vAnchor="page" w:hAnchor="page" w:x="865" w:y="6380"/>
        <w:shd w:val="clear" w:color="auto" w:fill="auto"/>
        <w:tabs>
          <w:tab w:val="left" w:pos="1409"/>
        </w:tabs>
        <w:spacing w:before="0"/>
        <w:ind w:left="400" w:hanging="400"/>
      </w:pPr>
      <w:r>
        <w:t>Dodavatel:</w:t>
      </w:r>
      <w:r>
        <w:tab/>
        <w:t xml:space="preserve"> </w:t>
      </w:r>
      <w:r>
        <w:t>Bytový podnik Č.Těšín a.s.</w:t>
      </w:r>
    </w:p>
    <w:p w:rsidR="00F51640" w:rsidRDefault="002649E9">
      <w:pPr>
        <w:pStyle w:val="Bodytext20"/>
        <w:framePr w:w="9677" w:h="3497" w:hRule="exact" w:wrap="none" w:vAnchor="page" w:hAnchor="page" w:x="865" w:y="6380"/>
        <w:shd w:val="clear" w:color="auto" w:fill="auto"/>
        <w:tabs>
          <w:tab w:val="left" w:pos="2228"/>
        </w:tabs>
        <w:spacing w:before="0"/>
        <w:ind w:left="1500" w:right="4480" w:firstLine="0"/>
        <w:jc w:val="left"/>
      </w:pPr>
      <w:r>
        <w:t>Český Těšín, Tovární 27, PSČ 737 31 zastoupený ředitelem</w:t>
      </w:r>
      <w:r>
        <w:t xml:space="preserve"> Ing. Josefem Gabzdylem 1Č:</w:t>
      </w:r>
      <w:r>
        <w:tab/>
        <w:t>253 913 30</w:t>
      </w:r>
    </w:p>
    <w:p w:rsidR="00F51640" w:rsidRDefault="002649E9">
      <w:pPr>
        <w:pStyle w:val="Bodytext20"/>
        <w:framePr w:w="9677" w:h="3497" w:hRule="exact" w:wrap="none" w:vAnchor="page" w:hAnchor="page" w:x="865" w:y="6380"/>
        <w:shd w:val="clear" w:color="auto" w:fill="auto"/>
        <w:tabs>
          <w:tab w:val="left" w:pos="2228"/>
        </w:tabs>
        <w:spacing w:before="0"/>
        <w:ind w:left="1500" w:firstLine="0"/>
      </w:pPr>
      <w:r>
        <w:t>DIČ:</w:t>
      </w:r>
      <w:r>
        <w:tab/>
        <w:t>CZ 253 913 30</w:t>
      </w:r>
    </w:p>
    <w:p w:rsidR="00F51640" w:rsidRDefault="002649E9">
      <w:pPr>
        <w:pStyle w:val="Bodytext20"/>
        <w:framePr w:w="9677" w:h="3497" w:hRule="exact" w:wrap="none" w:vAnchor="page" w:hAnchor="page" w:x="865" w:y="6380"/>
        <w:shd w:val="clear" w:color="auto" w:fill="auto"/>
        <w:spacing w:before="0"/>
        <w:ind w:left="1500" w:right="3520" w:firstLine="0"/>
        <w:jc w:val="left"/>
      </w:pPr>
      <w:r>
        <w:t>bankovní spojení: Komerční banka a.s., expozitura Č.Těšín č.účtu 19-5753310217/0100 telefon 558 712 266</w:t>
      </w:r>
    </w:p>
    <w:p w:rsidR="00F51640" w:rsidRDefault="002649E9">
      <w:pPr>
        <w:pStyle w:val="Bodytext20"/>
        <w:framePr w:w="9677" w:h="3497" w:hRule="exact" w:wrap="none" w:vAnchor="page" w:hAnchor="page" w:x="865" w:y="6380"/>
        <w:shd w:val="clear" w:color="auto" w:fill="auto"/>
        <w:spacing w:before="0" w:after="269"/>
        <w:ind w:left="1500" w:firstLine="0"/>
      </w:pPr>
      <w:r>
        <w:t>Zápis u Krajského soudu v Ostravě - oddíl B, vložka 1801</w:t>
      </w:r>
    </w:p>
    <w:p w:rsidR="00F51640" w:rsidRDefault="002649E9">
      <w:pPr>
        <w:pStyle w:val="Heading30"/>
        <w:framePr w:w="9677" w:h="3497" w:hRule="exact" w:wrap="none" w:vAnchor="page" w:hAnchor="page" w:x="865" w:y="6380"/>
        <w:shd w:val="clear" w:color="auto" w:fill="auto"/>
        <w:spacing w:before="0"/>
        <w:ind w:right="40"/>
      </w:pPr>
      <w:bookmarkStart w:id="0" w:name="bookmark1"/>
      <w:r>
        <w:t>čl</w:t>
      </w:r>
      <w:r>
        <w:t>. I</w:t>
      </w:r>
      <w:bookmarkEnd w:id="0"/>
    </w:p>
    <w:p w:rsidR="00F51640" w:rsidRDefault="002649E9">
      <w:pPr>
        <w:pStyle w:val="Heading40"/>
        <w:framePr w:w="9677" w:h="3497" w:hRule="exact" w:wrap="none" w:vAnchor="page" w:hAnchor="page" w:x="865" w:y="6380"/>
        <w:shd w:val="clear" w:color="auto" w:fill="auto"/>
        <w:spacing w:after="212"/>
        <w:ind w:right="40"/>
      </w:pPr>
      <w:bookmarkStart w:id="1" w:name="bookmark2"/>
      <w:r>
        <w:t>Předmět smlouvy</w:t>
      </w:r>
      <w:bookmarkEnd w:id="1"/>
    </w:p>
    <w:p w:rsidR="00F51640" w:rsidRDefault="002649E9">
      <w:pPr>
        <w:pStyle w:val="Bodytext20"/>
        <w:framePr w:w="9677" w:h="3497" w:hRule="exact" w:wrap="none" w:vAnchor="page" w:hAnchor="page" w:x="865" w:y="6380"/>
        <w:shd w:val="clear" w:color="auto" w:fill="auto"/>
        <w:spacing w:before="0"/>
        <w:ind w:firstLine="0"/>
      </w:pPr>
      <w:r>
        <w:t xml:space="preserve">Předmětem této </w:t>
      </w:r>
      <w:r>
        <w:t>smlouvy je dodávka tepla pro vytápění ( dále jen ÚT ), pro přípravu teplé užitkové vody ( dále jen TU V ) a pitné vody pro přípravu teplé užitkové vody .</w:t>
      </w:r>
    </w:p>
    <w:p w:rsidR="00F51640" w:rsidRPr="002649E9" w:rsidRDefault="002649E9">
      <w:pPr>
        <w:pStyle w:val="Heading420"/>
        <w:framePr w:w="9677" w:h="7168" w:hRule="exact" w:wrap="none" w:vAnchor="page" w:hAnchor="page" w:x="865" w:y="10084"/>
        <w:shd w:val="clear" w:color="auto" w:fill="auto"/>
        <w:spacing w:before="0"/>
        <w:ind w:right="40"/>
        <w:rPr>
          <w:rFonts w:ascii="Cambria" w:hAnsi="Cambria"/>
        </w:rPr>
      </w:pPr>
      <w:r>
        <w:rPr>
          <w:rFonts w:ascii="Cambria" w:hAnsi="Cambria"/>
        </w:rPr>
        <w:t>Čl. II</w:t>
      </w:r>
    </w:p>
    <w:p w:rsidR="00F51640" w:rsidRDefault="002649E9">
      <w:pPr>
        <w:pStyle w:val="Heading40"/>
        <w:framePr w:w="9677" w:h="7168" w:hRule="exact" w:wrap="none" w:vAnchor="page" w:hAnchor="page" w:x="865" w:y="10084"/>
        <w:shd w:val="clear" w:color="auto" w:fill="auto"/>
        <w:spacing w:after="212"/>
        <w:ind w:right="40"/>
      </w:pPr>
      <w:bookmarkStart w:id="2" w:name="bookmark4"/>
      <w:r>
        <w:t>Vymezení vybraných pojmů</w:t>
      </w:r>
      <w:bookmarkEnd w:id="2"/>
    </w:p>
    <w:p w:rsidR="00F51640" w:rsidRDefault="002649E9">
      <w:pPr>
        <w:pStyle w:val="Bodytext20"/>
        <w:framePr w:w="9677" w:h="7168" w:hRule="exact" w:wrap="none" w:vAnchor="page" w:hAnchor="page" w:x="865" w:y="10084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 w:hanging="400"/>
      </w:pPr>
      <w:r>
        <w:t>Odběrnými místy pro ÚT jsou jednotlivé zúčtovací jednotky. Zúčtovací j</w:t>
      </w:r>
      <w:r>
        <w:t xml:space="preserve">ednotku, ve které se rozúčtovávaj í náklady na tepelnou energii mezi konečné spotřebitele, tvoří objekt nebo jeho část, popřípadě objekty nebo jejich části, které mají jedno společné, technologicky propojené odběrné tepelné zařízení. Seznam odběrných míst </w:t>
      </w:r>
      <w:r>
        <w:t>tvoří přílohu č. 1 této smlouvy.</w:t>
      </w:r>
    </w:p>
    <w:p w:rsidR="00F51640" w:rsidRDefault="002649E9">
      <w:pPr>
        <w:pStyle w:val="Bodytext20"/>
        <w:framePr w:w="9677" w:h="7168" w:hRule="exact" w:wrap="none" w:vAnchor="page" w:hAnchor="page" w:x="865" w:y="10084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 w:hanging="400"/>
      </w:pPr>
      <w:r>
        <w:t>Odběratelem je fyzická nebo právnická osoba, popř. i více osob, pokud jejich odběrné tepelné zařízení je technologicky propojené aje součástí jedné zúčtovací jednotky.</w:t>
      </w:r>
    </w:p>
    <w:p w:rsidR="00F51640" w:rsidRDefault="002649E9">
      <w:pPr>
        <w:pStyle w:val="Bodytext20"/>
        <w:framePr w:w="9677" w:h="7168" w:hRule="exact" w:wrap="none" w:vAnchor="page" w:hAnchor="page" w:x="865" w:y="10084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 w:hanging="400"/>
      </w:pPr>
      <w:r>
        <w:t xml:space="preserve">Místem plnění pro dodávku ÚT se pro účely této smlouvy </w:t>
      </w:r>
      <w:r>
        <w:t>rozumí místo v zúčtovací jednotce odběratele, kde je umístěno odběrné tepelné zařízení, které je propojeno na předávací tepelné zařízení (vč.měřícího zařízení) dodavatele, dále napojovací uzel.</w:t>
      </w:r>
    </w:p>
    <w:p w:rsidR="00F51640" w:rsidRDefault="002649E9">
      <w:pPr>
        <w:pStyle w:val="Bodytext20"/>
        <w:framePr w:w="9677" w:h="7168" w:hRule="exact" w:wrap="none" w:vAnchor="page" w:hAnchor="page" w:x="865" w:y="10084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 w:hanging="400"/>
      </w:pPr>
      <w:r>
        <w:t>Místem plnění pro dodávku TUV se pro účely této smlouvy rozumí</w:t>
      </w:r>
      <w:r>
        <w:t xml:space="preserve"> napojovací uzel (viz. předchozí bod), kde se stýká zařízení odběratele se zařízením dodavatele.</w:t>
      </w:r>
    </w:p>
    <w:p w:rsidR="00F51640" w:rsidRDefault="002649E9">
      <w:pPr>
        <w:pStyle w:val="Bodytext20"/>
        <w:framePr w:w="9677" w:h="7168" w:hRule="exact" w:wrap="none" w:vAnchor="page" w:hAnchor="page" w:x="865" w:y="10084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 w:hanging="400"/>
      </w:pPr>
      <w:r>
        <w:t>Zúčtovací jednotky definované v bodě 1 tohoto článku jsou i zúčtovacími jednotkami pro účely rozdělení nákladů ze společné přípravny TUV (dále kotelna).</w:t>
      </w:r>
    </w:p>
    <w:p w:rsidR="00F51640" w:rsidRDefault="002649E9">
      <w:pPr>
        <w:pStyle w:val="Bodytext20"/>
        <w:framePr w:w="9677" w:h="7168" w:hRule="exact" w:wrap="none" w:vAnchor="page" w:hAnchor="page" w:x="865" w:y="10084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 w:hanging="400"/>
      </w:pPr>
      <w:r>
        <w:t>Konečným spotřebitelem je fyzická či právnická osoba, která dodanou tepelnou energii pouze spotřebovává.</w:t>
      </w:r>
    </w:p>
    <w:p w:rsidR="00F51640" w:rsidRDefault="002649E9">
      <w:pPr>
        <w:pStyle w:val="Bodytext20"/>
        <w:framePr w:w="9677" w:h="7168" w:hRule="exact" w:wrap="none" w:vAnchor="page" w:hAnchor="page" w:x="865" w:y="10084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69"/>
        <w:ind w:left="400" w:hanging="400"/>
      </w:pPr>
      <w:r>
        <w:t>Zúčtovacím obdobím se pro účely této smlouvy rozumí období od 1. 1. do 31. 12. běžného roku.</w:t>
      </w:r>
    </w:p>
    <w:p w:rsidR="00F51640" w:rsidRDefault="002649E9">
      <w:pPr>
        <w:pStyle w:val="Bodytext50"/>
        <w:framePr w:w="9677" w:h="7168" w:hRule="exact" w:wrap="none" w:vAnchor="page" w:hAnchor="page" w:x="865" w:y="10084"/>
        <w:shd w:val="clear" w:color="auto" w:fill="auto"/>
        <w:spacing w:before="0"/>
        <w:ind w:right="40"/>
      </w:pPr>
      <w:r>
        <w:t xml:space="preserve">čl. </w:t>
      </w:r>
      <w:r w:rsidRPr="002649E9">
        <w:rPr>
          <w:lang w:eastAsia="en-US" w:bidi="en-US"/>
        </w:rPr>
        <w:t>Ill</w:t>
      </w:r>
    </w:p>
    <w:p w:rsidR="00F51640" w:rsidRDefault="002649E9">
      <w:pPr>
        <w:pStyle w:val="Heading40"/>
        <w:framePr w:w="9677" w:h="7168" w:hRule="exact" w:wrap="none" w:vAnchor="page" w:hAnchor="page" w:x="865" w:y="10084"/>
        <w:shd w:val="clear" w:color="auto" w:fill="auto"/>
        <w:spacing w:after="208"/>
        <w:ind w:right="40"/>
      </w:pPr>
      <w:bookmarkStart w:id="3" w:name="bookmark5"/>
      <w:r>
        <w:t>Výkon, množství a časový průběh odběru tepla</w:t>
      </w:r>
      <w:bookmarkEnd w:id="3"/>
    </w:p>
    <w:p w:rsidR="00F51640" w:rsidRDefault="002649E9">
      <w:pPr>
        <w:pStyle w:val="Bodytext20"/>
        <w:framePr w:w="9677" w:h="7168" w:hRule="exact" w:wrap="none" w:vAnchor="page" w:hAnchor="page" w:x="865" w:y="10084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230" w:lineRule="exact"/>
        <w:ind w:left="400" w:hanging="400"/>
      </w:pPr>
      <w:r>
        <w:t>Teplo</w:t>
      </w:r>
      <w:r>
        <w:t xml:space="preserve"> pro ÚT bude dodáváno v období od 1. 9. do 31. 5. následujícího roku ( dále jen otopné období). TUV bude dodávána celoročně. Mimo otopné období bude teplo pro ÚT dodáváno po vzájemné dohodě smluvních stran za stejných podmínek, jak je uvedeno v čl. III, od</w:t>
      </w:r>
      <w:r>
        <w:t>st. 2.</w:t>
      </w:r>
    </w:p>
    <w:p w:rsidR="00F51640" w:rsidRDefault="002649E9">
      <w:pPr>
        <w:pStyle w:val="Bodytext20"/>
        <w:framePr w:w="9677" w:h="7168" w:hRule="exact" w:wrap="none" w:vAnchor="page" w:hAnchor="page" w:x="865" w:y="10084"/>
        <w:shd w:val="clear" w:color="auto" w:fill="auto"/>
        <w:spacing w:before="0" w:line="230" w:lineRule="exact"/>
        <w:ind w:left="400" w:hanging="400"/>
      </w:pPr>
      <w:r>
        <w:rPr>
          <w:rStyle w:val="Bodytext2Italic"/>
        </w:rPr>
        <w:t>2:</w:t>
      </w:r>
      <w:r>
        <w:t xml:space="preserve"> S vytápěním se započne v otopném období, jestliže průměrná denní teplota vzduchu poklesne pod 13°C ve dvou dnech po sobě následujících a podle vývoje počasí nelze očekávat zvýšení této teploty nad 13°C pro následující den.</w:t>
      </w:r>
    </w:p>
    <w:p w:rsidR="00F51640" w:rsidRDefault="002649E9">
      <w:pPr>
        <w:pStyle w:val="Bodytext20"/>
        <w:framePr w:w="9677" w:h="7168" w:hRule="exact" w:wrap="none" w:vAnchor="page" w:hAnchor="page" w:x="865" w:y="10084"/>
        <w:shd w:val="clear" w:color="auto" w:fill="auto"/>
        <w:spacing w:before="0" w:line="230" w:lineRule="exact"/>
        <w:ind w:left="400" w:firstLine="0"/>
      </w:pPr>
      <w:r>
        <w:t xml:space="preserve">Vytápění bude omezeno </w:t>
      </w:r>
      <w:r>
        <w:t>nebo_ přerušeno v otopném období, jestliže průměrná denní teplota vzduchu vystoupí nad 13°C ve dvou dnech po sobě následujících a podle vývoje počasí nelze očekávat snížení této teploty pod 13“C pro následující den.</w:t>
      </w:r>
    </w:p>
    <w:p w:rsidR="00F51640" w:rsidRDefault="00F51640">
      <w:pPr>
        <w:rPr>
          <w:sz w:val="2"/>
          <w:szCs w:val="2"/>
        </w:rPr>
        <w:sectPr w:rsidR="00F51640">
          <w:pgSz w:w="12047" w:h="1750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640" w:rsidRDefault="002649E9">
      <w:pPr>
        <w:pStyle w:val="Bodytext60"/>
        <w:framePr w:w="9749" w:h="5577" w:hRule="exact" w:wrap="none" w:vAnchor="page" w:hAnchor="page" w:x="829" w:y="2171"/>
        <w:shd w:val="clear" w:color="auto" w:fill="auto"/>
        <w:ind w:right="20"/>
      </w:pPr>
      <w:r>
        <w:lastRenderedPageBreak/>
        <w:t>2</w:t>
      </w:r>
    </w:p>
    <w:p w:rsidR="00F51640" w:rsidRDefault="002649E9">
      <w:pPr>
        <w:pStyle w:val="Bodytext20"/>
        <w:framePr w:w="9749" w:h="5577" w:hRule="exact" w:wrap="none" w:vAnchor="page" w:hAnchor="page" w:x="829" w:y="2171"/>
        <w:numPr>
          <w:ilvl w:val="0"/>
          <w:numId w:val="3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TUV bude dodáv</w:t>
      </w:r>
      <w:r>
        <w:t>ána celoročně do objektů odběratele a to pro byty, stejně jako pro ostatní místnosti (nebytové prostory) denně po dobu 24 hodin.</w:t>
      </w:r>
    </w:p>
    <w:p w:rsidR="00F51640" w:rsidRDefault="002649E9">
      <w:pPr>
        <w:pStyle w:val="Bodytext20"/>
        <w:framePr w:w="9749" w:h="5577" w:hRule="exact" w:wrap="none" w:vAnchor="page" w:hAnchor="page" w:x="829" w:y="2171"/>
        <w:numPr>
          <w:ilvl w:val="0"/>
          <w:numId w:val="3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Přerušení a omezení dodávek TUV je možné v případech, kdy nelze z důvodu havárií, poruch, případně pravidelných odstávek dodáva</w:t>
      </w:r>
      <w:r>
        <w:t>t teplo pro její ohřev. Pravidelné odstávky TUV bude dodavatel provádět v rámci 14-ti denní plánované údržby nebo v době zvlášť dohodnuté. Termín pravidelných odstávek TUV bude dodavatelem oznámen nejméně 15 dnů předem. Prodloužení 14-ti denní doby dohodne</w:t>
      </w:r>
      <w:r>
        <w:t xml:space="preserve"> dodavatel s odběratelem. Dodavatel bude informovat odběratele o opravách majících vliv na dodávku tepla a TUV. Oznámení spotřebitelům zajistí včas a vhodným způsobem odběratel.</w:t>
      </w:r>
    </w:p>
    <w:p w:rsidR="00F51640" w:rsidRDefault="002649E9">
      <w:pPr>
        <w:pStyle w:val="Bodytext20"/>
        <w:framePr w:w="9749" w:h="5577" w:hRule="exact" w:wrap="none" w:vAnchor="page" w:hAnchor="page" w:x="829" w:y="2171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289"/>
        <w:ind w:left="440" w:hanging="440"/>
      </w:pPr>
      <w:r>
        <w:t>Smluvní strany se dohodly na tom, že bližší pravidla vytápění a dodávky TUV se</w:t>
      </w:r>
      <w:r>
        <w:t xml:space="preserve"> budou řídit platnými vyhláškami o dodávkách tepla a TUV.</w:t>
      </w:r>
    </w:p>
    <w:p w:rsidR="00F51640" w:rsidRDefault="002649E9">
      <w:pPr>
        <w:pStyle w:val="Bodytext40"/>
        <w:framePr w:w="9749" w:h="5577" w:hRule="exact" w:wrap="none" w:vAnchor="page" w:hAnchor="page" w:x="829" w:y="2171"/>
        <w:shd w:val="clear" w:color="auto" w:fill="auto"/>
        <w:spacing w:before="0" w:after="0" w:line="190" w:lineRule="exact"/>
        <w:ind w:right="20"/>
        <w:jc w:val="center"/>
      </w:pPr>
      <w:r>
        <w:t>čl</w:t>
      </w:r>
      <w:r>
        <w:t>. IV</w:t>
      </w:r>
    </w:p>
    <w:p w:rsidR="00F51640" w:rsidRDefault="002649E9">
      <w:pPr>
        <w:pStyle w:val="Bodytext40"/>
        <w:framePr w:w="9749" w:h="5577" w:hRule="exact" w:wrap="none" w:vAnchor="page" w:hAnchor="page" w:x="829" w:y="2171"/>
        <w:shd w:val="clear" w:color="auto" w:fill="auto"/>
        <w:spacing w:before="0" w:after="232" w:line="190" w:lineRule="exact"/>
        <w:ind w:right="20"/>
        <w:jc w:val="center"/>
      </w:pPr>
      <w:r>
        <w:t>Způsob stanovení a rozúčtování nákladů</w:t>
      </w:r>
    </w:p>
    <w:p w:rsidR="00F51640" w:rsidRDefault="002649E9">
      <w:pPr>
        <w:pStyle w:val="Bodytext20"/>
        <w:framePr w:w="9749" w:h="5577" w:hRule="exact" w:wrap="none" w:vAnchor="page" w:hAnchor="page" w:x="829" w:y="2171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 xml:space="preserve">Dodávka tepla bude účtována dodavatelem podle vlastního měřícího zařízení samostatně pro ÚT a samostatně pro přípravu TUV, přičemž ÚT je měřeno na </w:t>
      </w:r>
      <w:r>
        <w:t>vstupu do zúčtovací jednotky (v napojovacím uzlu), teplo pro přípravu TUV je měřeno v kotelně .</w:t>
      </w:r>
    </w:p>
    <w:p w:rsidR="00F51640" w:rsidRDefault="002649E9">
      <w:pPr>
        <w:pStyle w:val="Bodytext20"/>
        <w:framePr w:w="9749" w:h="5577" w:hRule="exact" w:wrap="none" w:vAnchor="page" w:hAnchor="page" w:x="829" w:y="2171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Náklady na dodávku tepla pro ÚT a TUV jsou stanovené na zúčtovací jednotku a jsou účtovány v cenách podle platných cenových předpisů.</w:t>
      </w:r>
    </w:p>
    <w:p w:rsidR="00F51640" w:rsidRDefault="002649E9">
      <w:pPr>
        <w:pStyle w:val="Bodytext20"/>
        <w:framePr w:w="9749" w:h="5577" w:hRule="exact" w:wrap="none" w:vAnchor="page" w:hAnchor="page" w:x="829" w:y="2171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Pro stanovení nákladů na d</w:t>
      </w:r>
      <w:r>
        <w:t>odávku TUV na zúčtovací jednotku, kde u spotřebitelů nejsou instalovány vodoměry, případně kde údaje z nich nebyly sděleny, bude postupováno dle ustanovení § 2, odst.7 Vyhlášky č. 224 /2001 Sb. v platném znění.</w:t>
      </w:r>
    </w:p>
    <w:p w:rsidR="00F51640" w:rsidRDefault="002649E9">
      <w:pPr>
        <w:pStyle w:val="Bodytext20"/>
        <w:framePr w:w="9749" w:h="5577" w:hRule="exact" w:wrap="none" w:vAnchor="page" w:hAnchor="page" w:x="829" w:y="2171"/>
        <w:numPr>
          <w:ilvl w:val="0"/>
          <w:numId w:val="4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Smluvní strany se dohodly na tom, že rozúčtov</w:t>
      </w:r>
      <w:r>
        <w:t>ání nákladů se bude řídit platnými vyhláškami MPO , MF a ERÚ.</w:t>
      </w:r>
    </w:p>
    <w:p w:rsidR="00F51640" w:rsidRDefault="002649E9">
      <w:pPr>
        <w:pStyle w:val="Bodytext40"/>
        <w:framePr w:w="9749" w:h="8991" w:hRule="exact" w:wrap="none" w:vAnchor="page" w:hAnchor="page" w:x="829" w:y="8184"/>
        <w:shd w:val="clear" w:color="auto" w:fill="auto"/>
        <w:spacing w:before="0" w:after="0" w:line="190" w:lineRule="exact"/>
        <w:ind w:right="20"/>
        <w:jc w:val="center"/>
      </w:pPr>
      <w:r>
        <w:t>čl. V</w:t>
      </w:r>
    </w:p>
    <w:p w:rsidR="00F51640" w:rsidRDefault="002649E9">
      <w:pPr>
        <w:pStyle w:val="Bodytext40"/>
        <w:framePr w:w="9749" w:h="8991" w:hRule="exact" w:wrap="none" w:vAnchor="page" w:hAnchor="page" w:x="829" w:y="8184"/>
        <w:shd w:val="clear" w:color="auto" w:fill="auto"/>
        <w:spacing w:before="0" w:after="232" w:line="190" w:lineRule="exact"/>
        <w:ind w:right="20"/>
        <w:jc w:val="center"/>
      </w:pPr>
      <w:r>
        <w:t>Cena a platební podmínky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 xml:space="preserve">Cena tepla pro ÚT a TUV dodávaného odběrateli za zúčtovací období bude uvedena vždy v dodatku ke smlouvě podle platné kalkulace, v závislosti na cenách </w:t>
      </w:r>
      <w:r>
        <w:t>nakupovaných energií a oprávněných nákladech na výrobu tepla pro ÚT a TUV dle příslušných předpisů.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Kalkulaci ceny tepla a TUV na běžné zúčtovací období zpracuje dodavatel v souladu s předchozím bodem této smlouvy nejpozději do 15.2. běžného roku a na její</w:t>
      </w:r>
      <w:r>
        <w:t>m základě uzavře dodavatel s odběratelem dodatek o ceně a výši záloh. Tato kalkulovaná cena bude platná od prvního dne následujícího měsíce po uzavření dodatku o ceně a výši záloh.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 xml:space="preserve">Dojde-li v průběhu zúčtovacího období k navýšení vstupních nákladů nebo ke </w:t>
      </w:r>
      <w:r>
        <w:t>změně příslušných předpisů rozhodných pro výši ceny tepla pro ÚT a TUV, vypracuje dodavatel novou kalkulaci ceny a dohodne s odběratelem nový dodatek o ceně a výši záloh 15 dnů před nabytím platnosti nové ceny.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Cena dodané pitné vody pro přípravu TUV se ur</w:t>
      </w:r>
      <w:r>
        <w:t>čí na základě faktury SmVaK pro dané zúčtovací období.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Vyúčtování nákladů na dodávku tepla pro ÚT a TUV a dodávku vody pro přípravu TUV provede dodavatel v souladu se zákony v platném znění a výměrem MF ČR v platném znění do 2 měsíců po uplynutí zúčtovacíh</w:t>
      </w:r>
      <w:r>
        <w:t>o období. Přeplatek a nedoplatek podle tohoto vyúčtování bude zaslán druhé straně na její účet do 20-ti dnů od odeslání vyúčtování.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 xml:space="preserve">Za vyúčtování odběrateli se považuje faktura, která musí obsahovat všechny náležitosti daňového dokladu podle § 28, odst. 2 </w:t>
      </w:r>
      <w:r>
        <w:t>zákona č. 235/2004 Sb. ve znění pozdějších předpisů, včetně nezbytných příloh s údaji o jednotlivých zúčtovacích jednotkách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Odběratel se zavazuje poukazovat dodavateli měsíční zálohy na dodávku tepla pro ÚT a TUV a pitné vody pro přípravu TUV ve výši uvede</w:t>
      </w:r>
      <w:r>
        <w:t>né v příloze č. 2.</w:t>
      </w:r>
    </w:p>
    <w:p w:rsidR="00F51640" w:rsidRDefault="002649E9">
      <w:pPr>
        <w:pStyle w:val="Bodytext20"/>
        <w:framePr w:w="9749" w:h="8991" w:hRule="exact" w:wrap="none" w:vAnchor="page" w:hAnchor="page" w:x="829" w:y="8184"/>
        <w:shd w:val="clear" w:color="auto" w:fill="auto"/>
        <w:spacing w:before="0" w:after="289"/>
        <w:ind w:left="440" w:firstLine="0"/>
      </w:pPr>
      <w:r>
        <w:t>Zálohy odběratel zaplatí převodem na účet dodavatele, a to vždy v termínu k 15. dni běžného měsíce. Zálohu za měsíc červenec, srpen a září 2006 zaplatí odběratel v termínu do 15.9..2006.</w:t>
      </w:r>
    </w:p>
    <w:p w:rsidR="00F51640" w:rsidRDefault="002649E9">
      <w:pPr>
        <w:pStyle w:val="Bodytext40"/>
        <w:framePr w:w="9749" w:h="8991" w:hRule="exact" w:wrap="none" w:vAnchor="page" w:hAnchor="page" w:x="829" w:y="8184"/>
        <w:shd w:val="clear" w:color="auto" w:fill="auto"/>
        <w:spacing w:before="0" w:after="0" w:line="190" w:lineRule="exact"/>
        <w:ind w:right="20"/>
        <w:jc w:val="center"/>
      </w:pPr>
      <w:r>
        <w:t>čl. VI</w:t>
      </w:r>
    </w:p>
    <w:p w:rsidR="00F51640" w:rsidRDefault="002649E9">
      <w:pPr>
        <w:pStyle w:val="Bodytext40"/>
        <w:framePr w:w="9749" w:h="8991" w:hRule="exact" w:wrap="none" w:vAnchor="page" w:hAnchor="page" w:x="829" w:y="8184"/>
        <w:shd w:val="clear" w:color="auto" w:fill="auto"/>
        <w:spacing w:before="0" w:after="232" w:line="190" w:lineRule="exact"/>
        <w:ind w:right="20"/>
        <w:jc w:val="center"/>
      </w:pPr>
      <w:r>
        <w:t>Měření tepla a náhradní způsob stanovení sp</w:t>
      </w:r>
      <w:r>
        <w:t>otřeby tepla při poruše měření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6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 xml:space="preserve">Dodavatel bude provádět měření dodaného a odebraného tepla prostřednictvím stanoveného a ověřeného měřidla umístěného přímo v zúčtovací jednotce, údaje bude získávat formou odečtu jeho stavu, a to lx měsíčně, s možností </w:t>
      </w:r>
      <w:r>
        <w:t>nepravidelných kontrolních odečtů pro kontrolu funkce měřidel.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6"/>
        </w:numPr>
        <w:shd w:val="clear" w:color="auto" w:fill="auto"/>
        <w:tabs>
          <w:tab w:val="left" w:pos="351"/>
        </w:tabs>
        <w:spacing w:before="0"/>
        <w:ind w:left="320" w:hanging="320"/>
        <w:jc w:val="left"/>
      </w:pPr>
      <w:r>
        <w:t>Dodavatel oznámí termín pravidelných měsíčních odečtů 5 dnů před jejich uskutečněním odběrateli - jeho .oprávněné osobě. Odběratel má možnost účastnit se těchto odečtů.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6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Odběratel zajistí dodava</w:t>
      </w:r>
      <w:r>
        <w:t>teli trvalý přístup do napojovacího uzlu.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6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Při poruše měřiče tepla dodavatel stanoví spotřebu tepla za srovnatelné období a srovnatelnou zúčtovací jednotku, tento údaj bude odsouhlasen oprávněnou osobou odběratele.</w:t>
      </w:r>
    </w:p>
    <w:p w:rsidR="00F51640" w:rsidRDefault="002649E9">
      <w:pPr>
        <w:pStyle w:val="Bodytext20"/>
        <w:framePr w:w="9749" w:h="8991" w:hRule="exact" w:wrap="none" w:vAnchor="page" w:hAnchor="page" w:x="829" w:y="8184"/>
        <w:numPr>
          <w:ilvl w:val="0"/>
          <w:numId w:val="6"/>
        </w:numPr>
        <w:shd w:val="clear" w:color="auto" w:fill="auto"/>
        <w:tabs>
          <w:tab w:val="left" w:pos="351"/>
        </w:tabs>
        <w:spacing w:before="0"/>
        <w:ind w:left="440" w:hanging="440"/>
      </w:pPr>
      <w:r>
        <w:t>V případě pochybností o správnosti nechá d</w:t>
      </w:r>
      <w:r>
        <w:t>odavatel měřidlo přecejchovat, protokol s výsledkem pak zašle odběrateli. Bude-li měřidlo ověřováno na žádost odběratele, pak bude v případě neoprávněné pochybnosti o</w:t>
      </w:r>
    </w:p>
    <w:p w:rsidR="00F51640" w:rsidRDefault="00F51640">
      <w:pPr>
        <w:rPr>
          <w:sz w:val="2"/>
          <w:szCs w:val="2"/>
        </w:rPr>
        <w:sectPr w:rsidR="00F51640">
          <w:pgSz w:w="12047" w:h="1750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shd w:val="clear" w:color="auto" w:fill="auto"/>
        <w:spacing w:before="0" w:line="190" w:lineRule="exact"/>
        <w:ind w:right="40" w:firstLine="0"/>
        <w:jc w:val="center"/>
      </w:pPr>
      <w:r>
        <w:lastRenderedPageBreak/>
        <w:t>čl</w:t>
      </w:r>
      <w:r>
        <w:t>. VII</w:t>
      </w:r>
    </w:p>
    <w:p w:rsidR="00F51640" w:rsidRDefault="002649E9" w:rsidP="002649E9">
      <w:pPr>
        <w:pStyle w:val="Heading40"/>
        <w:framePr w:w="9751" w:h="13081" w:hRule="exact" w:wrap="none" w:vAnchor="page" w:hAnchor="page" w:x="991" w:y="2088"/>
        <w:shd w:val="clear" w:color="auto" w:fill="auto"/>
        <w:spacing w:after="212"/>
        <w:ind w:right="40"/>
      </w:pPr>
      <w:bookmarkStart w:id="4" w:name="bookmark6"/>
      <w:r>
        <w:t>Přechod vlastnického práva</w:t>
      </w:r>
      <w:bookmarkEnd w:id="4"/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shd w:val="clear" w:color="auto" w:fill="auto"/>
        <w:spacing w:before="0"/>
        <w:ind w:left="420" w:hanging="420"/>
      </w:pPr>
      <w:r>
        <w:t xml:space="preserve">Odběratel nabývá vlastnické </w:t>
      </w:r>
      <w:r>
        <w:t>právo k ÚT a TUV přechodem z předávacího zařízení dodavatele do odběrného zařízení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shd w:val="clear" w:color="auto" w:fill="auto"/>
        <w:spacing w:before="0"/>
        <w:ind w:left="420" w:hanging="420"/>
      </w:pPr>
      <w:r>
        <w:t>odběratele, tzn. v místě uzavíracího ventilu na přívodním potrubí ÚT a TUV v napojovacím uzlu v dané zúčtovací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shd w:val="clear" w:color="auto" w:fill="auto"/>
        <w:spacing w:before="0" w:after="243"/>
        <w:ind w:left="420" w:hanging="420"/>
      </w:pPr>
      <w:r>
        <w:t>jednotce.</w:t>
      </w:r>
    </w:p>
    <w:p w:rsidR="00F51640" w:rsidRDefault="002649E9" w:rsidP="002649E9">
      <w:pPr>
        <w:pStyle w:val="Bodytext70"/>
        <w:framePr w:w="9751" w:h="13081" w:hRule="exact" w:wrap="none" w:vAnchor="page" w:hAnchor="page" w:x="991" w:y="2088"/>
        <w:shd w:val="clear" w:color="auto" w:fill="auto"/>
        <w:spacing w:before="0"/>
        <w:ind w:right="40"/>
      </w:pPr>
      <w:r>
        <w:t>čl. VIII</w:t>
      </w:r>
    </w:p>
    <w:p w:rsidR="00F51640" w:rsidRDefault="002649E9" w:rsidP="002649E9">
      <w:pPr>
        <w:pStyle w:val="Heading40"/>
        <w:framePr w:w="9751" w:h="13081" w:hRule="exact" w:wrap="none" w:vAnchor="page" w:hAnchor="page" w:x="991" w:y="2088"/>
        <w:shd w:val="clear" w:color="auto" w:fill="auto"/>
        <w:spacing w:after="212"/>
        <w:ind w:right="40"/>
      </w:pPr>
      <w:bookmarkStart w:id="5" w:name="bookmark7"/>
      <w:r>
        <w:t>Parametry teplonosného média</w:t>
      </w:r>
      <w:bookmarkEnd w:id="5"/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7"/>
        </w:numPr>
        <w:shd w:val="clear" w:color="auto" w:fill="auto"/>
        <w:tabs>
          <w:tab w:val="left" w:pos="347"/>
        </w:tabs>
        <w:spacing w:before="0"/>
        <w:ind w:left="420" w:hanging="420"/>
      </w:pPr>
      <w:r>
        <w:t>Teplonosným mé</w:t>
      </w:r>
      <w:r>
        <w:t>diem je topná voda.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7"/>
        </w:numPr>
        <w:shd w:val="clear" w:color="auto" w:fill="auto"/>
        <w:tabs>
          <w:tab w:val="left" w:pos="347"/>
        </w:tabs>
        <w:spacing w:before="0"/>
        <w:ind w:left="420" w:hanging="420"/>
      </w:pPr>
      <w:r>
        <w:t>Teplota topné vody je ekvitermně regulována podle grafu závislosti topné vody na venkovní teplotě (topné křivky). Topné křivky jsou přílohou č. 3 této smlouvy. Změny topných křivek je možné provádět vzájemnou dohodou.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7"/>
        </w:numPr>
        <w:shd w:val="clear" w:color="auto" w:fill="auto"/>
        <w:tabs>
          <w:tab w:val="left" w:pos="347"/>
        </w:tabs>
        <w:spacing w:before="0"/>
        <w:ind w:left="420" w:hanging="420"/>
      </w:pPr>
      <w:r>
        <w:t>Dodávka TUV bude u</w:t>
      </w:r>
      <w:r>
        <w:t>skutečňována tak, aby se její teplota na vstupu do místa plnění pohybovala v rozmezí 50°C - 60°C. Ustanovení předpisů určujících teplotu TUV podle účelu jejího využití tím nejsou dotčena.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7"/>
        </w:numPr>
        <w:shd w:val="clear" w:color="auto" w:fill="auto"/>
        <w:tabs>
          <w:tab w:val="left" w:pos="347"/>
        </w:tabs>
        <w:spacing w:before="0"/>
        <w:ind w:left="420" w:hanging="420"/>
      </w:pPr>
      <w:r>
        <w:t>Dodavatel souhlasí s použitím kontrolního měření pro ověření teploty</w:t>
      </w:r>
      <w:r>
        <w:t xml:space="preserve"> dodávané TUV. O použití bude předem informován a výsledky měření budou dodavateli zpřístupněny, na vyžádání mu bude umožněno zúčastnit se měření.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7"/>
        </w:numPr>
        <w:shd w:val="clear" w:color="auto" w:fill="auto"/>
        <w:tabs>
          <w:tab w:val="left" w:pos="347"/>
        </w:tabs>
        <w:spacing w:before="0" w:after="261"/>
        <w:ind w:left="420" w:hanging="420"/>
      </w:pPr>
      <w:r>
        <w:t xml:space="preserve">Parametry teplonosného media mohou být přechodně sníženy (poruchy, havárie dle zákona 458/2000 </w:t>
      </w:r>
      <w:r>
        <w:t>Sb.,§76,odst.4), o těchto stavech bude odběratel bezprostředně informován dodavatelem zejména prostřednictvím oprávněné osoby.</w:t>
      </w:r>
    </w:p>
    <w:p w:rsidR="00F51640" w:rsidRDefault="002649E9" w:rsidP="002649E9">
      <w:pPr>
        <w:pStyle w:val="Heading430"/>
        <w:framePr w:w="9751" w:h="13081" w:hRule="exact" w:wrap="none" w:vAnchor="page" w:hAnchor="page" w:x="991" w:y="2088"/>
        <w:shd w:val="clear" w:color="auto" w:fill="auto"/>
        <w:spacing w:before="0"/>
        <w:ind w:right="40"/>
      </w:pPr>
      <w:bookmarkStart w:id="6" w:name="bookmark8"/>
      <w:r>
        <w:t>čl. IX</w:t>
      </w:r>
      <w:bookmarkEnd w:id="6"/>
    </w:p>
    <w:p w:rsidR="00F51640" w:rsidRDefault="002649E9" w:rsidP="002649E9">
      <w:pPr>
        <w:pStyle w:val="Heading40"/>
        <w:framePr w:w="9751" w:h="13081" w:hRule="exact" w:wrap="none" w:vAnchor="page" w:hAnchor="page" w:x="991" w:y="2088"/>
        <w:shd w:val="clear" w:color="auto" w:fill="auto"/>
        <w:spacing w:after="208"/>
        <w:ind w:right="40"/>
      </w:pPr>
      <w:bookmarkStart w:id="7" w:name="bookmark9"/>
      <w:r>
        <w:t>Postup při reklamacích kvality dodávka ÚT a TUV</w:t>
      </w:r>
      <w:bookmarkEnd w:id="7"/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8"/>
        </w:numPr>
        <w:shd w:val="clear" w:color="auto" w:fill="auto"/>
        <w:tabs>
          <w:tab w:val="left" w:pos="347"/>
        </w:tabs>
        <w:spacing w:before="0" w:line="230" w:lineRule="exact"/>
        <w:ind w:left="420" w:hanging="420"/>
      </w:pPr>
      <w:r>
        <w:t>Při prokázaném vadném plnění dodávky ÚT a TUV podle této smlouvy, poskytne</w:t>
      </w:r>
      <w:r>
        <w:t xml:space="preserve"> dodavatel odběrateli slevu. Rozsah slevy bude dohodnut pro každý případ samostatně.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8"/>
        </w:numPr>
        <w:shd w:val="clear" w:color="auto" w:fill="auto"/>
        <w:tabs>
          <w:tab w:val="left" w:pos="347"/>
        </w:tabs>
        <w:spacing w:before="0" w:line="230" w:lineRule="exact"/>
        <w:ind w:left="420" w:hanging="420"/>
      </w:pPr>
      <w:r>
        <w:t>Odběratel je povinen reklamovat vady v dodávce ÚT a TUV písemně u dodavatele neprodleně po jejich zjištění. Společně s dodavatelem bude tato reklamace prošetřena a o šetře</w:t>
      </w:r>
      <w:r>
        <w:t>ní bude pořízen zápis. Na základě prošetření a zápisu bude vyvoláno jednání o způsobu vyřízení reklamace.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8"/>
        </w:numPr>
        <w:shd w:val="clear" w:color="auto" w:fill="auto"/>
        <w:tabs>
          <w:tab w:val="left" w:pos="347"/>
        </w:tabs>
        <w:spacing w:before="0" w:line="230" w:lineRule="exact"/>
        <w:ind w:left="420" w:hanging="420"/>
      </w:pPr>
      <w:r>
        <w:t>Za prokázané vadné plnění dodávky ÚT bude považován zejména stav, kdy v napojovacím uzlu dané zúčtovací jednotky budou zjištěny údaje lišící se od obo</w:t>
      </w:r>
      <w:r>
        <w:t xml:space="preserve">ustranně odsouhlasených naprojektovaných hodnot o více jak ± 15 </w:t>
      </w:r>
      <w:r>
        <w:rPr>
          <w:rStyle w:val="Bodytext2Italic"/>
        </w:rPr>
        <w:t xml:space="preserve">%. </w:t>
      </w:r>
      <w:r>
        <w:t>Naprojektované hodnoty jsou uvedeny v příloze č. 1 této smlouvy. V případě, že dodávka ÚT bude v uvedené toleranci, a přesto bude nedostačující, budou dohodnuty upřesněné parametry pro daný</w:t>
      </w:r>
      <w:r>
        <w:t xml:space="preserve"> napojovací uzel.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8"/>
        </w:numPr>
        <w:shd w:val="clear" w:color="auto" w:fill="auto"/>
        <w:tabs>
          <w:tab w:val="left" w:pos="347"/>
        </w:tabs>
        <w:spacing w:before="0" w:after="272" w:line="230" w:lineRule="exact"/>
        <w:ind w:left="420" w:hanging="420"/>
      </w:pPr>
      <w:r>
        <w:t>Za prokázané vadné plnění dodávky TUV bude považován zejména stav, kdy v napojovacím uzlu dané zúčtovací jednotky (v místě plnění) bude zjištěna teplota nižší, než je dohodnuto v čl. Vlil této smlouvy.</w:t>
      </w:r>
    </w:p>
    <w:p w:rsidR="00F51640" w:rsidRDefault="002649E9" w:rsidP="002649E9">
      <w:pPr>
        <w:pStyle w:val="Heading40"/>
        <w:framePr w:w="9751" w:h="13081" w:hRule="exact" w:wrap="none" w:vAnchor="page" w:hAnchor="page" w:x="991" w:y="2088"/>
        <w:shd w:val="clear" w:color="auto" w:fill="auto"/>
        <w:spacing w:after="0"/>
        <w:ind w:right="40"/>
      </w:pPr>
      <w:bookmarkStart w:id="8" w:name="bookmark10"/>
      <w:r>
        <w:t>čl. X</w:t>
      </w:r>
      <w:bookmarkEnd w:id="8"/>
    </w:p>
    <w:p w:rsidR="00F51640" w:rsidRDefault="002649E9" w:rsidP="002649E9">
      <w:pPr>
        <w:pStyle w:val="Heading40"/>
        <w:framePr w:w="9751" w:h="13081" w:hRule="exact" w:wrap="none" w:vAnchor="page" w:hAnchor="page" w:x="991" w:y="2088"/>
        <w:shd w:val="clear" w:color="auto" w:fill="auto"/>
        <w:spacing w:after="208"/>
        <w:ind w:right="40"/>
      </w:pPr>
      <w:bookmarkStart w:id="9" w:name="bookmark11"/>
      <w:r>
        <w:t>Povinnosti dodavatele</w:t>
      </w:r>
      <w:bookmarkEnd w:id="9"/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9"/>
        </w:numPr>
        <w:shd w:val="clear" w:color="auto" w:fill="auto"/>
        <w:tabs>
          <w:tab w:val="left" w:pos="347"/>
        </w:tabs>
        <w:spacing w:before="0" w:line="230" w:lineRule="exact"/>
        <w:ind w:left="420" w:hanging="420"/>
      </w:pPr>
      <w:r>
        <w:t>Zajistit</w:t>
      </w:r>
      <w:r>
        <w:t xml:space="preserve"> plynulou dodávku ÚT a TUV do objektů odběratele v rozsahu ustanovení této smlouvy. Dodavatel však neodpovídá za případné nedostatky v dodávkách ÚT a TUV způsobené závadami na zařízeních odběratele.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9"/>
        </w:numPr>
        <w:shd w:val="clear" w:color="auto" w:fill="auto"/>
        <w:tabs>
          <w:tab w:val="left" w:pos="347"/>
        </w:tabs>
        <w:spacing w:before="0" w:line="230" w:lineRule="exact"/>
        <w:ind w:left="420" w:hanging="420"/>
      </w:pPr>
      <w:r>
        <w:t>Omezit nebo přerušit dodávky ÚT a TUV je dodavatel oprávn</w:t>
      </w:r>
      <w:r>
        <w:t>ěn pouze při provádění plánovaných oprav, údržbových a revizních prací, a to na nezbytně nutnou dobu a po předchozím projednání s odběratelem. Omezit nebo přerušit dodávku tepla a TUV má dodavatel právo také podle zákona č. 458 / 2000 Sb. - § 76, odst.4, p</w:t>
      </w:r>
      <w:r>
        <w:t>ísm. i), § 89, odst. 1, písm. b), a to až po 2 měsících trvalého neplnění platebních podmínek.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9"/>
        </w:numPr>
        <w:shd w:val="clear" w:color="auto" w:fill="auto"/>
        <w:tabs>
          <w:tab w:val="left" w:pos="347"/>
        </w:tabs>
        <w:spacing w:before="0" w:line="230" w:lineRule="exact"/>
        <w:ind w:left="420" w:hanging="420"/>
      </w:pPr>
      <w:r>
        <w:t>Vést předepsané účetnictví a umožnit odběrateli přístup ke kalkulaci ceny tepla a k dalším údajům, které mají vliv na rozdělování nákladů.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9"/>
        </w:numPr>
        <w:shd w:val="clear" w:color="auto" w:fill="auto"/>
        <w:tabs>
          <w:tab w:val="left" w:pos="347"/>
        </w:tabs>
        <w:spacing w:before="0" w:line="230" w:lineRule="exact"/>
        <w:ind w:left="420" w:hanging="420"/>
      </w:pPr>
      <w:r>
        <w:t xml:space="preserve">V případě odstavení a </w:t>
      </w:r>
      <w:r>
        <w:t>přerušení dodávek tepla a TUV z důvodu zásahu do rozvodného systému provést odkalení rozvodného systému tak , aby nedocházelo k zanášení vnitřních rozvodů v objektech odběratele.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9"/>
        </w:numPr>
        <w:shd w:val="clear" w:color="auto" w:fill="auto"/>
        <w:tabs>
          <w:tab w:val="left" w:pos="347"/>
        </w:tabs>
        <w:spacing w:before="0" w:line="230" w:lineRule="exact"/>
        <w:ind w:left="420" w:hanging="420"/>
      </w:pPr>
      <w:r>
        <w:t>Nezasahovat svévolně do topného systému, regulačních armatur, měřících a regu</w:t>
      </w:r>
      <w:r>
        <w:t>lačních přístrojů odběratele.</w:t>
      </w:r>
    </w:p>
    <w:p w:rsidR="00F51640" w:rsidRDefault="002649E9" w:rsidP="002649E9">
      <w:pPr>
        <w:pStyle w:val="Bodytext20"/>
        <w:framePr w:w="9751" w:h="13081" w:hRule="exact" w:wrap="none" w:vAnchor="page" w:hAnchor="page" w:x="991" w:y="2088"/>
        <w:numPr>
          <w:ilvl w:val="0"/>
          <w:numId w:val="9"/>
        </w:numPr>
        <w:shd w:val="clear" w:color="auto" w:fill="auto"/>
        <w:tabs>
          <w:tab w:val="left" w:pos="347"/>
        </w:tabs>
        <w:spacing w:before="0" w:after="272" w:line="230" w:lineRule="exact"/>
        <w:ind w:left="420" w:hanging="420"/>
      </w:pPr>
      <w:r>
        <w:t>Opatřit svá zařízení vhodným ochranným zabezpečením proti neoprávněné manipulaci.</w:t>
      </w:r>
    </w:p>
    <w:p w:rsidR="002649E9" w:rsidRDefault="002649E9" w:rsidP="002649E9">
      <w:pPr>
        <w:pStyle w:val="Bodytext20"/>
        <w:framePr w:w="9751" w:h="13081" w:hRule="exact" w:wrap="none" w:vAnchor="page" w:hAnchor="page" w:x="991" w:y="2088"/>
        <w:shd w:val="clear" w:color="auto" w:fill="auto"/>
        <w:tabs>
          <w:tab w:val="left" w:pos="347"/>
        </w:tabs>
        <w:spacing w:before="0" w:after="272" w:line="230" w:lineRule="exact"/>
        <w:ind w:firstLine="0"/>
      </w:pPr>
    </w:p>
    <w:p w:rsidR="00F51640" w:rsidRDefault="002649E9" w:rsidP="002649E9">
      <w:pPr>
        <w:pStyle w:val="Heading40"/>
        <w:framePr w:w="9751" w:h="13081" w:hRule="exact" w:wrap="none" w:vAnchor="page" w:hAnchor="page" w:x="991" w:y="2088"/>
        <w:shd w:val="clear" w:color="auto" w:fill="auto"/>
        <w:spacing w:after="0"/>
        <w:ind w:right="40"/>
      </w:pPr>
      <w:bookmarkStart w:id="10" w:name="bookmark12"/>
      <w:r>
        <w:t>čl. XI</w:t>
      </w:r>
      <w:bookmarkEnd w:id="10"/>
    </w:p>
    <w:p w:rsidR="00F51640" w:rsidRDefault="002649E9" w:rsidP="002649E9">
      <w:pPr>
        <w:pStyle w:val="Heading40"/>
        <w:framePr w:w="9751" w:h="13081" w:hRule="exact" w:wrap="none" w:vAnchor="page" w:hAnchor="page" w:x="991" w:y="2088"/>
        <w:shd w:val="clear" w:color="auto" w:fill="auto"/>
        <w:spacing w:after="0"/>
        <w:ind w:right="40"/>
      </w:pPr>
      <w:bookmarkStart w:id="11" w:name="bookmark13"/>
      <w:r>
        <w:t xml:space="preserve">Povinnosti odběratele </w:t>
      </w:r>
      <w:bookmarkEnd w:id="11"/>
    </w:p>
    <w:p w:rsidR="00F51640" w:rsidRDefault="002649E9">
      <w:pPr>
        <w:pStyle w:val="Footnote0"/>
        <w:framePr w:w="9730" w:h="225" w:hRule="exact" w:wrap="none" w:vAnchor="page" w:hAnchor="page" w:x="839" w:y="15457"/>
        <w:shd w:val="clear" w:color="auto" w:fill="auto"/>
        <w:tabs>
          <w:tab w:val="left" w:pos="336"/>
        </w:tabs>
        <w:ind w:firstLine="0"/>
      </w:pPr>
      <w:r>
        <w:t>1.</w:t>
      </w:r>
      <w:r>
        <w:tab/>
        <w:t>Řádně a včas plnit své platební povinnosti podle této smlouvy.</w:t>
      </w:r>
    </w:p>
    <w:p w:rsidR="00F51640" w:rsidRDefault="002649E9">
      <w:pPr>
        <w:pStyle w:val="Footnote0"/>
        <w:framePr w:w="9730" w:h="446" w:hRule="exact" w:wrap="none" w:vAnchor="page" w:hAnchor="page" w:x="839" w:y="15687"/>
        <w:shd w:val="clear" w:color="auto" w:fill="auto"/>
        <w:tabs>
          <w:tab w:val="left" w:pos="370"/>
        </w:tabs>
        <w:ind w:left="420"/>
        <w:jc w:val="left"/>
      </w:pPr>
      <w:r>
        <w:t>2.</w:t>
      </w:r>
      <w:r>
        <w:tab/>
        <w:t xml:space="preserve">Písemně předat dodavateli </w:t>
      </w:r>
      <w:r>
        <w:t>započitatelné podlahové plochy a podlahové plochy dle příslušné vyhlášky v termínu do 10. 1. následujícího roku.</w:t>
      </w:r>
    </w:p>
    <w:p w:rsidR="00F51640" w:rsidRDefault="002649E9">
      <w:pPr>
        <w:pStyle w:val="Footnote0"/>
        <w:framePr w:w="9730" w:h="715" w:hRule="exact" w:wrap="none" w:vAnchor="page" w:hAnchor="page" w:x="839" w:y="16138"/>
        <w:shd w:val="clear" w:color="auto" w:fill="auto"/>
        <w:tabs>
          <w:tab w:val="left" w:pos="360"/>
        </w:tabs>
        <w:ind w:left="380" w:hanging="380"/>
      </w:pPr>
      <w:r>
        <w:t>3.</w:t>
      </w:r>
      <w:r>
        <w:tab/>
        <w:t xml:space="preserve">Spotřebu TUV naměřenou stanovenými a ověřenými měřidly ( vodoměry ) pro rozúčtování nákladů na TUV v zúčtovacích jednotkách zašle odběratel </w:t>
      </w:r>
      <w:r>
        <w:t>v termínu do 10. 1. následujícího roku. Dodavatel bude respektovat případné meziodečty související se změnami ceny. Odběratel ručí za odečty při výměně vodoměrů .</w:t>
      </w:r>
    </w:p>
    <w:p w:rsidR="00F51640" w:rsidRDefault="00F51640">
      <w:pPr>
        <w:rPr>
          <w:sz w:val="2"/>
          <w:szCs w:val="2"/>
        </w:rPr>
        <w:sectPr w:rsidR="00F51640">
          <w:pgSz w:w="12047" w:h="1750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640" w:rsidRDefault="002649E9">
      <w:pPr>
        <w:pStyle w:val="Headerorfooter0"/>
        <w:framePr w:wrap="none" w:vAnchor="page" w:hAnchor="page" w:x="6037" w:y="760"/>
        <w:shd w:val="clear" w:color="auto" w:fill="auto"/>
      </w:pPr>
      <w:r>
        <w:lastRenderedPageBreak/>
        <w:t>4</w:t>
      </w:r>
    </w:p>
    <w:p w:rsidR="00F51640" w:rsidRDefault="002649E9">
      <w:pPr>
        <w:pStyle w:val="Headerorfooter20"/>
        <w:framePr w:w="10469" w:h="1476" w:hRule="exact" w:wrap="none" w:vAnchor="page" w:hAnchor="page" w:x="469"/>
        <w:shd w:val="clear" w:color="auto" w:fill="auto"/>
      </w:pPr>
      <w:r>
        <w:t>f</w:t>
      </w:r>
    </w:p>
    <w:p w:rsidR="00F51640" w:rsidRDefault="002649E9">
      <w:pPr>
        <w:pStyle w:val="Bodytext20"/>
        <w:framePr w:w="10469" w:h="2542" w:hRule="exact" w:wrap="none" w:vAnchor="page" w:hAnchor="page" w:x="469" w:y="1052"/>
        <w:shd w:val="clear" w:color="auto" w:fill="auto"/>
        <w:tabs>
          <w:tab w:val="left" w:pos="782"/>
        </w:tabs>
        <w:spacing w:before="0"/>
        <w:ind w:firstLine="0"/>
      </w:pPr>
      <w:r>
        <w:t xml:space="preserve">                 </w:t>
      </w:r>
      <w:r>
        <w:t>3. Spotřebu TU V naměřenou stanovenými a ověřenými měřidly ( vo</w:t>
      </w:r>
      <w:r>
        <w:t>doměry ) pro rozúčtování nákladů na TU V v</w:t>
      </w:r>
    </w:p>
    <w:p w:rsidR="00F51640" w:rsidRDefault="002649E9">
      <w:pPr>
        <w:pStyle w:val="Bodytext20"/>
        <w:framePr w:w="10469" w:h="2542" w:hRule="exact" w:wrap="none" w:vAnchor="page" w:hAnchor="page" w:x="469" w:y="1052"/>
        <w:shd w:val="clear" w:color="auto" w:fill="auto"/>
        <w:tabs>
          <w:tab w:val="left" w:pos="1158"/>
        </w:tabs>
        <w:spacing w:before="0"/>
        <w:ind w:firstLine="0"/>
      </w:pPr>
      <w:r>
        <w:tab/>
      </w:r>
      <w:r>
        <w:t>zúčtovacích jednotkách zašle odběratel v termínu do 10. 1. následujícího roku. Dodavatel bude respektovat</w:t>
      </w:r>
    </w:p>
    <w:p w:rsidR="00F51640" w:rsidRDefault="002649E9">
      <w:pPr>
        <w:pStyle w:val="Bodytext20"/>
        <w:framePr w:w="10469" w:h="2542" w:hRule="exact" w:wrap="none" w:vAnchor="page" w:hAnchor="page" w:x="469" w:y="1052"/>
        <w:shd w:val="clear" w:color="auto" w:fill="auto"/>
        <w:spacing w:before="0"/>
        <w:ind w:left="1160" w:firstLine="0"/>
        <w:jc w:val="left"/>
      </w:pPr>
      <w:r>
        <w:t>případné meziodečty související se změnami ceny. Odběratel ručí za odečty při výměně vodoměrů .</w:t>
      </w:r>
    </w:p>
    <w:p w:rsidR="00F51640" w:rsidRDefault="002649E9">
      <w:pPr>
        <w:pStyle w:val="Bodytext20"/>
        <w:framePr w:w="10469" w:h="2542" w:hRule="exact" w:wrap="none" w:vAnchor="page" w:hAnchor="page" w:x="469" w:y="1052"/>
        <w:numPr>
          <w:ilvl w:val="0"/>
          <w:numId w:val="10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Zjištěnou</w:t>
      </w:r>
      <w:r>
        <w:t xml:space="preserve"> závadu na odběrném tepelném zařízení v objektech odběratele nahlásit okamžitě telefonicky na dispečink kotelen a posléze písemně dodavateli do 10 dnů, a to jen pokud mají vliv na provoz kotelny, hospodárnost provozu nebo kvalitu odběru.</w:t>
      </w:r>
    </w:p>
    <w:p w:rsidR="00F51640" w:rsidRDefault="002649E9">
      <w:pPr>
        <w:pStyle w:val="Bodytext20"/>
        <w:framePr w:w="10469" w:h="2542" w:hRule="exact" w:wrap="none" w:vAnchor="page" w:hAnchor="page" w:x="469" w:y="1052"/>
        <w:numPr>
          <w:ilvl w:val="0"/>
          <w:numId w:val="10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Oznamovat prokazat</w:t>
      </w:r>
      <w:r>
        <w:t>elně dodavateli veškeré změny mající vliv na dodávku tepla a TUV v předmětných objektech.</w:t>
      </w:r>
    </w:p>
    <w:p w:rsidR="00F51640" w:rsidRDefault="002649E9">
      <w:pPr>
        <w:pStyle w:val="Bodytext20"/>
        <w:framePr w:w="10469" w:h="2542" w:hRule="exact" w:wrap="none" w:vAnchor="page" w:hAnchor="page" w:x="469" w:y="1052"/>
        <w:numPr>
          <w:ilvl w:val="0"/>
          <w:numId w:val="10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Nezasahovat svévolně do topného systému, regulačních armatur, měřících a regulačních přístrojů a měřičů tepla dodavatele.</w:t>
      </w:r>
    </w:p>
    <w:p w:rsidR="00F51640" w:rsidRDefault="002649E9">
      <w:pPr>
        <w:pStyle w:val="Bodytext20"/>
        <w:framePr w:w="10469" w:h="2542" w:hRule="exact" w:wrap="none" w:vAnchor="page" w:hAnchor="page" w:x="469" w:y="1052"/>
        <w:numPr>
          <w:ilvl w:val="0"/>
          <w:numId w:val="10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Veškeré opravy a výměny na topném systému ve</w:t>
      </w:r>
      <w:r>
        <w:t xml:space="preserve"> vlastnictví odběratele v předstihu oznámit dodavateli.</w:t>
      </w:r>
    </w:p>
    <w:p w:rsidR="00F51640" w:rsidRDefault="002649E9">
      <w:pPr>
        <w:pStyle w:val="Bodytext20"/>
        <w:framePr w:w="10469" w:h="2542" w:hRule="exact" w:wrap="none" w:vAnchor="page" w:hAnchor="page" w:x="469" w:y="1052"/>
        <w:numPr>
          <w:ilvl w:val="0"/>
          <w:numId w:val="10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Vnitřní regulaci topného systému v objektech oznámit předem dodavateli a vyžádat si jeho písemný souhlas.</w:t>
      </w:r>
    </w:p>
    <w:p w:rsidR="00F51640" w:rsidRDefault="002649E9">
      <w:pPr>
        <w:pStyle w:val="Heading40"/>
        <w:framePr w:w="10469" w:h="10568" w:hRule="exact" w:wrap="none" w:vAnchor="page" w:hAnchor="page" w:x="469" w:y="4027"/>
        <w:shd w:val="clear" w:color="auto" w:fill="auto"/>
        <w:spacing w:after="0"/>
        <w:ind w:left="5300"/>
        <w:jc w:val="left"/>
      </w:pPr>
      <w:bookmarkStart w:id="12" w:name="bookmark14"/>
      <w:r>
        <w:t>čl. XII</w:t>
      </w:r>
      <w:bookmarkEnd w:id="12"/>
    </w:p>
    <w:p w:rsidR="00F51640" w:rsidRDefault="002649E9">
      <w:pPr>
        <w:pStyle w:val="Heading40"/>
        <w:framePr w:w="10469" w:h="10568" w:hRule="exact" w:wrap="none" w:vAnchor="page" w:hAnchor="page" w:x="469" w:y="4027"/>
        <w:shd w:val="clear" w:color="auto" w:fill="auto"/>
        <w:spacing w:after="212"/>
        <w:ind w:left="4120"/>
        <w:jc w:val="left"/>
      </w:pPr>
      <w:bookmarkStart w:id="13" w:name="bookmark15"/>
      <w:r>
        <w:t>Smluvní pokuty a úroky z prodlení</w:t>
      </w:r>
      <w:bookmarkEnd w:id="13"/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1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 xml:space="preserve">Dodavatel uhradí odběrateli smluvní pokutu, </w:t>
      </w:r>
      <w:r>
        <w:t>jestliže: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shd w:val="clear" w:color="auto" w:fill="auto"/>
        <w:spacing w:before="0"/>
        <w:ind w:left="1160" w:firstLine="0"/>
        <w:jc w:val="left"/>
      </w:pPr>
      <w:r>
        <w:t>nezašle odběrateli dohodu o ceně a výši záloh podle čl. V, odst. 3 této smlouvy ve výši 100,00 Kč za každý den prodlení;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shd w:val="clear" w:color="auto" w:fill="auto"/>
        <w:spacing w:before="0"/>
        <w:ind w:left="1160" w:firstLine="0"/>
        <w:jc w:val="left"/>
      </w:pPr>
      <w:r>
        <w:t>nezašle odběrateli vyúčtování nákladů po skončení topného období podle čl. V, odst. 5 této smlouvy ve výši 100,00 Kč za každý</w:t>
      </w:r>
      <w:r>
        <w:t xml:space="preserve"> den prodlení.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1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Odběratel uhradí dodavateli smluvní pokutu, jestliže: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shd w:val="clear" w:color="auto" w:fill="auto"/>
        <w:spacing w:before="0"/>
        <w:ind w:left="1160" w:firstLine="0"/>
        <w:jc w:val="left"/>
      </w:pPr>
      <w:r>
        <w:t>nesplní svou povinnost podle čl. XI, odst. 2 této smlouvy ve výši 100,00 Kč za každý den prodlení; nesplní svou povinnost podle čl. XI, odst. 3 této smlouvy ve výši 100,00 Kč za každý den</w:t>
      </w:r>
      <w:r>
        <w:t xml:space="preserve"> prodlení.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1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Smluvní pokutu, sjednanou touto smlouvou, hradí povinná strana nezávisle na tom, zda a v jaké výši vznikne druhé straně v této souvislosti škoda, kterou lze vymáhat samostatně.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1"/>
        </w:numPr>
        <w:shd w:val="clear" w:color="auto" w:fill="auto"/>
        <w:tabs>
          <w:tab w:val="left" w:pos="1158"/>
        </w:tabs>
        <w:spacing w:before="0"/>
        <w:ind w:left="1160" w:right="2120" w:hanging="360"/>
        <w:jc w:val="left"/>
      </w:pPr>
      <w:r>
        <w:t>Dodavatel uhradí odběrateli úrok z prodlení ve výši 0,05% za každý d</w:t>
      </w:r>
      <w:r>
        <w:t>en prodlení, jestliže: nepoukáže přeplatek podle čl. V, odst. 5 této smlouvy.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1"/>
        </w:numPr>
        <w:shd w:val="clear" w:color="auto" w:fill="auto"/>
        <w:tabs>
          <w:tab w:val="left" w:pos="1158"/>
        </w:tabs>
        <w:spacing w:before="0" w:after="269"/>
        <w:ind w:left="1160" w:right="2120" w:hanging="360"/>
        <w:jc w:val="left"/>
      </w:pPr>
      <w:r>
        <w:t xml:space="preserve">Odběratel uhradí dodavateli úrok z prodlení ve výši 0,05% za každý den prodlení, jestliže: nezaplatí zálohu podle čl. V, odst. 7 této smlouvy ani v termínu splatnosti další </w:t>
      </w:r>
      <w:r>
        <w:t>částky; nepoukáže nedoplatek podle čl. V, odst. 5 této smlouvy.</w:t>
      </w:r>
    </w:p>
    <w:p w:rsidR="00F51640" w:rsidRDefault="002649E9">
      <w:pPr>
        <w:pStyle w:val="Heading40"/>
        <w:framePr w:w="10469" w:h="10568" w:hRule="exact" w:wrap="none" w:vAnchor="page" w:hAnchor="page" w:x="469" w:y="4027"/>
        <w:shd w:val="clear" w:color="auto" w:fill="auto"/>
        <w:spacing w:after="0"/>
        <w:ind w:left="5300"/>
        <w:jc w:val="left"/>
      </w:pPr>
      <w:bookmarkStart w:id="14" w:name="bookmark16"/>
      <w:r>
        <w:t>čl. XIII</w:t>
      </w:r>
      <w:bookmarkEnd w:id="14"/>
    </w:p>
    <w:p w:rsidR="00F51640" w:rsidRDefault="002649E9">
      <w:pPr>
        <w:pStyle w:val="Heading40"/>
        <w:framePr w:w="10469" w:h="10568" w:hRule="exact" w:wrap="none" w:vAnchor="page" w:hAnchor="page" w:x="469" w:y="4027"/>
        <w:shd w:val="clear" w:color="auto" w:fill="auto"/>
        <w:spacing w:after="212"/>
        <w:ind w:left="4880"/>
        <w:jc w:val="left"/>
      </w:pPr>
      <w:bookmarkStart w:id="15" w:name="bookmark17"/>
      <w:r>
        <w:t>Ostatní ujednání</w:t>
      </w:r>
      <w:bookmarkEnd w:id="15"/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2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Smluvní strany jsou povinny se navzájem informovat o všech potřebných skutečnostech a zúčastnit se druhou stranou vyvolaných jednání.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2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 xml:space="preserve">Odběratel zajistí v objektu </w:t>
      </w:r>
      <w:r>
        <w:t>vyhovující bezpečnostní podmínky, tj. zejména řádné osvětlení přístupových cest a místností napojovacích uzlů.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2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Při hrubém porušení této smlouvy či opakovaného neplnění dohodnutých podmínek jednou smluvní stranou, je druhá ze smluvních stran oprávněna odsto</w:t>
      </w:r>
      <w:r>
        <w:t>upit od smlouvy, přičemž k platnosti takového odstoupení je smluvní strana povinna prokazatelně vyzvat druhou smluvní stranu k odstranění nedostatků a poskytnout ji ktomu přiměřenou lhůtu a současněji na možnost odstoupení při neodstranění nedostatků upozo</w:t>
      </w:r>
      <w:r>
        <w:t>rnit.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2"/>
        </w:numPr>
        <w:shd w:val="clear" w:color="auto" w:fill="auto"/>
        <w:tabs>
          <w:tab w:val="left" w:pos="1158"/>
        </w:tabs>
        <w:spacing w:before="0"/>
        <w:ind w:left="1160" w:hanging="360"/>
      </w:pPr>
      <w:r>
        <w:t>Dodavatel poskytne v rámci vyúčtování kompletní podklady nutné pro ověření účtovaných nákladů na výrobu TUV, dle jednotlivých zdrojů a zúčtovacích jednotek ( součet m</w:t>
      </w:r>
      <w:r>
        <w:rPr>
          <w:vertAlign w:val="superscript"/>
        </w:rPr>
        <w:t>2</w:t>
      </w:r>
      <w:r>
        <w:t>, m</w:t>
      </w:r>
      <w:r>
        <w:rPr>
          <w:vertAlign w:val="superscript"/>
        </w:rPr>
        <w:t>3</w:t>
      </w:r>
      <w:r>
        <w:t>).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269"/>
        <w:ind w:left="1160" w:hanging="360"/>
      </w:pPr>
      <w:r>
        <w:t xml:space="preserve">Odběratel je povinen do 10 dnů od doručení návrhu změn této smlouvy dát své </w:t>
      </w:r>
      <w:r>
        <w:t>písemné vyjádření.</w:t>
      </w:r>
    </w:p>
    <w:p w:rsidR="00F51640" w:rsidRDefault="002649E9">
      <w:pPr>
        <w:pStyle w:val="Heading40"/>
        <w:framePr w:w="10469" w:h="10568" w:hRule="exact" w:wrap="none" w:vAnchor="page" w:hAnchor="page" w:x="469" w:y="4027"/>
        <w:shd w:val="clear" w:color="auto" w:fill="auto"/>
        <w:spacing w:after="0"/>
        <w:ind w:left="5300"/>
        <w:jc w:val="left"/>
      </w:pPr>
      <w:bookmarkStart w:id="16" w:name="bookmark18"/>
      <w:r>
        <w:t>čl</w:t>
      </w:r>
      <w:r>
        <w:t>. XIV</w:t>
      </w:r>
      <w:bookmarkEnd w:id="16"/>
    </w:p>
    <w:p w:rsidR="00F51640" w:rsidRDefault="002649E9">
      <w:pPr>
        <w:pStyle w:val="Heading40"/>
        <w:framePr w:w="10469" w:h="10568" w:hRule="exact" w:wrap="none" w:vAnchor="page" w:hAnchor="page" w:x="469" w:y="4027"/>
        <w:shd w:val="clear" w:color="auto" w:fill="auto"/>
        <w:spacing w:after="208"/>
        <w:ind w:left="4400"/>
        <w:jc w:val="left"/>
      </w:pPr>
      <w:bookmarkStart w:id="17" w:name="bookmark19"/>
      <w:r>
        <w:t>Osoby oprávněné k jednání</w:t>
      </w:r>
      <w:bookmarkEnd w:id="17"/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3"/>
        </w:numPr>
        <w:shd w:val="clear" w:color="auto" w:fill="auto"/>
        <w:tabs>
          <w:tab w:val="left" w:pos="1158"/>
        </w:tabs>
        <w:spacing w:before="0" w:line="230" w:lineRule="exact"/>
        <w:ind w:left="1160" w:hanging="360"/>
      </w:pPr>
      <w:r>
        <w:t>Za odběratele ve věcech upravených touto smlouvou jsou oprávněni jednat: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shd w:val="clear" w:color="auto" w:fill="auto"/>
        <w:spacing w:before="0" w:line="230" w:lineRule="exact"/>
        <w:ind w:left="1160" w:firstLine="0"/>
        <w:jc w:val="left"/>
      </w:pPr>
      <w:r>
        <w:t xml:space="preserve">ve věcech smluvních - Ing. Benatzká Karina - vedoucí odboru správy majetku ve věcech technických - Bc. Beierová Martina - vedoucí </w:t>
      </w:r>
      <w:r>
        <w:t>oddělení byt. a nebýt, fondu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numPr>
          <w:ilvl w:val="0"/>
          <w:numId w:val="13"/>
        </w:numPr>
        <w:shd w:val="clear" w:color="auto" w:fill="auto"/>
        <w:tabs>
          <w:tab w:val="left" w:pos="1158"/>
        </w:tabs>
        <w:spacing w:before="0" w:line="230" w:lineRule="exact"/>
        <w:ind w:left="1160" w:hanging="360"/>
      </w:pPr>
      <w:r>
        <w:t>Za dodavatele: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shd w:val="clear" w:color="auto" w:fill="auto"/>
        <w:spacing w:before="0" w:line="230" w:lineRule="exact"/>
        <w:ind w:left="1160" w:firstLine="0"/>
        <w:jc w:val="left"/>
      </w:pPr>
      <w:r>
        <w:t>ve věcech ekonomických a právních - ředitel společnosti</w:t>
      </w:r>
    </w:p>
    <w:p w:rsidR="00F51640" w:rsidRDefault="002649E9">
      <w:pPr>
        <w:pStyle w:val="Bodytext20"/>
        <w:framePr w:w="10469" w:h="10568" w:hRule="exact" w:wrap="none" w:vAnchor="page" w:hAnchor="page" w:x="469" w:y="4027"/>
        <w:shd w:val="clear" w:color="auto" w:fill="auto"/>
        <w:spacing w:before="0" w:after="272" w:line="230" w:lineRule="exact"/>
        <w:ind w:left="1160" w:firstLine="0"/>
        <w:jc w:val="left"/>
      </w:pPr>
      <w:r>
        <w:t>ve věcech technických - vedoucí tepelného hospodářství, vedoucí dispečer</w:t>
      </w:r>
    </w:p>
    <w:p w:rsidR="00F51640" w:rsidRDefault="002649E9">
      <w:pPr>
        <w:pStyle w:val="Heading40"/>
        <w:framePr w:w="10469" w:h="10568" w:hRule="exact" w:wrap="none" w:vAnchor="page" w:hAnchor="page" w:x="469" w:y="4027"/>
        <w:shd w:val="clear" w:color="auto" w:fill="auto"/>
        <w:spacing w:after="0"/>
        <w:ind w:left="5300"/>
        <w:jc w:val="left"/>
      </w:pPr>
      <w:bookmarkStart w:id="18" w:name="bookmark20"/>
      <w:r>
        <w:t>čl</w:t>
      </w:r>
      <w:r>
        <w:t>. XV</w:t>
      </w:r>
      <w:bookmarkEnd w:id="18"/>
    </w:p>
    <w:p w:rsidR="00F51640" w:rsidRDefault="002649E9">
      <w:pPr>
        <w:pStyle w:val="Heading40"/>
        <w:framePr w:w="10469" w:h="10568" w:hRule="exact" w:wrap="none" w:vAnchor="page" w:hAnchor="page" w:x="469" w:y="4027"/>
        <w:shd w:val="clear" w:color="auto" w:fill="auto"/>
        <w:spacing w:after="0"/>
        <w:ind w:left="4640"/>
        <w:jc w:val="left"/>
      </w:pPr>
      <w:bookmarkStart w:id="19" w:name="bookmark21"/>
      <w:r>
        <w:t xml:space="preserve">Závěrečná ustanovení </w:t>
      </w:r>
      <w:bookmarkEnd w:id="19"/>
      <w:r>
        <w:rPr>
          <w:vertAlign w:val="superscript"/>
        </w:rPr>
        <w:t xml:space="preserve"> </w:t>
      </w:r>
    </w:p>
    <w:p w:rsidR="00F51640" w:rsidRDefault="002649E9">
      <w:pPr>
        <w:pStyle w:val="Footnote0"/>
        <w:framePr w:w="9763" w:h="451" w:hRule="exact" w:wrap="none" w:vAnchor="page" w:hAnchor="page" w:x="1160" w:y="14828"/>
        <w:shd w:val="clear" w:color="auto" w:fill="auto"/>
        <w:tabs>
          <w:tab w:val="left" w:pos="1111"/>
        </w:tabs>
        <w:ind w:left="1100" w:hanging="320"/>
        <w:jc w:val="left"/>
      </w:pPr>
      <w:r>
        <w:t>1.</w:t>
      </w:r>
      <w:r>
        <w:tab/>
        <w:t xml:space="preserve">Tuto smlouvu lze měnit pouze výslovným </w:t>
      </w:r>
      <w:r>
        <w:t>oboustranným písemným ujednáním, podepsaným statutárními zástupci obou stran.</w:t>
      </w:r>
    </w:p>
    <w:p w:rsidR="00F51640" w:rsidRDefault="002649E9">
      <w:pPr>
        <w:pStyle w:val="Footnote0"/>
        <w:framePr w:w="9763" w:h="225" w:hRule="exact" w:wrap="none" w:vAnchor="page" w:hAnchor="page" w:x="1160" w:y="15289"/>
        <w:shd w:val="clear" w:color="auto" w:fill="auto"/>
        <w:tabs>
          <w:tab w:val="left" w:pos="1110"/>
        </w:tabs>
        <w:ind w:left="740" w:firstLine="0"/>
      </w:pPr>
      <w:r>
        <w:t>2.</w:t>
      </w:r>
      <w:r>
        <w:tab/>
        <w:t>Smlouva se uzavírá na dobu neurčitou.</w:t>
      </w:r>
    </w:p>
    <w:p w:rsidR="00F51640" w:rsidRDefault="002649E9">
      <w:pPr>
        <w:pStyle w:val="Footnote0"/>
        <w:framePr w:w="9763" w:h="485" w:hRule="exact" w:wrap="none" w:vAnchor="page" w:hAnchor="page" w:x="1160" w:y="15515"/>
        <w:shd w:val="clear" w:color="auto" w:fill="auto"/>
        <w:tabs>
          <w:tab w:val="left" w:pos="1110"/>
        </w:tabs>
        <w:ind w:left="1100" w:hanging="360"/>
        <w:jc w:val="left"/>
      </w:pPr>
      <w:r>
        <w:t>3.</w:t>
      </w:r>
      <w:r>
        <w:tab/>
        <w:t>Pro nové zúčtovací období bude formou písemného dodatku k této smlouvě upraveno množství dodaného UT, TUV a pitné vody k její přípravě</w:t>
      </w:r>
      <w:r>
        <w:t xml:space="preserve"> a výše měsíčních záloh na dodávky ÚT, TUV a pitné vody k její přípravě.</w:t>
      </w:r>
    </w:p>
    <w:p w:rsidR="00F51640" w:rsidRDefault="00F51640">
      <w:pPr>
        <w:rPr>
          <w:sz w:val="2"/>
          <w:szCs w:val="2"/>
        </w:rPr>
        <w:sectPr w:rsidR="00F51640">
          <w:pgSz w:w="12047" w:h="1750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640" w:rsidRDefault="002649E9">
      <w:pPr>
        <w:pStyle w:val="Headerorfooter0"/>
        <w:framePr w:wrap="none" w:vAnchor="page" w:hAnchor="page" w:x="5827" w:y="1016"/>
        <w:shd w:val="clear" w:color="auto" w:fill="auto"/>
      </w:pPr>
      <w:r>
        <w:t>5</w:t>
      </w:r>
    </w:p>
    <w:p w:rsidR="00F51640" w:rsidRDefault="002649E9">
      <w:pPr>
        <w:pStyle w:val="Bodytext20"/>
        <w:framePr w:w="10594" w:h="950" w:hRule="exact" w:wrap="none" w:vAnchor="page" w:hAnchor="page" w:x="144" w:y="1300"/>
        <w:shd w:val="clear" w:color="auto" w:fill="auto"/>
        <w:tabs>
          <w:tab w:val="left" w:pos="890"/>
        </w:tabs>
        <w:spacing w:before="0" w:line="230" w:lineRule="exact"/>
        <w:ind w:firstLine="0"/>
      </w:pPr>
      <w:r>
        <w:tab/>
        <w:t>5. Není-li v této smlouvě ujednáno jinak, řídí se právní poměry této smlouvy zákonem č. 91/2005 Sb. a jeho</w:t>
      </w:r>
    </w:p>
    <w:p w:rsidR="00F51640" w:rsidRDefault="002649E9">
      <w:pPr>
        <w:pStyle w:val="Bodytext20"/>
        <w:framePr w:w="10594" w:h="950" w:hRule="exact" w:wrap="none" w:vAnchor="page" w:hAnchor="page" w:x="144" w:y="1300"/>
        <w:shd w:val="clear" w:color="auto" w:fill="auto"/>
        <w:tabs>
          <w:tab w:val="left" w:pos="1269"/>
        </w:tabs>
        <w:spacing w:before="0" w:line="230" w:lineRule="exact"/>
        <w:ind w:firstLine="0"/>
      </w:pPr>
      <w:r>
        <w:rPr>
          <w:rStyle w:val="Bodytext210pt"/>
        </w:rPr>
        <w:tab/>
      </w:r>
      <w:r>
        <w:t xml:space="preserve">prováděcími předpisy, obchodním a občanským </w:t>
      </w:r>
      <w:r>
        <w:t>zákoníkem.</w:t>
      </w:r>
    </w:p>
    <w:p w:rsidR="00F51640" w:rsidRDefault="002649E9">
      <w:pPr>
        <w:pStyle w:val="Bodytext20"/>
        <w:framePr w:w="10594" w:h="950" w:hRule="exact" w:wrap="none" w:vAnchor="page" w:hAnchor="page" w:x="144" w:y="1300"/>
        <w:shd w:val="clear" w:color="auto" w:fill="auto"/>
        <w:tabs>
          <w:tab w:val="left" w:pos="890"/>
        </w:tabs>
        <w:spacing w:before="0" w:line="230" w:lineRule="exact"/>
        <w:ind w:firstLine="0"/>
      </w:pPr>
      <w:r>
        <w:tab/>
        <w:t>6. Tato smlouva nabývá platnosti dnem podpisu smluvních stran s účinností ode dne 1. 7. 2006.</w:t>
      </w:r>
    </w:p>
    <w:p w:rsidR="00F51640" w:rsidRDefault="002649E9">
      <w:pPr>
        <w:pStyle w:val="Bodytext20"/>
        <w:framePr w:w="10594" w:h="950" w:hRule="exact" w:wrap="none" w:vAnchor="page" w:hAnchor="page" w:x="144" w:y="1300"/>
        <w:numPr>
          <w:ilvl w:val="0"/>
          <w:numId w:val="9"/>
        </w:numPr>
        <w:shd w:val="clear" w:color="auto" w:fill="auto"/>
        <w:tabs>
          <w:tab w:val="left" w:pos="1269"/>
        </w:tabs>
        <w:spacing w:before="0" w:line="230" w:lineRule="exact"/>
        <w:ind w:left="2020"/>
        <w:jc w:val="left"/>
      </w:pPr>
      <w:r>
        <w:t>Smlouvaje vyhotovena ve dvou vyhotoveních , každá strana obdrží po jednom vyhotovení.</w:t>
      </w:r>
    </w:p>
    <w:p w:rsidR="00F51640" w:rsidRDefault="002649E9">
      <w:pPr>
        <w:pStyle w:val="Bodytext20"/>
        <w:framePr w:w="10594" w:h="1200" w:hRule="exact" w:wrap="none" w:vAnchor="page" w:hAnchor="page" w:x="144" w:y="2873"/>
        <w:shd w:val="clear" w:color="auto" w:fill="auto"/>
        <w:spacing w:before="0"/>
        <w:ind w:left="2020"/>
        <w:jc w:val="left"/>
      </w:pPr>
      <w:r>
        <w:t>Přílohy :</w:t>
      </w:r>
    </w:p>
    <w:p w:rsidR="00F51640" w:rsidRDefault="002649E9">
      <w:pPr>
        <w:pStyle w:val="Bodytext20"/>
        <w:framePr w:w="10594" w:h="1200" w:hRule="exact" w:wrap="none" w:vAnchor="page" w:hAnchor="page" w:x="144" w:y="2873"/>
        <w:shd w:val="clear" w:color="auto" w:fill="auto"/>
        <w:spacing w:before="0"/>
        <w:ind w:left="2020"/>
        <w:jc w:val="left"/>
      </w:pPr>
      <w:r>
        <w:t>Příloha č. 1 Seznam odběrných míst, parametry teplono</w:t>
      </w:r>
      <w:r>
        <w:t>sného média.</w:t>
      </w:r>
    </w:p>
    <w:p w:rsidR="00F51640" w:rsidRDefault="002649E9">
      <w:pPr>
        <w:pStyle w:val="Bodytext20"/>
        <w:framePr w:w="10594" w:h="1200" w:hRule="exact" w:wrap="none" w:vAnchor="page" w:hAnchor="page" w:x="144" w:y="2873"/>
        <w:shd w:val="clear" w:color="auto" w:fill="auto"/>
        <w:spacing w:before="0"/>
        <w:ind w:left="2020" w:right="2000"/>
        <w:jc w:val="left"/>
      </w:pPr>
      <w:r>
        <w:t>Příloha č. 2 Měsíční zálohy na dodávku ÚT a TUV a měsíční zálohy na dodávku studené vody pro ohřev TUV.</w:t>
      </w:r>
    </w:p>
    <w:p w:rsidR="00F51640" w:rsidRDefault="002649E9">
      <w:pPr>
        <w:pStyle w:val="Bodytext20"/>
        <w:framePr w:w="10594" w:h="1200" w:hRule="exact" w:wrap="none" w:vAnchor="page" w:hAnchor="page" w:x="144" w:y="2873"/>
        <w:shd w:val="clear" w:color="auto" w:fill="auto"/>
        <w:spacing w:before="0"/>
        <w:ind w:left="2020"/>
        <w:jc w:val="left"/>
      </w:pPr>
      <w:r>
        <w:t>Příloha č. 3 Topná křivka.</w:t>
      </w:r>
    </w:p>
    <w:p w:rsidR="00F51640" w:rsidRDefault="002649E9">
      <w:pPr>
        <w:pStyle w:val="Bodytext20"/>
        <w:framePr w:wrap="none" w:vAnchor="page" w:hAnchor="page" w:x="144" w:y="5208"/>
        <w:shd w:val="clear" w:color="auto" w:fill="auto"/>
        <w:spacing w:before="0" w:line="190" w:lineRule="exact"/>
        <w:ind w:left="2020"/>
        <w:jc w:val="left"/>
      </w:pPr>
      <w:r>
        <w:t>V Českém Těšíně dne :</w:t>
      </w:r>
    </w:p>
    <w:p w:rsidR="00F51640" w:rsidRDefault="002649E9">
      <w:pPr>
        <w:pStyle w:val="Other0"/>
        <w:framePr w:wrap="none" w:vAnchor="page" w:hAnchor="page" w:x="3048" w:y="4992"/>
        <w:shd w:val="clear" w:color="auto" w:fill="auto"/>
        <w:spacing w:line="190" w:lineRule="exact"/>
        <w:jc w:val="both"/>
      </w:pPr>
      <w:r>
        <w:rPr>
          <w:rStyle w:val="Other95ptItalic"/>
        </w:rPr>
        <w:t xml:space="preserve"> </w:t>
      </w:r>
    </w:p>
    <w:p w:rsidR="00F51640" w:rsidRDefault="002649E9">
      <w:pPr>
        <w:pStyle w:val="Bodytext80"/>
        <w:framePr w:wrap="none" w:vAnchor="page" w:hAnchor="page" w:x="144" w:y="5835"/>
        <w:shd w:val="clear" w:color="auto" w:fill="auto"/>
        <w:spacing w:before="0" w:after="0"/>
        <w:ind w:left="8136" w:right="2347"/>
      </w:pPr>
      <w:r>
        <w:t xml:space="preserve"> </w:t>
      </w:r>
    </w:p>
    <w:p w:rsidR="00F51640" w:rsidRDefault="002649E9">
      <w:pPr>
        <w:pStyle w:val="Bodytext90"/>
        <w:framePr w:wrap="none" w:vAnchor="page" w:hAnchor="page" w:x="144" w:y="6914"/>
        <w:shd w:val="clear" w:color="auto" w:fill="auto"/>
        <w:spacing w:before="0"/>
        <w:ind w:left="2366" w:right="8030"/>
      </w:pPr>
      <w:r>
        <w:t></w:t>
      </w:r>
    </w:p>
    <w:p w:rsidR="00F51640" w:rsidRDefault="002649E9">
      <w:pPr>
        <w:pStyle w:val="Bodytext20"/>
        <w:framePr w:w="10594" w:h="744" w:hRule="exact" w:wrap="none" w:vAnchor="page" w:hAnchor="page" w:x="144" w:y="7232"/>
        <w:shd w:val="clear" w:color="auto" w:fill="auto"/>
        <w:spacing w:before="0" w:line="230" w:lineRule="exact"/>
        <w:ind w:left="1620" w:firstLine="0"/>
        <w:jc w:val="left"/>
      </w:pPr>
      <w:r>
        <w:t xml:space="preserve"> </w:t>
      </w:r>
      <w:r>
        <w:t>odběratel</w:t>
      </w:r>
    </w:p>
    <w:p w:rsidR="00F51640" w:rsidRDefault="002649E9">
      <w:pPr>
        <w:pStyle w:val="Bodytext20"/>
        <w:framePr w:w="10594" w:h="744" w:hRule="exact" w:wrap="none" w:vAnchor="page" w:hAnchor="page" w:x="144" w:y="7232"/>
        <w:shd w:val="clear" w:color="auto" w:fill="auto"/>
        <w:spacing w:before="0" w:line="230" w:lineRule="exact"/>
        <w:ind w:left="1060" w:right="3840" w:firstLine="160"/>
        <w:jc w:val="left"/>
      </w:pPr>
      <w:r>
        <w:t>Město Český Těšín</w:t>
      </w:r>
      <w:r>
        <w:br/>
        <w:t>Český Těšín, nám. ČSA 1/1</w:t>
      </w:r>
    </w:p>
    <w:p w:rsidR="00F51640" w:rsidRDefault="002649E9">
      <w:pPr>
        <w:pStyle w:val="Picturecaption0"/>
        <w:framePr w:w="2218" w:h="1210" w:hRule="exact" w:wrap="none" w:vAnchor="page" w:hAnchor="page" w:x="7473" w:y="7237"/>
        <w:shd w:val="clear" w:color="auto" w:fill="auto"/>
        <w:ind w:left="20"/>
      </w:pPr>
      <w:r>
        <w:t>dodavatel</w:t>
      </w:r>
    </w:p>
    <w:p w:rsidR="00F51640" w:rsidRDefault="002649E9">
      <w:pPr>
        <w:pStyle w:val="Picturecaption0"/>
        <w:framePr w:w="2218" w:h="1210" w:hRule="exact" w:wrap="none" w:vAnchor="page" w:hAnchor="page" w:x="7473" w:y="7237"/>
        <w:shd w:val="clear" w:color="auto" w:fill="auto"/>
        <w:ind w:left="20"/>
      </w:pPr>
      <w:r>
        <w:t>Bytový podnik Č. Těšín a.s.</w:t>
      </w:r>
      <w:r>
        <w:br/>
        <w:t xml:space="preserve">Český Těšín, </w:t>
      </w:r>
      <w:r>
        <w:t>Tovární 27</w:t>
      </w:r>
      <w:r>
        <w:br/>
        <w:t>Ing. Josef Gabzdyl</w:t>
      </w:r>
      <w:r>
        <w:br/>
        <w:t>ředitel a.s.</w:t>
      </w:r>
    </w:p>
    <w:p w:rsidR="00F51640" w:rsidRDefault="002649E9">
      <w:pPr>
        <w:framePr w:wrap="none" w:vAnchor="page" w:hAnchor="page" w:x="2433" w:y="12216"/>
        <w:rPr>
          <w:sz w:val="2"/>
          <w:szCs w:val="2"/>
        </w:rPr>
      </w:pPr>
      <w:r>
        <w:t xml:space="preserve">  </w:t>
      </w:r>
    </w:p>
    <w:p w:rsidR="00F51640" w:rsidRDefault="002649E9" w:rsidP="002649E9">
      <w:pPr>
        <w:pStyle w:val="Bodytext100"/>
        <w:framePr w:wrap="none" w:vAnchor="page" w:hAnchor="page" w:x="3166" w:y="14431"/>
        <w:shd w:val="clear" w:color="auto" w:fill="auto"/>
      </w:pPr>
      <w:r>
        <w:t xml:space="preserve"> </w:t>
      </w:r>
    </w:p>
    <w:p w:rsidR="00F51640" w:rsidRDefault="002649E9" w:rsidP="002649E9">
      <w:pPr>
        <w:pStyle w:val="Bodytext20"/>
        <w:framePr w:wrap="none" w:vAnchor="page" w:hAnchor="page" w:x="1876" w:y="14916"/>
        <w:shd w:val="clear" w:color="auto" w:fill="auto"/>
        <w:spacing w:before="0" w:line="190" w:lineRule="exact"/>
        <w:ind w:firstLine="0"/>
        <w:jc w:val="left"/>
        <w:rPr>
          <w:sz w:val="2"/>
          <w:szCs w:val="2"/>
        </w:rPr>
        <w:sectPr w:rsidR="00F51640">
          <w:pgSz w:w="12047" w:h="17507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F51640" w:rsidRDefault="002649E9">
      <w:pPr>
        <w:pStyle w:val="Bodytext40"/>
        <w:framePr w:wrap="none" w:vAnchor="page" w:hAnchor="page" w:x="144" w:y="1314"/>
        <w:shd w:val="clear" w:color="auto" w:fill="auto"/>
        <w:spacing w:before="0" w:after="0" w:line="212" w:lineRule="exact"/>
        <w:ind w:left="4819"/>
      </w:pPr>
      <w:r>
        <w:t>P</w:t>
      </w:r>
      <w:r>
        <w:t xml:space="preserve">říloha </w:t>
      </w:r>
      <w:r>
        <w:rPr>
          <w:rStyle w:val="Bodytext4Arial95ptNotBold"/>
        </w:rPr>
        <w:t xml:space="preserve">č. </w:t>
      </w:r>
      <w:r>
        <w:t>1</w:t>
      </w:r>
    </w:p>
    <w:p w:rsidR="00F51640" w:rsidRDefault="00F51640">
      <w:pPr>
        <w:framePr w:wrap="none" w:vAnchor="page" w:hAnchor="page" w:x="187" w:y="860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448"/>
        <w:gridCol w:w="1421"/>
        <w:gridCol w:w="1939"/>
      </w:tblGrid>
      <w:tr w:rsidR="00F5164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"/>
              </w:rPr>
              <w:t>[Kotelna: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"/>
              </w:rPr>
              <w:t>| Odběrné místo : |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center"/>
            </w:pPr>
            <w:r>
              <w:rPr>
                <w:rStyle w:val="Bodytext2Arial"/>
              </w:rPr>
              <w:t>průtok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left="240" w:firstLine="0"/>
              <w:jc w:val="left"/>
            </w:pPr>
            <w:r>
              <w:rPr>
                <w:rStyle w:val="Bodytext2Arial"/>
              </w:rPr>
              <w:t xml:space="preserve">dif </w:t>
            </w:r>
            <w:r>
              <w:rPr>
                <w:rStyle w:val="Bodytext2Arial"/>
              </w:rPr>
              <w:t>tlak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"/>
              </w:rPr>
              <w:t>Frýdecká :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left="900" w:firstLine="0"/>
              <w:jc w:val="left"/>
            </w:pPr>
            <w:r>
              <w:rPr>
                <w:rStyle w:val="Bodytext2Arial"/>
              </w:rPr>
              <w:t>Frýdecká 48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"/>
              </w:rPr>
              <w:t>11,8 m</w:t>
            </w:r>
            <w:r>
              <w:rPr>
                <w:rStyle w:val="Bodytext2Arial"/>
                <w:vertAlign w:val="superscript"/>
              </w:rPr>
              <w:t>3/</w:t>
            </w:r>
            <w:r>
              <w:rPr>
                <w:rStyle w:val="Bodytext2Arial"/>
              </w:rPr>
              <w:t>hod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left="240" w:firstLine="0"/>
              <w:jc w:val="left"/>
            </w:pPr>
            <w:r>
              <w:rPr>
                <w:rStyle w:val="Bodytext2Arial"/>
              </w:rPr>
              <w:t>25 kPa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208" w:type="dxa"/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"/>
              </w:rPr>
              <w:t>Ostravská 4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left="900" w:firstLine="0"/>
              <w:jc w:val="left"/>
            </w:pPr>
            <w:r>
              <w:rPr>
                <w:rStyle w:val="Bodytext2Arial"/>
              </w:rPr>
              <w:t>Hrabinská 25c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"/>
              </w:rPr>
              <w:t>7,500 m</w:t>
            </w:r>
            <w:r>
              <w:rPr>
                <w:rStyle w:val="Bodytext2Arial"/>
                <w:vertAlign w:val="superscript"/>
              </w:rPr>
              <w:t>3</w:t>
            </w:r>
            <w:r>
              <w:rPr>
                <w:rStyle w:val="Bodytext2Arial"/>
              </w:rPr>
              <w:t>/hod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left="240" w:firstLine="0"/>
              <w:jc w:val="left"/>
            </w:pPr>
            <w:r>
              <w:rPr>
                <w:rStyle w:val="Bodytext2Arial"/>
              </w:rPr>
              <w:t>25,5 kPa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208" w:type="dxa"/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"/>
              </w:rPr>
              <w:t>Jablunkovská 8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right="220" w:firstLine="0"/>
              <w:jc w:val="right"/>
            </w:pPr>
            <w:r>
              <w:rPr>
                <w:rStyle w:val="Bodytext2Arial"/>
              </w:rPr>
              <w:t>Jablunkovská 8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"/>
              </w:rPr>
              <w:t>5 m</w:t>
            </w:r>
            <w:r>
              <w:rPr>
                <w:rStyle w:val="Bodytext2Arial"/>
                <w:vertAlign w:val="superscript"/>
              </w:rPr>
              <w:t>3</w:t>
            </w:r>
            <w:r>
              <w:rPr>
                <w:rStyle w:val="Bodytext2Arial"/>
              </w:rPr>
              <w:t>/hod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left="240" w:firstLine="0"/>
              <w:jc w:val="left"/>
            </w:pPr>
            <w:r>
              <w:rPr>
                <w:rStyle w:val="Bodytext2Arial"/>
              </w:rPr>
              <w:t>25 kPa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208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"/>
              </w:rPr>
              <w:t>Svibice 7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right="220" w:firstLine="0"/>
              <w:jc w:val="right"/>
            </w:pPr>
            <w:r>
              <w:rPr>
                <w:rStyle w:val="Bodytext2Arial"/>
              </w:rPr>
              <w:t>Kysucká 8 + 10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"/>
              </w:rPr>
              <w:t>13,6 m</w:t>
            </w:r>
            <w:r>
              <w:rPr>
                <w:rStyle w:val="Bodytext2Arial"/>
                <w:vertAlign w:val="superscript"/>
              </w:rPr>
              <w:t>3</w:t>
            </w:r>
            <w:r>
              <w:rPr>
                <w:rStyle w:val="Bodytext2Arial"/>
              </w:rPr>
              <w:t>/hod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8016" w:h="2890" w:wrap="none" w:vAnchor="page" w:hAnchor="page" w:x="1636" w:y="2650"/>
              <w:shd w:val="clear" w:color="auto" w:fill="auto"/>
              <w:spacing w:before="0" w:line="212" w:lineRule="exact"/>
              <w:ind w:left="240" w:firstLine="0"/>
              <w:jc w:val="left"/>
            </w:pPr>
            <w:r>
              <w:rPr>
                <w:rStyle w:val="Bodytext2Arial"/>
              </w:rPr>
              <w:t>24 kPa</w:t>
            </w:r>
          </w:p>
        </w:tc>
      </w:tr>
    </w:tbl>
    <w:p w:rsidR="00F51640" w:rsidRDefault="00F51640">
      <w:pPr>
        <w:rPr>
          <w:sz w:val="2"/>
          <w:szCs w:val="2"/>
        </w:rPr>
        <w:sectPr w:rsidR="00F51640">
          <w:pgSz w:w="12047" w:h="1750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640" w:rsidRDefault="002649E9">
      <w:pPr>
        <w:pStyle w:val="Bodytext110"/>
        <w:framePr w:wrap="none" w:vAnchor="page" w:hAnchor="page" w:x="125" w:y="1848"/>
        <w:shd w:val="clear" w:color="auto" w:fill="auto"/>
        <w:spacing w:after="0"/>
        <w:ind w:left="5100"/>
      </w:pPr>
      <w:r>
        <w:t>Příloha č. 2</w:t>
      </w:r>
    </w:p>
    <w:p w:rsidR="00F51640" w:rsidRDefault="002649E9">
      <w:pPr>
        <w:pStyle w:val="Heading10"/>
        <w:framePr w:wrap="none" w:vAnchor="page" w:hAnchor="page" w:x="125" w:y="2307"/>
        <w:shd w:val="clear" w:color="auto" w:fill="auto"/>
        <w:spacing w:before="0" w:after="0"/>
        <w:ind w:left="4680"/>
      </w:pPr>
      <w:bookmarkStart w:id="20" w:name="bookmark22"/>
      <w:r>
        <w:t>Cenové ujednání</w:t>
      </w:r>
      <w:bookmarkEnd w:id="20"/>
    </w:p>
    <w:p w:rsidR="00F51640" w:rsidRDefault="002649E9">
      <w:pPr>
        <w:pStyle w:val="Bodytext110"/>
        <w:framePr w:w="10594" w:h="499" w:hRule="exact" w:wrap="none" w:vAnchor="page" w:hAnchor="page" w:x="125" w:y="3197"/>
        <w:shd w:val="clear" w:color="auto" w:fill="auto"/>
        <w:spacing w:after="0"/>
        <w:ind w:left="2080"/>
      </w:pPr>
      <w:r>
        <w:t xml:space="preserve">Finanční </w:t>
      </w:r>
      <w:r>
        <w:t>zálohy celkem za všechna odběrná místa dle jednotlivých měsíců</w:t>
      </w:r>
    </w:p>
    <w:p w:rsidR="00F51640" w:rsidRDefault="002649E9">
      <w:pPr>
        <w:pStyle w:val="Bodytext110"/>
        <w:framePr w:w="10594" w:h="499" w:hRule="exact" w:wrap="none" w:vAnchor="page" w:hAnchor="page" w:x="125" w:y="3197"/>
        <w:shd w:val="clear" w:color="auto" w:fill="auto"/>
        <w:spacing w:after="0"/>
        <w:ind w:left="4280"/>
      </w:pPr>
      <w:r>
        <w:t>na období 07/2006 - 02/2007:</w:t>
      </w:r>
    </w:p>
    <w:p w:rsidR="00F51640" w:rsidRDefault="002649E9">
      <w:pPr>
        <w:pStyle w:val="Bodytext80"/>
        <w:framePr w:w="10594" w:h="2121" w:hRule="exact" w:wrap="none" w:vAnchor="page" w:hAnchor="page" w:x="125" w:y="3854"/>
        <w:shd w:val="clear" w:color="auto" w:fill="auto"/>
        <w:tabs>
          <w:tab w:val="right" w:pos="6290"/>
        </w:tabs>
        <w:spacing w:before="0" w:after="0" w:line="226" w:lineRule="exact"/>
        <w:ind w:left="3120"/>
      </w:pPr>
      <w:r>
        <w:t>ÚT</w:t>
      </w:r>
      <w:r>
        <w:tab/>
        <w:t>kalkulovaná cena 422,13 Kč/GJ</w:t>
      </w:r>
    </w:p>
    <w:p w:rsidR="00F51640" w:rsidRDefault="002649E9" w:rsidP="002649E9">
      <w:pPr>
        <w:pStyle w:val="Bodytext120"/>
        <w:framePr w:w="10594" w:h="2121" w:hRule="exact" w:wrap="none" w:vAnchor="page" w:hAnchor="page" w:x="125" w:y="3854"/>
        <w:shd w:val="clear" w:color="auto" w:fill="auto"/>
        <w:ind w:left="2600"/>
        <w:jc w:val="left"/>
      </w:pPr>
      <w:r>
        <w:t>Roční předp.Kč/</w:t>
      </w:r>
      <w:r>
        <w:t>GJ</w:t>
      </w:r>
      <w:r>
        <w:br/>
      </w:r>
      <w:r>
        <w:rPr>
          <w:rStyle w:val="Bodytext1295pt"/>
        </w:rPr>
        <w:t>4 200</w:t>
      </w:r>
    </w:p>
    <w:p w:rsidR="00F51640" w:rsidRDefault="002649E9">
      <w:pPr>
        <w:pStyle w:val="Bodytext80"/>
        <w:framePr w:w="10594" w:h="2121" w:hRule="exact" w:wrap="none" w:vAnchor="page" w:hAnchor="page" w:x="125" w:y="3854"/>
        <w:shd w:val="clear" w:color="auto" w:fill="auto"/>
        <w:tabs>
          <w:tab w:val="right" w:pos="6290"/>
        </w:tabs>
        <w:spacing w:before="0" w:after="0" w:line="226" w:lineRule="exact"/>
        <w:ind w:left="3120"/>
      </w:pPr>
      <w:r>
        <w:t>TUV</w:t>
      </w:r>
      <w:r>
        <w:tab/>
        <w:t>kalkulovaná cena 415,13 Kč/GJ</w:t>
      </w:r>
    </w:p>
    <w:p w:rsidR="00F51640" w:rsidRDefault="002649E9" w:rsidP="002649E9">
      <w:pPr>
        <w:pStyle w:val="Bodytext130"/>
        <w:framePr w:w="10594" w:h="2121" w:hRule="exact" w:wrap="none" w:vAnchor="page" w:hAnchor="page" w:x="125" w:y="3854"/>
        <w:shd w:val="clear" w:color="auto" w:fill="auto"/>
        <w:ind w:left="2600"/>
        <w:jc w:val="left"/>
      </w:pPr>
      <w:r>
        <w:t>Roční předp.Kč/</w:t>
      </w:r>
      <w:r>
        <w:t>GJ</w:t>
      </w:r>
      <w:r>
        <w:br/>
        <w:t>2 150</w:t>
      </w:r>
    </w:p>
    <w:p w:rsidR="00F51640" w:rsidRDefault="002649E9">
      <w:pPr>
        <w:pStyle w:val="Bodytext80"/>
        <w:framePr w:w="10594" w:h="2121" w:hRule="exact" w:wrap="none" w:vAnchor="page" w:hAnchor="page" w:x="125" w:y="3854"/>
        <w:shd w:val="clear" w:color="auto" w:fill="auto"/>
        <w:tabs>
          <w:tab w:val="right" w:pos="6290"/>
        </w:tabs>
        <w:spacing w:before="0" w:after="0" w:line="226" w:lineRule="exact"/>
        <w:ind w:left="3000"/>
      </w:pPr>
      <w:r>
        <w:t>voda</w:t>
      </w:r>
      <w:r>
        <w:tab/>
        <w:t>kalkulovaná cena 41,00 Kč/m</w:t>
      </w:r>
      <w:r>
        <w:rPr>
          <w:vertAlign w:val="superscript"/>
        </w:rPr>
        <w:t>3</w:t>
      </w:r>
    </w:p>
    <w:p w:rsidR="00F51640" w:rsidRDefault="002649E9" w:rsidP="002649E9">
      <w:pPr>
        <w:pStyle w:val="Bodytext120"/>
        <w:framePr w:w="10594" w:h="2121" w:hRule="exact" w:wrap="none" w:vAnchor="page" w:hAnchor="page" w:x="125" w:y="3854"/>
        <w:shd w:val="clear" w:color="auto" w:fill="auto"/>
        <w:ind w:left="2600"/>
        <w:jc w:val="left"/>
      </w:pPr>
      <w:r>
        <w:t>Roční předp.Kč/</w:t>
      </w:r>
      <w:r>
        <w:t>m</w:t>
      </w:r>
      <w:r>
        <w:rPr>
          <w:rStyle w:val="Bodytext126pt"/>
          <w:vertAlign w:val="superscript"/>
        </w:rPr>
        <w:t>3</w:t>
      </w:r>
      <w:r>
        <w:rPr>
          <w:rStyle w:val="Bodytext126pt"/>
          <w:vertAlign w:val="superscript"/>
        </w:rPr>
        <w:br/>
      </w:r>
      <w:r>
        <w:rPr>
          <w:rStyle w:val="Bodytext1295pt"/>
        </w:rPr>
        <w:t>2 920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2074"/>
        <w:gridCol w:w="1382"/>
        <w:gridCol w:w="1618"/>
      </w:tblGrid>
      <w:tr w:rsidR="00F5164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44" w:type="dxa"/>
            <w:shd w:val="clear" w:color="auto" w:fill="FFFFFF"/>
          </w:tcPr>
          <w:p w:rsidR="00F51640" w:rsidRDefault="00F51640">
            <w:pPr>
              <w:framePr w:w="6418" w:h="2606" w:wrap="none" w:vAnchor="page" w:hAnchor="page" w:x="980" w:y="6011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178" w:lineRule="exact"/>
              <w:ind w:right="300" w:firstLine="0"/>
              <w:jc w:val="right"/>
            </w:pPr>
            <w:r>
              <w:rPr>
                <w:rStyle w:val="Bodytext2Arial8pt"/>
              </w:rPr>
              <w:t>teplo,TUV</w:t>
            </w:r>
          </w:p>
        </w:tc>
        <w:tc>
          <w:tcPr>
            <w:tcW w:w="1382" w:type="dxa"/>
            <w:shd w:val="clear" w:color="auto" w:fill="FFFFFF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Arial8pt"/>
              </w:rPr>
              <w:t>voda</w:t>
            </w:r>
          </w:p>
        </w:tc>
        <w:tc>
          <w:tcPr>
            <w:tcW w:w="1618" w:type="dxa"/>
            <w:shd w:val="clear" w:color="auto" w:fill="FFFFFF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178" w:lineRule="exact"/>
              <w:ind w:firstLine="0"/>
              <w:jc w:val="right"/>
            </w:pPr>
            <w:r>
              <w:rPr>
                <w:rStyle w:val="Bodytext2Arial8pt"/>
              </w:rPr>
              <w:t>celkem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34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Bold"/>
              </w:rPr>
              <w:t>červenec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right="300" w:firstLine="0"/>
              <w:jc w:val="right"/>
            </w:pPr>
            <w:r>
              <w:rPr>
                <w:rStyle w:val="Bodytext211pt"/>
              </w:rPr>
              <w:t>109 300,00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firstLine="0"/>
              <w:jc w:val="right"/>
            </w:pPr>
            <w:r>
              <w:rPr>
                <w:rStyle w:val="Bodytext211pt"/>
              </w:rPr>
              <w:t>10 000,00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Bold"/>
              </w:rPr>
              <w:t>119 300,00 Kč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4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Bold"/>
              </w:rPr>
              <w:t>srpen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right="300" w:firstLine="0"/>
              <w:jc w:val="right"/>
            </w:pPr>
            <w:r>
              <w:rPr>
                <w:rStyle w:val="Bodytext211pt"/>
              </w:rPr>
              <w:t>109 300,00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firstLine="0"/>
              <w:jc w:val="right"/>
            </w:pPr>
            <w:r>
              <w:rPr>
                <w:rStyle w:val="Bodytext211pt"/>
              </w:rPr>
              <w:t>10 000,00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Bold"/>
              </w:rPr>
              <w:t>119 300,00 Kč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4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Bold"/>
              </w:rPr>
              <w:t>září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right="300" w:firstLine="0"/>
              <w:jc w:val="right"/>
            </w:pPr>
            <w:r>
              <w:rPr>
                <w:rStyle w:val="Bodytext211pt"/>
              </w:rPr>
              <w:t>109 300,00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firstLine="0"/>
              <w:jc w:val="right"/>
            </w:pPr>
            <w:r>
              <w:rPr>
                <w:rStyle w:val="Bodytext211pt"/>
              </w:rPr>
              <w:t>10 000,00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Bold"/>
              </w:rPr>
              <w:t>119 300,00 Kč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4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Bold"/>
              </w:rPr>
              <w:t>říjen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right="300" w:firstLine="0"/>
              <w:jc w:val="right"/>
            </w:pPr>
            <w:r>
              <w:rPr>
                <w:rStyle w:val="Bodytext211pt"/>
              </w:rPr>
              <w:t>337 400,00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firstLine="0"/>
              <w:jc w:val="right"/>
            </w:pPr>
            <w:r>
              <w:rPr>
                <w:rStyle w:val="Bodytext211pt"/>
              </w:rPr>
              <w:t>10 000,00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Bold"/>
              </w:rPr>
              <w:t>347 400,00 Kč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4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Bold"/>
              </w:rPr>
              <w:t>listopad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right="300" w:firstLine="0"/>
              <w:jc w:val="right"/>
            </w:pPr>
            <w:r>
              <w:rPr>
                <w:rStyle w:val="Bodytext211pt"/>
              </w:rPr>
              <w:t>337 400,00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firstLine="0"/>
              <w:jc w:val="right"/>
            </w:pPr>
            <w:r>
              <w:rPr>
                <w:rStyle w:val="Bodytext211pt"/>
              </w:rPr>
              <w:t>10 000,00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Bold"/>
              </w:rPr>
              <w:t>347 400,00 Kč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4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Bold"/>
              </w:rPr>
              <w:t>prosinec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right="300" w:firstLine="0"/>
              <w:jc w:val="right"/>
            </w:pPr>
            <w:r>
              <w:rPr>
                <w:rStyle w:val="Bodytext211pt"/>
              </w:rPr>
              <w:t xml:space="preserve">337 </w:t>
            </w:r>
            <w:r>
              <w:rPr>
                <w:rStyle w:val="Bodytext211pt"/>
              </w:rPr>
              <w:t>400,00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firstLine="0"/>
              <w:jc w:val="right"/>
            </w:pPr>
            <w:r>
              <w:rPr>
                <w:rStyle w:val="Bodytext211pt"/>
              </w:rPr>
              <w:t>10 000,00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Bold"/>
              </w:rPr>
              <w:t>347 400,00 Kč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4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Bold"/>
              </w:rPr>
              <w:t>leden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right="300" w:firstLine="0"/>
              <w:jc w:val="right"/>
            </w:pPr>
            <w:r>
              <w:rPr>
                <w:rStyle w:val="Bodytext211pt"/>
              </w:rPr>
              <w:t>396 800,00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firstLine="0"/>
              <w:jc w:val="right"/>
            </w:pPr>
            <w:r>
              <w:rPr>
                <w:rStyle w:val="Bodytext211pt"/>
              </w:rPr>
              <w:t>10 000,00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Bold"/>
              </w:rPr>
              <w:t>406 800,00 Kč</w:t>
            </w:r>
          </w:p>
        </w:tc>
      </w:tr>
      <w:tr w:rsidR="00F5164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44" w:type="dxa"/>
            <w:shd w:val="clear" w:color="auto" w:fill="FFFFFF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ArialBold"/>
              </w:rPr>
              <w:t>únor</w:t>
            </w:r>
          </w:p>
        </w:tc>
        <w:tc>
          <w:tcPr>
            <w:tcW w:w="2074" w:type="dxa"/>
            <w:shd w:val="clear" w:color="auto" w:fill="FFFFFF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right="300" w:firstLine="0"/>
              <w:jc w:val="right"/>
            </w:pPr>
            <w:r>
              <w:rPr>
                <w:rStyle w:val="Bodytext211pt"/>
              </w:rPr>
              <w:t>396 800,00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34" w:lineRule="exact"/>
              <w:ind w:firstLine="0"/>
              <w:jc w:val="right"/>
            </w:pPr>
            <w:r>
              <w:rPr>
                <w:rStyle w:val="Bodytext211pt"/>
              </w:rPr>
              <w:t>10 000,00</w:t>
            </w:r>
          </w:p>
        </w:tc>
        <w:tc>
          <w:tcPr>
            <w:tcW w:w="1618" w:type="dxa"/>
            <w:shd w:val="clear" w:color="auto" w:fill="FFFFFF"/>
          </w:tcPr>
          <w:p w:rsidR="00F51640" w:rsidRDefault="002649E9">
            <w:pPr>
              <w:pStyle w:val="Bodytext20"/>
              <w:framePr w:w="6418" w:h="2606" w:wrap="none" w:vAnchor="page" w:hAnchor="page" w:x="980" w:y="6011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Bold"/>
              </w:rPr>
              <w:t>406 800,00 Kč</w:t>
            </w:r>
          </w:p>
        </w:tc>
      </w:tr>
    </w:tbl>
    <w:p w:rsidR="00F51640" w:rsidRDefault="002649E9">
      <w:pPr>
        <w:pStyle w:val="Bodytext130"/>
        <w:framePr w:w="10594" w:h="514" w:hRule="exact" w:wrap="none" w:vAnchor="page" w:hAnchor="page" w:x="125" w:y="9680"/>
        <w:shd w:val="clear" w:color="auto" w:fill="auto"/>
        <w:ind w:left="860" w:right="2180"/>
        <w:jc w:val="left"/>
      </w:pPr>
      <w:r>
        <w:t>Poznámka: V případě poruchy na odběrném tepelném zařízení v objektech odběratele volejte dispečink Bytového podniku, tel. č. 558 737 253.</w:t>
      </w:r>
    </w:p>
    <w:p w:rsidR="00F51640" w:rsidRDefault="00F51640">
      <w:pPr>
        <w:rPr>
          <w:sz w:val="2"/>
          <w:szCs w:val="2"/>
        </w:rPr>
      </w:pPr>
      <w:bookmarkStart w:id="21" w:name="_GoBack"/>
      <w:bookmarkEnd w:id="21"/>
    </w:p>
    <w:sectPr w:rsidR="00F51640">
      <w:pgSz w:w="12047" w:h="1750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49E9">
      <w:r>
        <w:separator/>
      </w:r>
    </w:p>
  </w:endnote>
  <w:endnote w:type="continuationSeparator" w:id="0">
    <w:p w:rsidR="00000000" w:rsidRDefault="0026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Che">
    <w:altName w:val="MV Boli"/>
    <w:panose1 w:val="02030609000101010101"/>
    <w:charset w:val="00"/>
    <w:family w:val="roman"/>
    <w:notTrueType/>
    <w:pitch w:val="default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40" w:rsidRDefault="002649E9">
      <w:r>
        <w:separator/>
      </w:r>
    </w:p>
  </w:footnote>
  <w:footnote w:type="continuationSeparator" w:id="0">
    <w:p w:rsidR="00F51640" w:rsidRDefault="0026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AC7"/>
    <w:multiLevelType w:val="multilevel"/>
    <w:tmpl w:val="F1E6B9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22A60"/>
    <w:multiLevelType w:val="multilevel"/>
    <w:tmpl w:val="BFE40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E36D6"/>
    <w:multiLevelType w:val="multilevel"/>
    <w:tmpl w:val="EECCB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36C21"/>
    <w:multiLevelType w:val="multilevel"/>
    <w:tmpl w:val="FE4C5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64160"/>
    <w:multiLevelType w:val="multilevel"/>
    <w:tmpl w:val="86388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96588F"/>
    <w:multiLevelType w:val="multilevel"/>
    <w:tmpl w:val="75163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1616F5"/>
    <w:multiLevelType w:val="multilevel"/>
    <w:tmpl w:val="D5DAA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F52FAD"/>
    <w:multiLevelType w:val="multilevel"/>
    <w:tmpl w:val="7D687F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179B3"/>
    <w:multiLevelType w:val="multilevel"/>
    <w:tmpl w:val="519A1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C116D1"/>
    <w:multiLevelType w:val="multilevel"/>
    <w:tmpl w:val="F1EC8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5A0F7F"/>
    <w:multiLevelType w:val="multilevel"/>
    <w:tmpl w:val="7CF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EC20A4"/>
    <w:multiLevelType w:val="multilevel"/>
    <w:tmpl w:val="C9FC5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0A7FC3"/>
    <w:multiLevelType w:val="multilevel"/>
    <w:tmpl w:val="4A5E9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1640"/>
    <w:rsid w:val="002649E9"/>
    <w:rsid w:val="00F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49205C6-9FA5-489D-B2A5-AC53AD36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Cambria Math" w:eastAsia="Cambria Math" w:hAnsi="Cambria Math" w:cs="Cambria Math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2">
    <w:name w:val="Heading #4 (2)_"/>
    <w:basedOn w:val="Standardnpsmoodstavce"/>
    <w:link w:val="Heading42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3">
    <w:name w:val="Heading #4 (3)_"/>
    <w:basedOn w:val="Standardnpsmoodstavce"/>
    <w:link w:val="Heading4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Standardnpsmoodstavce"/>
    <w:link w:val="Footnote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BatangChe" w:eastAsia="BatangChe" w:hAnsi="BatangChe" w:cs="BatangChe"/>
      <w:b w:val="0"/>
      <w:bCs w:val="0"/>
      <w:i/>
      <w:iCs/>
      <w:smallCaps w:val="0"/>
      <w:strike w:val="0"/>
      <w:sz w:val="174"/>
      <w:szCs w:val="174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b w:val="0"/>
      <w:bCs w:val="0"/>
      <w:i w:val="0"/>
      <w:iCs w:val="0"/>
      <w:smallCaps w:val="0"/>
      <w:strike w:val="0"/>
      <w:sz w:val="200"/>
      <w:szCs w:val="200"/>
      <w:u w:val="none"/>
    </w:rPr>
  </w:style>
  <w:style w:type="character" w:customStyle="1" w:styleId="Bodytext2LucidaConsole14ptItalic">
    <w:name w:val="Body text (2) + Lucida Console;14 pt;Italic"/>
    <w:basedOn w:val="Bodytext2"/>
    <w:rPr>
      <w:rFonts w:ascii="Lucida Console" w:eastAsia="Lucida Console" w:hAnsi="Lucida Console" w:cs="Lucida Console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95ptItalic">
    <w:name w:val="Other + 9.5 pt;Italic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Wingdings 2" w:eastAsia="Wingdings 2" w:hAnsi="Wingdings 2" w:cs="Wingdings 2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BatangChe" w:eastAsia="BatangChe" w:hAnsi="BatangChe" w:cs="BatangChe"/>
      <w:b w:val="0"/>
      <w:bCs w:val="0"/>
      <w:i w:val="0"/>
      <w:iCs w:val="0"/>
      <w:smallCaps w:val="0"/>
      <w:strike w:val="0"/>
      <w:w w:val="50"/>
      <w:sz w:val="15"/>
      <w:szCs w:val="15"/>
      <w:u w:val="none"/>
    </w:rPr>
  </w:style>
  <w:style w:type="character" w:customStyle="1" w:styleId="Bodytext4Arial95ptNotBold">
    <w:name w:val="Body text (4) + Arial;9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95pt">
    <w:name w:val="Body text (12) + 9.5 pt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6pt">
    <w:name w:val="Body text (12) + 6 pt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Arial8pt">
    <w:name w:val="Body text (2) + Arial;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Bold">
    <w:name w:val="Body text (2) + Arial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80" w:line="268" w:lineRule="exact"/>
      <w:outlineLvl w:val="1"/>
    </w:pPr>
    <w:rPr>
      <w:rFonts w:ascii="Cambria Math" w:eastAsia="Cambria Math" w:hAnsi="Cambria Math" w:cs="Cambria Math"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80" w:after="480" w:line="234" w:lineRule="exact"/>
      <w:jc w:val="center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80" w:after="480" w:line="230" w:lineRule="exact"/>
    </w:pPr>
    <w:rPr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80" w:line="226" w:lineRule="exact"/>
      <w:ind w:hanging="1100"/>
      <w:jc w:val="both"/>
    </w:pPr>
    <w:rPr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line="190" w:lineRule="exact"/>
      <w:jc w:val="center"/>
      <w:outlineLvl w:val="2"/>
    </w:pPr>
    <w:rPr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240" w:line="190" w:lineRule="exact"/>
      <w:jc w:val="center"/>
      <w:outlineLvl w:val="3"/>
    </w:pPr>
    <w:rPr>
      <w:b/>
      <w:bCs/>
      <w:sz w:val="20"/>
      <w:szCs w:val="20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240" w:line="190" w:lineRule="exact"/>
      <w:jc w:val="center"/>
      <w:outlineLvl w:val="3"/>
    </w:pPr>
    <w:rPr>
      <w:rFonts w:ascii="BatangChe" w:eastAsia="BatangChe" w:hAnsi="BatangChe" w:cs="BatangChe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190" w:lineRule="exact"/>
      <w:jc w:val="center"/>
    </w:pPr>
    <w:rPr>
      <w:rFonts w:ascii="Cambria Math" w:eastAsia="Cambria Math" w:hAnsi="Cambria Math" w:cs="Cambria Math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  <w:jc w:val="center"/>
    </w:pPr>
    <w:rPr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40" w:line="222" w:lineRule="exact"/>
      <w:jc w:val="center"/>
    </w:pPr>
    <w:rPr>
      <w:sz w:val="20"/>
      <w:szCs w:val="20"/>
    </w:rPr>
  </w:style>
  <w:style w:type="paragraph" w:customStyle="1" w:styleId="Heading430">
    <w:name w:val="Heading #4 (3)"/>
    <w:basedOn w:val="Normln"/>
    <w:link w:val="Heading43"/>
    <w:pPr>
      <w:shd w:val="clear" w:color="auto" w:fill="FFFFFF"/>
      <w:spacing w:before="240" w:line="200" w:lineRule="exact"/>
      <w:jc w:val="center"/>
      <w:outlineLvl w:val="3"/>
    </w:pPr>
    <w:rPr>
      <w:sz w:val="19"/>
      <w:szCs w:val="19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26" w:lineRule="exact"/>
      <w:ind w:hanging="420"/>
      <w:jc w:val="both"/>
    </w:pPr>
    <w:rPr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sz w:val="19"/>
      <w:szCs w:val="19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944" w:lineRule="exact"/>
    </w:pPr>
    <w:rPr>
      <w:rFonts w:ascii="BatangChe" w:eastAsia="BatangChe" w:hAnsi="BatangChe" w:cs="BatangChe"/>
      <w:i/>
      <w:iCs/>
      <w:sz w:val="174"/>
      <w:szCs w:val="174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944" w:lineRule="exact"/>
    </w:pPr>
    <w:rPr>
      <w:sz w:val="200"/>
      <w:szCs w:val="20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20" w:after="96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960" w:line="268" w:lineRule="exact"/>
      <w:jc w:val="both"/>
    </w:pPr>
    <w:rPr>
      <w:rFonts w:ascii="Wingdings 2" w:eastAsia="Wingdings 2" w:hAnsi="Wingdings 2" w:cs="Wingdings 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0" w:lineRule="exact"/>
      <w:jc w:val="center"/>
    </w:pPr>
    <w:rPr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56" w:lineRule="exact"/>
    </w:pPr>
    <w:rPr>
      <w:rFonts w:ascii="BatangChe" w:eastAsia="BatangChe" w:hAnsi="BatangChe" w:cs="BatangChe"/>
      <w:w w:val="50"/>
      <w:sz w:val="15"/>
      <w:szCs w:val="15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26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after="58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2510</Words>
  <Characters>14812</Characters>
  <Application>Microsoft Office Word</Application>
  <DocSecurity>0</DocSecurity>
  <Lines>123</Lines>
  <Paragraphs>34</Paragraphs>
  <ScaleCrop>false</ScaleCrop>
  <Company/>
  <LinksUpToDate>false</LinksUpToDate>
  <CharactersWithSpaces>17288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2017-04-28T10:27:00Z</dcterms:created>
  <dcterms:modified xsi:type="dcterms:W3CDTF">2017-04-28T10:34:00Z</dcterms:modified>
</cp:coreProperties>
</file>