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D1" w:rsidRDefault="00440657">
      <w:pPr>
        <w:pStyle w:val="Headerorfooter0"/>
        <w:framePr w:wrap="none" w:vAnchor="page" w:hAnchor="page" w:x="1415" w:y="746"/>
        <w:shd w:val="clear" w:color="auto" w:fill="auto"/>
      </w:pPr>
      <w:r>
        <w:t>Dodatek č. 11 ke Smlouvě č. 7/2006 o dodávce tepla a teplé užitkové vody uzavřené dne 6. 9. 2006</w:t>
      </w:r>
    </w:p>
    <w:p w:rsidR="000B6BD1" w:rsidRDefault="00440657">
      <w:pPr>
        <w:pStyle w:val="Heading40"/>
        <w:framePr w:w="9413" w:h="2328" w:hRule="exact" w:wrap="none" w:vAnchor="page" w:hAnchor="page" w:x="1338" w:y="1216"/>
        <w:shd w:val="clear" w:color="auto" w:fill="auto"/>
        <w:ind w:right="80"/>
      </w:pPr>
      <w:bookmarkStart w:id="0" w:name="bookmark0"/>
      <w:r>
        <w:t>Příloha č. 1 k Dodatku č. 11</w:t>
      </w:r>
      <w:r>
        <w:br/>
      </w:r>
      <w:r>
        <w:rPr>
          <w:rStyle w:val="Heading41"/>
          <w:b/>
          <w:bCs/>
        </w:rPr>
        <w:t>ke Smlouvě č. 7/2006</w:t>
      </w:r>
      <w:bookmarkEnd w:id="0"/>
    </w:p>
    <w:p w:rsidR="000B6BD1" w:rsidRDefault="00440657">
      <w:pPr>
        <w:pStyle w:val="Bodytext30"/>
        <w:framePr w:w="9413" w:h="2328" w:hRule="exact" w:wrap="none" w:vAnchor="page" w:hAnchor="page" w:x="1338" w:y="1216"/>
        <w:shd w:val="clear" w:color="auto" w:fill="auto"/>
        <w:spacing w:after="239"/>
        <w:ind w:right="80" w:firstLine="0"/>
      </w:pPr>
      <w:r>
        <w:rPr>
          <w:rStyle w:val="Bodytext31"/>
        </w:rPr>
        <w:t>o dodávce tepla a teplé užitkové vody uzavíraná v souladu se zákony</w:t>
      </w:r>
      <w:r>
        <w:rPr>
          <w:rStyle w:val="Bodytext31"/>
        </w:rPr>
        <w:br/>
        <w:t xml:space="preserve">č. 458/2000 Sb. a č. 406/2000 Sb. a </w:t>
      </w:r>
      <w:r>
        <w:rPr>
          <w:rStyle w:val="Bodytext31"/>
        </w:rPr>
        <w:t>jejich prováděcími vyhláškami</w:t>
      </w:r>
    </w:p>
    <w:p w:rsidR="000B6BD1" w:rsidRDefault="00440657">
      <w:pPr>
        <w:pStyle w:val="Heading40"/>
        <w:framePr w:w="9413" w:h="2328" w:hRule="exact" w:wrap="none" w:vAnchor="page" w:hAnchor="page" w:x="1338" w:y="1216"/>
        <w:shd w:val="clear" w:color="auto" w:fill="auto"/>
        <w:spacing w:line="310" w:lineRule="exact"/>
        <w:ind w:left="2700"/>
        <w:jc w:val="left"/>
      </w:pPr>
      <w:bookmarkStart w:id="1" w:name="bookmark1"/>
      <w:r>
        <w:t>Technické parametry odběrných míst</w:t>
      </w:r>
      <w:bookmarkEnd w:id="1"/>
    </w:p>
    <w:p w:rsidR="000B6BD1" w:rsidRDefault="00440657">
      <w:pPr>
        <w:pStyle w:val="Heading50"/>
        <w:framePr w:w="9413" w:h="6276" w:hRule="exact" w:wrap="none" w:vAnchor="page" w:hAnchor="page" w:x="1338" w:y="3964"/>
        <w:numPr>
          <w:ilvl w:val="0"/>
          <w:numId w:val="1"/>
        </w:numPr>
        <w:shd w:val="clear" w:color="auto" w:fill="auto"/>
        <w:tabs>
          <w:tab w:val="left" w:pos="372"/>
        </w:tabs>
        <w:spacing w:before="0"/>
      </w:pPr>
      <w:bookmarkStart w:id="2" w:name="bookmark2"/>
      <w:r>
        <w:t>Teplo Těšín a.s.</w:t>
      </w:r>
      <w:bookmarkEnd w:id="2"/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 w:right="3460"/>
      </w:pPr>
      <w:r>
        <w:t>se sídlem: Hornická 2070/14, 737 01 Český Těšín zastoupená: Ing. Josefem Gabzdylem předsedou představenstva</w:t>
      </w:r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>registrována v obchodním rejstříku soudu v Ostravě, oddíl B, vložk</w:t>
      </w:r>
      <w:r>
        <w:t>a 1801, držitel licence k podnikání, ve smyslu zákona ě. 458/2000 Sb., energetický zákon, skupiny: 31, 32 1Č: 25391330 DIČ: CZ25391330</w:t>
      </w:r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>bankovní spojení: Komerční banka Karviná, expozitura Český Těšín</w:t>
      </w:r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>č. účtu: 19-5753310217/0100</w:t>
      </w:r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 xml:space="preserve">telefonní spojení: 558 761 </w:t>
      </w:r>
      <w:r>
        <w:t>448</w:t>
      </w:r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 xml:space="preserve">e-mail: </w:t>
      </w:r>
      <w:hyperlink r:id="rId7" w:history="1">
        <w:r w:rsidRPr="00440657">
          <w:rPr>
            <w:lang w:eastAsia="en-US" w:bidi="en-US"/>
          </w:rPr>
          <w:t>kovalic@teplotesin.cz</w:t>
        </w:r>
      </w:hyperlink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>zaměstnanci pověřeni činností:</w:t>
      </w:r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>ve věcech finančních: hlavní účetní</w:t>
      </w:r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>ve věcech technických: vedoucí tepelného hospodářství</w:t>
      </w:r>
    </w:p>
    <w:p w:rsidR="000B6BD1" w:rsidRDefault="00440657">
      <w:pPr>
        <w:pStyle w:val="Bodytext40"/>
        <w:framePr w:w="9413" w:h="6276" w:hRule="exact" w:wrap="none" w:vAnchor="page" w:hAnchor="page" w:x="1338" w:y="3964"/>
        <w:shd w:val="clear" w:color="auto" w:fill="auto"/>
        <w:ind w:left="460"/>
      </w:pPr>
      <w:r>
        <w:t>(dále jen ’’dodavatel”)</w:t>
      </w:r>
    </w:p>
    <w:p w:rsidR="000B6BD1" w:rsidRDefault="00440657">
      <w:pPr>
        <w:pStyle w:val="Heading50"/>
        <w:framePr w:w="9413" w:h="6276" w:hRule="exact" w:wrap="none" w:vAnchor="page" w:hAnchor="page" w:x="1338" w:y="3964"/>
        <w:numPr>
          <w:ilvl w:val="0"/>
          <w:numId w:val="1"/>
        </w:numPr>
        <w:shd w:val="clear" w:color="auto" w:fill="auto"/>
        <w:tabs>
          <w:tab w:val="left" w:pos="372"/>
        </w:tabs>
        <w:spacing w:before="0"/>
      </w:pPr>
      <w:bookmarkStart w:id="3" w:name="bookmark3"/>
      <w:r>
        <w:t>Město Český Těšín</w:t>
      </w:r>
      <w:bookmarkEnd w:id="3"/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>se sídlem: Náměs</w:t>
      </w:r>
      <w:r>
        <w:t>tí ČSA 1, Český Těšín zastoupená starostou města: Ing. Vítem Slováčkem odbor místního hospodářství: Ing. Benatzká Karina registrována v obchodním rejstříku soudu v Ostravě,</w:t>
      </w:r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>IČ: 00297437</w:t>
      </w:r>
    </w:p>
    <w:p w:rsidR="000B6BD1" w:rsidRDefault="00440657">
      <w:pPr>
        <w:pStyle w:val="Bodytext20"/>
        <w:framePr w:w="9413" w:h="6276" w:hRule="exact" w:wrap="none" w:vAnchor="page" w:hAnchor="page" w:x="1338" w:y="3964"/>
        <w:shd w:val="clear" w:color="auto" w:fill="auto"/>
        <w:ind w:left="460"/>
      </w:pPr>
      <w:r>
        <w:t>bankovní spojení: Komerční banka, a.s. č. účtu: 86-6000360257/0100 tel</w:t>
      </w:r>
      <w:r>
        <w:t xml:space="preserve">efonní spojení: 553 035 510 e-mail: </w:t>
      </w:r>
      <w:hyperlink r:id="rId8" w:history="1">
        <w:r w:rsidRPr="00440657">
          <w:rPr>
            <w:lang w:eastAsia="en-US" w:bidi="en-US"/>
          </w:rPr>
          <w:t>benatzka@tesin.cz</w:t>
        </w:r>
      </w:hyperlink>
    </w:p>
    <w:p w:rsidR="000B6BD1" w:rsidRDefault="00440657">
      <w:pPr>
        <w:pStyle w:val="Bodytext40"/>
        <w:framePr w:w="9413" w:h="6276" w:hRule="exact" w:wrap="none" w:vAnchor="page" w:hAnchor="page" w:x="1338" w:y="3964"/>
        <w:shd w:val="clear" w:color="auto" w:fill="auto"/>
        <w:tabs>
          <w:tab w:val="left" w:leader="underscore" w:pos="5961"/>
          <w:tab w:val="left" w:leader="underscore" w:pos="9441"/>
        </w:tabs>
        <w:spacing w:after="0"/>
        <w:ind w:left="460"/>
        <w:jc w:val="both"/>
      </w:pPr>
      <w:r>
        <w:t xml:space="preserve">(dále jen’’odběratel”) 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3461"/>
        <w:gridCol w:w="3494"/>
      </w:tblGrid>
      <w:tr w:rsidR="000B6BD1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530" w:type="dxa"/>
            <w:vMerge w:val="restart"/>
            <w:shd w:val="clear" w:color="auto" w:fill="FFFFFF"/>
          </w:tcPr>
          <w:p w:rsidR="000B6BD1" w:rsidRDefault="000B6BD1">
            <w:pPr>
              <w:framePr w:w="9485" w:h="5218" w:wrap="none" w:vAnchor="page" w:hAnchor="page" w:x="1266" w:y="1021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Kotelna Svibice 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Kotelna Svibice 7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530" w:type="dxa"/>
            <w:vMerge/>
            <w:shd w:val="clear" w:color="auto" w:fill="FFFFFF"/>
          </w:tcPr>
          <w:p w:rsidR="000B6BD1" w:rsidRDefault="000B6BD1">
            <w:pPr>
              <w:framePr w:w="9485" w:h="5218" w:wrap="none" w:vAnchor="page" w:hAnchor="page" w:x="1266" w:y="10211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Bold"/>
              </w:rPr>
              <w:t>Číslo odběrného místa: 1011806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Bold"/>
              </w:rPr>
              <w:t>Číslo odběrného místa:1011806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Místo předání ÚT i TV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jc w:val="both"/>
            </w:pPr>
            <w:r>
              <w:rPr>
                <w:rStyle w:val="Bodytext21"/>
              </w:rPr>
              <w:t xml:space="preserve">Kysucká 8, </w:t>
            </w:r>
            <w:r>
              <w:rPr>
                <w:rStyle w:val="Bodytext21"/>
              </w:rPr>
              <w:t>hranice odběratel /dodavatel jsou ventily na vstupním potrubí (u ÚT za měřičem tepla směrem k odběrateli)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</w:pPr>
            <w:r>
              <w:rPr>
                <w:rStyle w:val="Bodytext21"/>
              </w:rPr>
              <w:t>Kysucká 10, hranice odběratel /dodavatel jsou ventily na vstupním potrubí (u ÚT za měřičem tepla směrem k odběrateli)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Úroveň předání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 xml:space="preserve">Sekundární </w:t>
            </w:r>
            <w:r>
              <w:rPr>
                <w:rStyle w:val="Bodytext21"/>
              </w:rPr>
              <w:t>rozvod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Sekundární rozvod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Místo měření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ÚT i TV v kotelně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ÚT i TV v kotelně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Způsob měření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Ultrazvukové měřiče tepla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Ultrazvukové měřiče tepla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Teplonosná látka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Voda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Voda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Tlak: (MPa)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0,36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0,36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Tlaková diference: (kPa)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10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Výkon: (kW)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100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100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 xml:space="preserve">Odběr </w:t>
            </w:r>
            <w:r>
              <w:rPr>
                <w:rStyle w:val="Bodytext21"/>
              </w:rPr>
              <w:t>teplé vody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Ano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Ano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Dodávka TV (od - do)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24 hodin denně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24 hodin denně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Podlahová plocha v 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2.166,33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1.990,19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Teplota TV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Ve smyslu vyhlášky č. 194/2007 Sb.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Ve smyslu vyhlášky č. 194/2007 Sb.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Odběr teplonosné látky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ne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ne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</w:pPr>
            <w:r>
              <w:rPr>
                <w:rStyle w:val="Bodytext21"/>
              </w:rPr>
              <w:t>Otopné období: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 xml:space="preserve">od 1.9. do 31. </w:t>
            </w:r>
            <w:r>
              <w:rPr>
                <w:rStyle w:val="Bodytext21"/>
              </w:rPr>
              <w:t>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85" w:h="5218" w:wrap="none" w:vAnchor="page" w:hAnchor="page" w:x="1266" w:y="10211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od 1. 9. do 31. 5.</w:t>
            </w:r>
          </w:p>
        </w:tc>
      </w:tr>
    </w:tbl>
    <w:p w:rsidR="000B6BD1" w:rsidRDefault="00440657">
      <w:pPr>
        <w:pStyle w:val="Headerorfooter0"/>
        <w:framePr w:wrap="none" w:vAnchor="page" w:hAnchor="page" w:x="5874" w:y="15664"/>
        <w:shd w:val="clear" w:color="auto" w:fill="auto"/>
      </w:pPr>
      <w:r>
        <w:t>6</w:t>
      </w:r>
    </w:p>
    <w:p w:rsidR="000B6BD1" w:rsidRDefault="000B6BD1">
      <w:pPr>
        <w:rPr>
          <w:sz w:val="2"/>
          <w:szCs w:val="2"/>
        </w:rPr>
        <w:sectPr w:rsidR="000B6B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6BD1" w:rsidRDefault="00440657">
      <w:pPr>
        <w:pStyle w:val="Headerorfooter0"/>
        <w:framePr w:wrap="none" w:vAnchor="page" w:hAnchor="page" w:x="1374" w:y="770"/>
        <w:shd w:val="clear" w:color="auto" w:fill="auto"/>
      </w:pPr>
      <w:r>
        <w:lastRenderedPageBreak/>
        <w:t>Dodatek č. 11 ke Smlouvě č. 7/2006 o dodávce tepla a teplé užitkové vody uzavřené dne 6. 9. 2006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3456"/>
        <w:gridCol w:w="3485"/>
      </w:tblGrid>
      <w:tr w:rsidR="000B6BD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vMerge w:val="restart"/>
            <w:shd w:val="clear" w:color="auto" w:fill="FFFFFF"/>
          </w:tcPr>
          <w:p w:rsidR="000B6BD1" w:rsidRDefault="000B6BD1">
            <w:pPr>
              <w:framePr w:w="9461" w:h="5237" w:wrap="none" w:vAnchor="page" w:hAnchor="page" w:x="1336" w:y="1485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Kotelna Poliklinika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Kotelna Mojská 5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520" w:type="dxa"/>
            <w:vMerge/>
            <w:shd w:val="clear" w:color="auto" w:fill="FFFFFF"/>
          </w:tcPr>
          <w:p w:rsidR="000B6BD1" w:rsidRDefault="000B6BD1">
            <w:pPr>
              <w:framePr w:w="9461" w:h="5237" w:wrap="none" w:vAnchor="page" w:hAnchor="page" w:x="1336" w:y="1485"/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Bold"/>
              </w:rPr>
              <w:t>Číslo odběrného místa: 1033301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Bold"/>
              </w:rPr>
              <w:t>Číslo odběrného místa: 1011105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 xml:space="preserve">Místo </w:t>
            </w:r>
            <w:r>
              <w:rPr>
                <w:rStyle w:val="Bodytext21"/>
              </w:rPr>
              <w:t>předání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30" w:lineRule="exact"/>
              <w:jc w:val="center"/>
            </w:pPr>
            <w:r>
              <w:rPr>
                <w:rStyle w:val="Bodytext21"/>
              </w:rPr>
              <w:t>ÚT i TV v kotelně, hranice jsou dány prostorem kotelny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jc w:val="center"/>
            </w:pPr>
            <w:r>
              <w:rPr>
                <w:rStyle w:val="Bodytext21"/>
              </w:rPr>
              <w:t>Hranice mezi odběratelem a dodavatelem - společná zeď kotelny pronajatého prostoru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Úroveň předání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Sekundární rozvod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Sekundární rozvod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Místo měření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ÚT i TV v kotelně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V kotelně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Způsob měření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Ultrazvukové měřiče tepla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Ultrazvukové měřiče tepla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Teplonosná látka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Voda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Voda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Tlak: (MPa)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0,18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0,36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Tlaková diference: (kPa)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10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Výkon: (kW)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42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15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Odběr teplé vody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Ano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Ne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Dodávka TV (od - do)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24 hodin denně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Bez dodávky TV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Podlahová plocha v m</w:t>
            </w:r>
            <w:r>
              <w:rPr>
                <w:rStyle w:val="Bodytext21"/>
                <w:vertAlign w:val="superscript"/>
              </w:rPr>
              <w:t>2 3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132" w:lineRule="exact"/>
              <w:jc w:val="center"/>
            </w:pPr>
            <w:r>
              <w:rPr>
                <w:rStyle w:val="Bodytext26pt"/>
              </w:rPr>
              <w:t>X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132" w:lineRule="exact"/>
              <w:jc w:val="center"/>
            </w:pPr>
            <w:r>
              <w:rPr>
                <w:rStyle w:val="Bodytext26pt"/>
              </w:rPr>
              <w:t>X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Teplota TV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Ve smyslu vyhlášky č. 194/2007 Sb.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Bez dodávky TV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Odběr teplonosné látky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ne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ne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</w:pPr>
            <w:r>
              <w:rPr>
                <w:rStyle w:val="Bodytext21"/>
              </w:rPr>
              <w:t>Otopné období: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od 1. 9. do 31. 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461" w:h="5237" w:wrap="none" w:vAnchor="page" w:hAnchor="page" w:x="1336" w:y="1485"/>
              <w:shd w:val="clear" w:color="auto" w:fill="auto"/>
              <w:spacing w:line="210" w:lineRule="exact"/>
              <w:jc w:val="center"/>
            </w:pPr>
            <w:r>
              <w:rPr>
                <w:rStyle w:val="Bodytext21"/>
              </w:rPr>
              <w:t>od 1.9. do 31. 5.</w:t>
            </w:r>
          </w:p>
        </w:tc>
      </w:tr>
    </w:tbl>
    <w:p w:rsidR="000B6BD1" w:rsidRDefault="00440657">
      <w:pPr>
        <w:pStyle w:val="Tablecaption0"/>
        <w:framePr w:wrap="none" w:vAnchor="page" w:hAnchor="page" w:x="1331" w:y="7208"/>
        <w:shd w:val="clear" w:color="auto" w:fill="auto"/>
      </w:pPr>
      <w:r>
        <w:t>Návrh teplotního diagramu: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917"/>
        <w:gridCol w:w="922"/>
        <w:gridCol w:w="917"/>
        <w:gridCol w:w="926"/>
      </w:tblGrid>
      <w:tr w:rsidR="000B6BD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Venkovní teplota °C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  <w:jc w:val="center"/>
            </w:pPr>
            <w:r>
              <w:rPr>
                <w:rStyle w:val="Bodytext2105pt"/>
              </w:rPr>
              <w:t>-15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  <w:jc w:val="center"/>
            </w:pPr>
            <w:r>
              <w:rPr>
                <w:rStyle w:val="Bodytext2105pt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  <w:jc w:val="center"/>
            </w:pPr>
            <w:r>
              <w:rPr>
                <w:rStyle w:val="Bodytext2105pt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  <w:jc w:val="center"/>
            </w:pPr>
            <w:r>
              <w:rPr>
                <w:rStyle w:val="Bodytext2105pt"/>
              </w:rPr>
              <w:t>15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Teplota média</w:t>
            </w:r>
            <w:r>
              <w:rPr>
                <w:rStyle w:val="Bodytext2105pt"/>
                <w:vertAlign w:val="superscript"/>
              </w:rPr>
              <w:t>0</w:t>
            </w:r>
            <w:r>
              <w:rPr>
                <w:rStyle w:val="Bodytext2105pt"/>
              </w:rPr>
              <w:t xml:space="preserve"> 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  <w:jc w:val="center"/>
            </w:pPr>
            <w:r>
              <w:rPr>
                <w:rStyle w:val="Bodytext2105pt"/>
              </w:rPr>
              <w:t>67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  <w:jc w:val="center"/>
            </w:pPr>
            <w:r>
              <w:rPr>
                <w:rStyle w:val="Bodytext2105pt"/>
              </w:rPr>
              <w:t>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  <w:jc w:val="center"/>
            </w:pPr>
            <w:r>
              <w:rPr>
                <w:rStyle w:val="Bodytext2105pt"/>
              </w:rPr>
              <w:t>47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5813" w:h="1075" w:wrap="none" w:vAnchor="page" w:hAnchor="page" w:x="1331" w:y="7696"/>
              <w:shd w:val="clear" w:color="auto" w:fill="auto"/>
              <w:spacing w:line="232" w:lineRule="exact"/>
              <w:jc w:val="center"/>
            </w:pPr>
            <w:r>
              <w:rPr>
                <w:rStyle w:val="Bodytext2105pt"/>
              </w:rPr>
              <w:t>37</w:t>
            </w:r>
          </w:p>
        </w:tc>
      </w:tr>
    </w:tbl>
    <w:p w:rsidR="000B6BD1" w:rsidRDefault="00440657">
      <w:pPr>
        <w:pStyle w:val="Bodytext30"/>
        <w:framePr w:w="9504" w:h="2329" w:hRule="exact" w:wrap="none" w:vAnchor="page" w:hAnchor="page" w:x="1293" w:y="9418"/>
        <w:shd w:val="clear" w:color="auto" w:fill="auto"/>
        <w:spacing w:after="272"/>
        <w:ind w:firstLine="340"/>
        <w:jc w:val="left"/>
      </w:pPr>
      <w:r>
        <w:t xml:space="preserve">Dodavatel se </w:t>
      </w:r>
      <w:r>
        <w:t>zavazuje zajistit teplotu teplonosné látky v otopném období s ohledem na výši venkovní teploty.</w:t>
      </w:r>
    </w:p>
    <w:p w:rsidR="000B6BD1" w:rsidRDefault="00440657">
      <w:pPr>
        <w:pStyle w:val="Bodytext50"/>
        <w:framePr w:w="9504" w:h="2329" w:hRule="exact" w:wrap="none" w:vAnchor="page" w:hAnchor="page" w:x="1293" w:y="9418"/>
        <w:shd w:val="clear" w:color="auto" w:fill="auto"/>
        <w:spacing w:before="0" w:after="252"/>
        <w:ind w:left="340"/>
      </w:pPr>
      <w:r>
        <w:t>Sjednané množství tepelné energie pro vytápění a přípravu TV v GJ</w:t>
      </w:r>
    </w:p>
    <w:p w:rsidR="000B6BD1" w:rsidRDefault="00440657">
      <w:pPr>
        <w:pStyle w:val="Bodytext30"/>
        <w:framePr w:w="9504" w:h="2329" w:hRule="exact" w:wrap="none" w:vAnchor="page" w:hAnchor="page" w:x="1293" w:y="9418"/>
        <w:shd w:val="clear" w:color="auto" w:fill="auto"/>
        <w:spacing w:after="278" w:line="254" w:lineRule="exact"/>
        <w:ind w:left="340"/>
        <w:jc w:val="left"/>
      </w:pPr>
      <w:r>
        <w:t>1. Celkový plánovaný odběr tepelné energie za kalendářní rok, včetně časového rozlišení odběru</w:t>
      </w:r>
      <w:r>
        <w:t>, je uveden v odběrovém diagramu:</w:t>
      </w:r>
    </w:p>
    <w:p w:rsidR="000B6BD1" w:rsidRDefault="00440657">
      <w:pPr>
        <w:pStyle w:val="Bodytext30"/>
        <w:framePr w:w="9504" w:h="2329" w:hRule="exact" w:wrap="none" w:vAnchor="page" w:hAnchor="page" w:x="1293" w:y="9418"/>
        <w:shd w:val="clear" w:color="auto" w:fill="auto"/>
        <w:spacing w:after="0" w:line="232" w:lineRule="exact"/>
        <w:ind w:left="340"/>
        <w:jc w:val="left"/>
      </w:pPr>
      <w:r>
        <w:t xml:space="preserve">Návrh odběrového diagramu za všechna odběrná místa: </w:t>
      </w:r>
      <w:r>
        <w:rPr>
          <w:vertAlign w:val="superscript"/>
        </w:rPr>
        <w:t>2 3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574"/>
        <w:gridCol w:w="1584"/>
        <w:gridCol w:w="1584"/>
        <w:gridCol w:w="1613"/>
        <w:gridCol w:w="1555"/>
      </w:tblGrid>
      <w:tr w:rsidR="000B6BD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Měsíc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Sjednané</w:t>
            </w:r>
          </w:p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množství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Měsíc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Sjednané</w:t>
            </w:r>
          </w:p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množství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Měsíc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Sjednané</w:t>
            </w:r>
          </w:p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množství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Leden 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312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Květen 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96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Září 2017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81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Únor 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266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Červen 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68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Říjen 2017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172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Březen 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248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Červenec 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71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Listopad 2017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246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Duben 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183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Srpen 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71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Prosinec 2017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287</w:t>
            </w:r>
          </w:p>
        </w:tc>
      </w:tr>
      <w:tr w:rsidR="000B6B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</w:pPr>
            <w:r>
              <w:rPr>
                <w:rStyle w:val="Bodytext2105pt"/>
              </w:rPr>
              <w:t>Celkem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6BD1" w:rsidRDefault="00440657">
            <w:pPr>
              <w:pStyle w:val="Bodytext20"/>
              <w:framePr w:w="9326" w:h="1848" w:wrap="none" w:vAnchor="page" w:hAnchor="page" w:x="1317" w:y="11963"/>
              <w:shd w:val="clear" w:color="auto" w:fill="auto"/>
              <w:spacing w:line="232" w:lineRule="exact"/>
              <w:jc w:val="right"/>
            </w:pPr>
            <w:r>
              <w:rPr>
                <w:rStyle w:val="Bodytext2105pt"/>
              </w:rPr>
              <w:t>2 101</w:t>
            </w:r>
          </w:p>
        </w:tc>
      </w:tr>
    </w:tbl>
    <w:p w:rsidR="000B6BD1" w:rsidRDefault="00440657">
      <w:pPr>
        <w:pStyle w:val="Footnote0"/>
        <w:framePr w:w="9346" w:h="792" w:hRule="exact" w:wrap="none" w:vAnchor="page" w:hAnchor="page" w:x="1293" w:y="14021"/>
        <w:shd w:val="clear" w:color="auto" w:fill="auto"/>
        <w:tabs>
          <w:tab w:val="left" w:pos="283"/>
        </w:tabs>
        <w:ind w:left="320" w:right="180"/>
      </w:pPr>
      <w:r>
        <w:t>2.</w:t>
      </w:r>
      <w:r>
        <w:tab/>
        <w:t xml:space="preserve">Případné změny odběrového diagramu na následující rok sjednává odběratel s dodavatelem vždy do 31. prosince příslušného kalendářního roku. </w:t>
      </w:r>
      <w:r>
        <w:t>Nepodá-li odběratel návrh na nový odběrový diagram, prodlužuje se platnost diagramu na další kalendářní rok.</w:t>
      </w:r>
    </w:p>
    <w:p w:rsidR="000B6BD1" w:rsidRDefault="00440657">
      <w:pPr>
        <w:pStyle w:val="Footnote0"/>
        <w:framePr w:w="9346" w:h="263" w:hRule="exact" w:wrap="none" w:vAnchor="page" w:hAnchor="page" w:x="1293" w:y="14935"/>
        <w:shd w:val="clear" w:color="auto" w:fill="auto"/>
        <w:tabs>
          <w:tab w:val="left" w:pos="278"/>
        </w:tabs>
        <w:spacing w:line="232" w:lineRule="exact"/>
        <w:ind w:firstLine="0"/>
      </w:pPr>
      <w:r>
        <w:t>3.</w:t>
      </w:r>
      <w:r>
        <w:tab/>
        <w:t>Nedodržení neboli odklonění odběru tepelné energie od odběrového diagramu nebude sankcionováno.</w:t>
      </w:r>
    </w:p>
    <w:p w:rsidR="000B6BD1" w:rsidRDefault="00440657">
      <w:pPr>
        <w:pStyle w:val="Headerorfooter0"/>
        <w:framePr w:wrap="none" w:vAnchor="page" w:hAnchor="page" w:x="5886" w:y="15664"/>
        <w:shd w:val="clear" w:color="auto" w:fill="auto"/>
      </w:pPr>
      <w:r>
        <w:t>7</w:t>
      </w:r>
    </w:p>
    <w:p w:rsidR="000B6BD1" w:rsidRDefault="000B6BD1">
      <w:pPr>
        <w:rPr>
          <w:sz w:val="2"/>
          <w:szCs w:val="2"/>
        </w:rPr>
        <w:sectPr w:rsidR="000B6B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6BD1" w:rsidRDefault="00440657">
      <w:pPr>
        <w:pStyle w:val="Headerorfooter0"/>
        <w:framePr w:wrap="none" w:vAnchor="page" w:hAnchor="page" w:x="1432" w:y="775"/>
        <w:shd w:val="clear" w:color="auto" w:fill="auto"/>
      </w:pPr>
      <w:r>
        <w:lastRenderedPageBreak/>
        <w:t>Dodatek č. 11 ke Smlou</w:t>
      </w:r>
      <w:r>
        <w:t>vě č. 7/2006 o dodávce tepla a teplé užitkové vody uzavřené dne 6. 9. 2006</w:t>
      </w:r>
    </w:p>
    <w:p w:rsidR="000B6BD1" w:rsidRDefault="00440657">
      <w:pPr>
        <w:pStyle w:val="Bodytext30"/>
        <w:framePr w:wrap="none" w:vAnchor="page" w:hAnchor="page" w:x="1293" w:y="1720"/>
        <w:shd w:val="clear" w:color="auto" w:fill="auto"/>
        <w:spacing w:after="0" w:line="232" w:lineRule="exact"/>
        <w:ind w:left="140" w:firstLine="0"/>
        <w:jc w:val="left"/>
      </w:pPr>
      <w:r>
        <w:t xml:space="preserve">V Českém Těšíně dne  </w:t>
      </w:r>
    </w:p>
    <w:p w:rsidR="000B6BD1" w:rsidRDefault="00440657" w:rsidP="00440657">
      <w:pPr>
        <w:pStyle w:val="Picturecaption0"/>
        <w:framePr w:w="6406" w:h="466" w:hRule="exact" w:wrap="none" w:vAnchor="page" w:hAnchor="page" w:x="1366" w:y="3166"/>
        <w:shd w:val="clear" w:color="auto" w:fill="auto"/>
      </w:pPr>
      <w:r>
        <w:t>Dodavatel:                                                                                                    Odběratel:</w:t>
      </w:r>
    </w:p>
    <w:p w:rsidR="00440657" w:rsidRDefault="00440657">
      <w:pPr>
        <w:pStyle w:val="Bodytext80"/>
        <w:framePr w:w="2592" w:h="1046" w:hRule="exact" w:wrap="none" w:vAnchor="page" w:hAnchor="page" w:x="2910" w:y="2858"/>
        <w:shd w:val="clear" w:color="auto" w:fill="auto"/>
        <w:tabs>
          <w:tab w:val="left" w:pos="2426"/>
        </w:tabs>
        <w:ind w:left="1120"/>
      </w:pPr>
    </w:p>
    <w:p w:rsidR="00440657" w:rsidRDefault="00440657">
      <w:pPr>
        <w:pStyle w:val="Bodytext80"/>
        <w:framePr w:w="2592" w:h="1046" w:hRule="exact" w:wrap="none" w:vAnchor="page" w:hAnchor="page" w:x="2910" w:y="2858"/>
        <w:shd w:val="clear" w:color="auto" w:fill="auto"/>
        <w:tabs>
          <w:tab w:val="left" w:pos="2426"/>
        </w:tabs>
        <w:ind w:left="1120"/>
      </w:pPr>
    </w:p>
    <w:p w:rsidR="000B6BD1" w:rsidRPr="00440657" w:rsidRDefault="00440657">
      <w:pPr>
        <w:pStyle w:val="Bodytext80"/>
        <w:framePr w:w="2592" w:h="1046" w:hRule="exact" w:wrap="none" w:vAnchor="page" w:hAnchor="page" w:x="2910" w:y="2858"/>
        <w:shd w:val="clear" w:color="auto" w:fill="auto"/>
        <w:tabs>
          <w:tab w:val="left" w:pos="2426"/>
        </w:tabs>
        <w:ind w:left="1120"/>
        <w:rPr>
          <w:sz w:val="18"/>
          <w:szCs w:val="18"/>
        </w:rPr>
      </w:pPr>
      <w:bookmarkStart w:id="4" w:name="_GoBack"/>
      <w:bookmarkEnd w:id="4"/>
      <w:r w:rsidRPr="00440657">
        <w:rPr>
          <w:sz w:val="18"/>
          <w:szCs w:val="18"/>
        </w:rPr>
        <w:t xml:space="preserve">                   </w:t>
      </w:r>
      <w:r w:rsidRPr="00440657">
        <w:rPr>
          <w:sz w:val="18"/>
          <w:szCs w:val="18"/>
        </w:rPr>
        <w:tab/>
      </w:r>
    </w:p>
    <w:p w:rsidR="000B6BD1" w:rsidRDefault="00440657">
      <w:pPr>
        <w:pStyle w:val="Bodytext120"/>
        <w:framePr w:wrap="none" w:vAnchor="page" w:hAnchor="page" w:x="2475" w:y="16601"/>
        <w:shd w:val="clear" w:color="auto" w:fill="auto"/>
      </w:pPr>
      <w:r>
        <w:rPr>
          <w:rStyle w:val="Bodytext121"/>
          <w:i/>
          <w:iCs/>
        </w:rPr>
        <w:t>S’</w:t>
      </w:r>
    </w:p>
    <w:p w:rsidR="000B6BD1" w:rsidRDefault="000B6BD1">
      <w:pPr>
        <w:rPr>
          <w:sz w:val="2"/>
          <w:szCs w:val="2"/>
        </w:rPr>
      </w:pPr>
    </w:p>
    <w:sectPr w:rsidR="000B6B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0657">
      <w:r>
        <w:separator/>
      </w:r>
    </w:p>
  </w:endnote>
  <w:endnote w:type="continuationSeparator" w:id="0">
    <w:p w:rsidR="00000000" w:rsidRDefault="0044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yala">
    <w:altName w:val="Centaur"/>
    <w:panose1 w:val="02000504070300020003"/>
    <w:charset w:val="00"/>
    <w:family w:val="roman"/>
    <w:notTrueType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D1" w:rsidRDefault="00440657">
      <w:r>
        <w:separator/>
      </w:r>
    </w:p>
  </w:footnote>
  <w:footnote w:type="continuationSeparator" w:id="0">
    <w:p w:rsidR="000B6BD1" w:rsidRDefault="0044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24F"/>
    <w:multiLevelType w:val="multilevel"/>
    <w:tmpl w:val="03A2B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6BD1"/>
    <w:rsid w:val="000B6BD1"/>
    <w:rsid w:val="0044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38E06F5-9D3C-4339-A189-E092A4C3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">
    <w:name w:val="Footnote_"/>
    <w:basedOn w:val="Standardnpsmoodstavce"/>
    <w:link w:val="Footnote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Nyala11ptSpacing0pt">
    <w:name w:val="Body text (2) + Nyala;11 pt;Spacing 0 pt"/>
    <w:basedOn w:val="Bodytext2"/>
    <w:rPr>
      <w:rFonts w:ascii="Nyala" w:eastAsia="Nyala" w:hAnsi="Nyala" w:cs="Nyal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Standardnpsmoodstavce"/>
    <w:link w:val="Heading10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Gulim" w:eastAsia="Gulim" w:hAnsi="Gulim" w:cs="Gulim"/>
      <w:b w:val="0"/>
      <w:bCs w:val="0"/>
      <w:i w:val="0"/>
      <w:iCs w:val="0"/>
      <w:smallCaps w:val="0"/>
      <w:strike w:val="0"/>
      <w:color w:val="80B1E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Gulim" w:eastAsia="Gulim" w:hAnsi="Gulim" w:cs="Gulim"/>
      <w:b w:val="0"/>
      <w:bCs w:val="0"/>
      <w:i w:val="0"/>
      <w:iCs w:val="0"/>
      <w:smallCaps w:val="0"/>
      <w:strike w:val="0"/>
      <w:color w:val="80B1E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Gautami" w:eastAsia="Gautami" w:hAnsi="Gautami" w:cs="Gautami"/>
      <w:b/>
      <w:bCs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Heading255ptScaling100">
    <w:name w:val="Heading #2 + 5.5 pt;Scaling 100%"/>
    <w:basedOn w:val="Heading2"/>
    <w:rPr>
      <w:rFonts w:ascii="Gautami" w:eastAsia="Gautami" w:hAnsi="Gautami" w:cs="Gautam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8CC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8CCA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1">
    <w:name w:val="Body text (10)"/>
    <w:basedOn w:val="Bodytext10"/>
    <w:rPr>
      <w:rFonts w:ascii="Gulim" w:eastAsia="Gulim" w:hAnsi="Gulim" w:cs="Gulim"/>
      <w:b w:val="0"/>
      <w:bCs w:val="0"/>
      <w:i w:val="0"/>
      <w:iCs w:val="0"/>
      <w:smallCaps w:val="0"/>
      <w:strike w:val="0"/>
      <w:color w:val="498CCA"/>
      <w:spacing w:val="0"/>
      <w:w w:val="100"/>
      <w:position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5A55A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b/>
      <w:bCs/>
      <w:i w:val="0"/>
      <w:iCs w:val="0"/>
      <w:smallCaps w:val="0"/>
      <w:strike w:val="0"/>
      <w:w w:val="50"/>
      <w:sz w:val="21"/>
      <w:szCs w:val="21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8CCA"/>
      <w:spacing w:val="0"/>
      <w:w w:val="50"/>
      <w:position w:val="0"/>
      <w:sz w:val="21"/>
      <w:szCs w:val="21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Gulim" w:eastAsia="Gulim" w:hAnsi="Gulim" w:cs="Gulim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121">
    <w:name w:val="Body text (12)"/>
    <w:basedOn w:val="Bodytext12"/>
    <w:rPr>
      <w:rFonts w:ascii="Gulim" w:eastAsia="Gulim" w:hAnsi="Gulim" w:cs="Gulim"/>
      <w:b w:val="0"/>
      <w:bCs w:val="0"/>
      <w:i/>
      <w:iCs/>
      <w:smallCaps w:val="0"/>
      <w:strike w:val="0"/>
      <w:color w:val="B1B0DF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600" w:lineRule="exact"/>
      <w:jc w:val="center"/>
      <w:outlineLvl w:val="3"/>
    </w:pPr>
    <w:rPr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80" w:line="259" w:lineRule="exact"/>
      <w:ind w:hanging="340"/>
      <w:jc w:val="center"/>
    </w:pPr>
    <w:rPr>
      <w:sz w:val="21"/>
      <w:szCs w:val="21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400" w:line="226" w:lineRule="exact"/>
      <w:outlineLvl w:val="4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6" w:lineRule="exact"/>
    </w:pPr>
    <w:rPr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226" w:lineRule="exact"/>
    </w:pPr>
    <w:rPr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44" w:lineRule="exact"/>
      <w:ind w:hanging="340"/>
    </w:pPr>
    <w:rPr>
      <w:b/>
      <w:bCs/>
      <w:sz w:val="22"/>
      <w:szCs w:val="22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54" w:lineRule="exact"/>
      <w:ind w:hanging="320"/>
      <w:jc w:val="both"/>
    </w:pPr>
    <w:rPr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78" w:lineRule="exact"/>
      <w:jc w:val="both"/>
    </w:pPr>
    <w:rPr>
      <w:rFonts w:ascii="Gulim" w:eastAsia="Gulim" w:hAnsi="Gulim" w:cs="Gulim"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0" w:lineRule="exact"/>
      <w:outlineLvl w:val="0"/>
    </w:pPr>
    <w:rPr>
      <w:rFonts w:ascii="Gulim" w:eastAsia="Gulim" w:hAnsi="Gulim" w:cs="Gulim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80" w:line="310" w:lineRule="exact"/>
    </w:pPr>
    <w:rPr>
      <w:rFonts w:ascii="Gulim" w:eastAsia="Gulim" w:hAnsi="Gulim" w:cs="Gulim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line="310" w:lineRule="exact"/>
      <w:jc w:val="right"/>
      <w:outlineLvl w:val="1"/>
    </w:pPr>
    <w:rPr>
      <w:rFonts w:ascii="Gautami" w:eastAsia="Gautami" w:hAnsi="Gautami" w:cs="Gautami"/>
      <w:b/>
      <w:bCs/>
      <w:w w:val="50"/>
      <w:sz w:val="28"/>
      <w:szCs w:val="2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78" w:lineRule="exact"/>
    </w:p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78" w:lineRule="exact"/>
      <w:jc w:val="both"/>
    </w:pPr>
    <w:rPr>
      <w:rFonts w:ascii="Gulim" w:eastAsia="Gulim" w:hAnsi="Gulim" w:cs="Gulim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44" w:lineRule="exact"/>
      <w:outlineLvl w:val="2"/>
    </w:pPr>
    <w:rPr>
      <w:b/>
      <w:bCs/>
      <w:i/>
      <w:iCs/>
      <w:sz w:val="22"/>
      <w:szCs w:val="2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32" w:lineRule="exact"/>
    </w:pPr>
    <w:rPr>
      <w:b/>
      <w:bCs/>
      <w:w w:val="50"/>
      <w:sz w:val="21"/>
      <w:szCs w:val="21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32" w:lineRule="exact"/>
    </w:pPr>
    <w:rPr>
      <w:rFonts w:ascii="Gulim" w:eastAsia="Gulim" w:hAnsi="Gulim" w:cs="Gulim"/>
      <w:i/>
      <w:iCs/>
      <w:sz w:val="11"/>
      <w:szCs w:val="1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atzka@tes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valic@teplo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2017-04-28T11:08:00Z</dcterms:created>
  <dcterms:modified xsi:type="dcterms:W3CDTF">2017-04-28T11:12:00Z</dcterms:modified>
</cp:coreProperties>
</file>